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4"/>
        </w:rPr>
        <w:t>WEEK 6 DAY 6 REPORT</w:t>
      </w:r>
    </w:p>
    <w:tbl>
      <w:tblPr>
        <w:tblW w:type="auto" w:w="0"/>
        <w:tblLayout w:type="fixed"/>
        <w:tblLook w:firstColumn="1" w:firstRow="1" w:lastColumn="0" w:lastRow="0" w:noHBand="0" w:noVBand="1" w:val="04A0"/>
      </w:tblPr>
      <w:tblGrid>
        <w:gridCol w:w="2160"/>
        <w:gridCol w:w="7200"/>
      </w:tblGrid>
      <w:tr>
        <w:tc>
          <w:tcPr>
            <w:tcW w:type="dxa" w:w="4680"/>
            <w:shd w:fill="F4F6F8"/>
            <w:tcBorders>
              <w:top w:val="none"/>
              <w:left w:val="none"/>
              <w:bottom w:val="none"/>
              <w:right w:val="none"/>
            </w:tcBorders>
          </w:tcPr>
          <w:p>
            <w:pPr>
              <w:spacing w:after="40" w:before="40"/>
            </w:pPr>
            <w:r>
              <w:rPr>
                <w:b/>
                <w:color w:val="5C768D"/>
                <w:sz w:val="20"/>
              </w:rPr>
              <w:t>Project:</w:t>
            </w:r>
          </w:p>
        </w:tc>
        <w:tc>
          <w:tcPr>
            <w:tcW w:type="dxa" w:w="4680"/>
            <w:shd w:fill="F4F6F8"/>
            <w:tcBorders>
              <w:top w:val="none"/>
              <w:left w:val="none"/>
              <w:bottom w:val="none"/>
              <w:right w:val="none"/>
            </w:tcBorders>
          </w:tcPr>
          <w:p>
            <w:pPr>
              <w:spacing w:after="40" w:before="40"/>
            </w:pPr>
            <w:r>
              <w:rPr>
                <w:sz w:val="20"/>
              </w:rPr>
              <w:t>Dark Pattern Impact Analytics &amp; Trust Score System</w:t>
            </w:r>
          </w:p>
        </w:tc>
      </w:tr>
      <w:tr>
        <w:tc>
          <w:tcPr>
            <w:tcW w:type="dxa" w:w="4680"/>
            <w:shd w:fill="F4F6F8"/>
            <w:tcBorders>
              <w:top w:val="none"/>
              <w:left w:val="none"/>
              <w:bottom w:val="none"/>
              <w:right w:val="none"/>
            </w:tcBorders>
          </w:tcPr>
          <w:p>
            <w:pPr>
              <w:spacing w:after="40" w:before="40"/>
            </w:pPr>
            <w:r>
              <w:rPr>
                <w:b/>
                <w:color w:val="5C768D"/>
                <w:sz w:val="20"/>
              </w:rPr>
              <w:t>Prepared By:</w:t>
            </w:r>
          </w:p>
        </w:tc>
        <w:tc>
          <w:tcPr>
            <w:tcW w:type="dxa" w:w="4680"/>
            <w:shd w:fill="F4F6F8"/>
            <w:tcBorders>
              <w:top w:val="none"/>
              <w:left w:val="none"/>
              <w:bottom w:val="none"/>
              <w:right w:val="none"/>
            </w:tcBorders>
          </w:tcPr>
          <w:p>
            <w:pPr>
              <w:spacing w:after="40" w:before="40"/>
            </w:pPr>
            <w:r>
              <w:rPr>
                <w:sz w:val="20"/>
              </w:rPr>
              <w:t>Beulah (Documentation &amp; Research Team Member)</w:t>
            </w:r>
          </w:p>
        </w:tc>
      </w:tr>
      <w:tr>
        <w:tc>
          <w:tcPr>
            <w:tcW w:type="dxa" w:w="4680"/>
            <w:shd w:fill="F4F6F8"/>
            <w:tcBorders>
              <w:top w:val="none"/>
              <w:left w:val="none"/>
              <w:bottom w:val="none"/>
              <w:right w:val="none"/>
            </w:tcBorders>
          </w:tcPr>
          <w:p>
            <w:pPr>
              <w:spacing w:after="40" w:before="40"/>
            </w:pPr>
            <w:r>
              <w:rPr>
                <w:b/>
                <w:color w:val="5C768D"/>
                <w:sz w:val="20"/>
              </w:rPr>
              <w:t>Timeline:</w:t>
            </w:r>
          </w:p>
        </w:tc>
        <w:tc>
          <w:tcPr>
            <w:tcW w:type="dxa" w:w="4680"/>
            <w:shd w:fill="F4F6F8"/>
            <w:tcBorders>
              <w:top w:val="none"/>
              <w:left w:val="none"/>
              <w:bottom w:val="none"/>
              <w:right w:val="none"/>
            </w:tcBorders>
          </w:tcPr>
          <w:p>
            <w:pPr>
              <w:spacing w:after="40" w:before="40"/>
            </w:pPr>
            <w:r>
              <w:rPr>
                <w:sz w:val="20"/>
              </w:rPr>
              <w:t>Week 6 – Day 6 (Project Readiness and Final Documentation Review)</w:t>
            </w:r>
          </w:p>
        </w:tc>
      </w:tr>
    </w:tbl>
    <w:p>
      <w:pPr>
        <w:spacing w:before="200" w:after="0"/>
      </w:pPr>
    </w:p>
    <w:p>
      <w:pPr>
        <w:keepNext/>
        <w:spacing w:before="280" w:after="80"/>
        <w:pBdr>
          <w:bottom w:val="single" w:sz="12" w:space="4" w:color="5C768D"/>
        </w:pBdr>
      </w:pPr>
      <w:r>
        <w:rPr>
          <w:rFonts w:ascii="Arial" w:hAnsi="Arial"/>
          <w:b/>
          <w:color w:val="1B365D"/>
          <w:sz w:val="30"/>
        </w:rPr>
        <w:t>Introduction</w:t>
      </w:r>
    </w:p>
    <w:p>
      <w:r>
        <w:t>The Day 6 activities focused on evaluating the overall readiness of the project before completion of Week 6. Documentation, dashboard outputs, business recommendations, management insights, and supporting reports were reviewed to ensure consistency, completeness, and quality.</w:t>
      </w:r>
    </w:p>
    <w:p>
      <w:pPr>
        <w:keepNext/>
        <w:spacing w:before="280" w:after="80"/>
        <w:pBdr>
          <w:bottom w:val="single" w:sz="12" w:space="4" w:color="5C768D"/>
        </w:pBdr>
      </w:pPr>
      <w:r>
        <w:rPr>
          <w:rFonts w:ascii="Arial" w:hAnsi="Arial"/>
          <w:b/>
          <w:color w:val="1B365D"/>
          <w:sz w:val="30"/>
        </w:rPr>
        <w:t>Objectives</w:t>
      </w:r>
    </w:p>
    <w:p>
      <w:r>
        <w:t>The objectives of this review are:</w:t>
      </w:r>
    </w:p>
    <w:p>
      <w:pPr>
        <w:pStyle w:val="ListBullet"/>
        <w:spacing w:after="60"/>
      </w:pPr>
      <w:r>
        <w:t>Verify documentation quality.</w:t>
      </w:r>
    </w:p>
    <w:p>
      <w:pPr>
        <w:pStyle w:val="ListBullet"/>
        <w:spacing w:after="60"/>
      </w:pPr>
      <w:r>
        <w:t>Review dashboard-related reports.</w:t>
      </w:r>
    </w:p>
    <w:p>
      <w:pPr>
        <w:pStyle w:val="ListBullet"/>
        <w:spacing w:after="60"/>
      </w:pPr>
      <w:r>
        <w:t>Check business recommendations.</w:t>
      </w:r>
    </w:p>
    <w:p>
      <w:pPr>
        <w:pStyle w:val="ListBullet"/>
        <w:spacing w:after="60"/>
      </w:pPr>
      <w:r>
        <w:t>Confirm project organization.</w:t>
      </w:r>
    </w:p>
    <w:p>
      <w:pPr>
        <w:pStyle w:val="ListBullet"/>
        <w:spacing w:after="60"/>
      </w:pPr>
      <w:r>
        <w:t>Prepare for Week 6 completion.</w:t>
      </w:r>
    </w:p>
    <w:p>
      <w:pPr>
        <w:keepNext/>
        <w:spacing w:before="280" w:after="80"/>
        <w:pBdr>
          <w:bottom w:val="single" w:sz="12" w:space="4" w:color="5C768D"/>
        </w:pBdr>
      </w:pPr>
      <w:r>
        <w:rPr>
          <w:rFonts w:ascii="Arial" w:hAnsi="Arial"/>
          <w:b/>
          <w:color w:val="1B365D"/>
          <w:sz w:val="30"/>
        </w:rPr>
        <w:t>Documentation Review</w:t>
      </w:r>
    </w:p>
    <w:p>
      <w:r>
        <w:t>The following documents were reviewed:</w:t>
      </w:r>
    </w:p>
    <w:p>
      <w:pPr>
        <w:pStyle w:val="ListBullet"/>
        <w:spacing w:after="60"/>
      </w:pPr>
      <w:r>
        <w:t>Business Recommendations Report</w:t>
      </w:r>
    </w:p>
    <w:p>
      <w:pPr>
        <w:pStyle w:val="ListBullet"/>
        <w:spacing w:after="60"/>
      </w:pPr>
      <w:r>
        <w:t>Management Insights Report</w:t>
      </w:r>
    </w:p>
    <w:p>
      <w:pPr>
        <w:pStyle w:val="ListBullet"/>
        <w:spacing w:after="60"/>
      </w:pPr>
      <w:r>
        <w:t>Decision Support Report</w:t>
      </w:r>
    </w:p>
    <w:p>
      <w:pPr>
        <w:pStyle w:val="ListBullet"/>
        <w:spacing w:after="60"/>
      </w:pPr>
      <w:r>
        <w:t>Case Study Report</w:t>
      </w:r>
    </w:p>
    <w:p>
      <w:pPr>
        <w:pStyle w:val="ListBullet"/>
        <w:spacing w:after="60"/>
      </w:pPr>
      <w:r>
        <w:t>Week 6 Daily Reports</w:t>
      </w:r>
    </w:p>
    <w:p>
      <w:r>
        <w:t>The review confirmed that the documentation follows a consistent structure and supports the objectives of the project.</w:t>
      </w:r>
    </w:p>
    <w:p>
      <w:pPr>
        <w:keepNext/>
        <w:spacing w:before="280" w:after="80"/>
        <w:pBdr>
          <w:bottom w:val="single" w:sz="12" w:space="4" w:color="5C768D"/>
        </w:pBdr>
      </w:pPr>
      <w:r>
        <w:rPr>
          <w:rFonts w:ascii="Arial" w:hAnsi="Arial"/>
          <w:b/>
          <w:color w:val="1B365D"/>
          <w:sz w:val="30"/>
        </w:rPr>
        <w:t>Deliverable Verification</w:t>
      </w:r>
    </w:p>
    <w:p>
      <w:r>
        <w:t>The following project components were verified:</w:t>
      </w:r>
    </w:p>
    <w:p>
      <w:pPr>
        <w:keepNext/>
        <w:spacing w:before="200" w:after="80"/>
      </w:pPr>
      <w:r>
        <w:rPr>
          <w:rFonts w:ascii="Arial" w:hAnsi="Arial"/>
          <w:b/>
          <w:color w:val="5C768D"/>
          <w:sz w:val="25"/>
        </w:rPr>
        <w:t>Documentation</w:t>
      </w:r>
    </w:p>
    <w:p>
      <w:pPr>
        <w:pStyle w:val="ListBullet"/>
        <w:spacing w:after="60"/>
      </w:pPr>
      <w:r>
        <w:t>Daily reports</w:t>
      </w:r>
    </w:p>
    <w:p>
      <w:pPr>
        <w:pStyle w:val="ListBullet"/>
        <w:spacing w:after="60"/>
      </w:pPr>
      <w:r>
        <w:t>Business recommendation documents</w:t>
      </w:r>
    </w:p>
    <w:p>
      <w:pPr>
        <w:pStyle w:val="ListBullet"/>
        <w:spacing w:after="60"/>
      </w:pPr>
      <w:r>
        <w:t>Management insight documents</w:t>
      </w:r>
    </w:p>
    <w:p>
      <w:pPr>
        <w:pStyle w:val="ListBullet"/>
        <w:spacing w:after="60"/>
      </w:pPr>
      <w:r>
        <w:t>Decision support documentation</w:t>
      </w:r>
    </w:p>
    <w:p>
      <w:pPr>
        <w:pStyle w:val="ListBullet"/>
        <w:spacing w:after="60"/>
      </w:pPr>
      <w:r>
        <w:t>Case study documentation</w:t>
      </w:r>
    </w:p>
    <w:p>
      <w:pPr>
        <w:keepNext/>
        <w:spacing w:before="200" w:after="80"/>
      </w:pPr>
      <w:r>
        <w:rPr>
          <w:rFonts w:ascii="Arial" w:hAnsi="Arial"/>
          <w:b/>
          <w:color w:val="5C768D"/>
          <w:sz w:val="25"/>
        </w:rPr>
        <w:t>Technical Deliverables</w:t>
      </w:r>
    </w:p>
    <w:p>
      <w:pPr>
        <w:pStyle w:val="ListBullet"/>
        <w:spacing w:after="60"/>
      </w:pPr>
      <w:r>
        <w:t>SQL scripts prepared by the technical team</w:t>
      </w:r>
    </w:p>
    <w:p>
      <w:pPr>
        <w:pStyle w:val="ListBullet"/>
        <w:spacing w:after="60"/>
      </w:pPr>
      <w:r>
        <w:t>SQL analysis files</w:t>
      </w:r>
    </w:p>
    <w:p>
      <w:pPr>
        <w:pStyle w:val="ListBullet"/>
        <w:spacing w:after="60"/>
      </w:pPr>
      <w:r>
        <w:t>Dashboard reports</w:t>
      </w:r>
    </w:p>
    <w:p>
      <w:pPr>
        <w:pStyle w:val="ListBullet"/>
        <w:spacing w:after="60"/>
      </w:pPr>
      <w:r>
        <w:t>Supporting documentation</w:t>
      </w:r>
    </w:p>
    <w:p>
      <w:pPr>
        <w:keepNext/>
        <w:spacing w:before="280" w:after="80"/>
        <w:pBdr>
          <w:bottom w:val="single" w:sz="12" w:space="4" w:color="5C768D"/>
        </w:pBdr>
      </w:pPr>
      <w:r>
        <w:rPr>
          <w:rFonts w:ascii="Arial" w:hAnsi="Arial"/>
          <w:b/>
          <w:color w:val="1B365D"/>
          <w:sz w:val="30"/>
        </w:rPr>
        <w:t>Project Readiness</w:t>
      </w:r>
    </w:p>
    <w:p>
      <w:r>
        <w:t>The project documentation is well organized and supports the technical implementation of the Dark Pattern Impact Analytics &amp; Trust Score System. The reports are ready for final review and integration into the overall project submission.</w:t>
      </w:r>
    </w:p>
    <w:p>
      <w:pPr>
        <w:keepNext/>
        <w:spacing w:before="280" w:after="80"/>
        <w:pBdr>
          <w:bottom w:val="single" w:sz="12" w:space="4" w:color="5C768D"/>
        </w:pBdr>
      </w:pPr>
      <w:r>
        <w:rPr>
          <w:rFonts w:ascii="Arial" w:hAnsi="Arial"/>
          <w:b/>
          <w:color w:val="1B365D"/>
          <w:sz w:val="30"/>
        </w:rPr>
        <w:t>Observation</w:t>
      </w:r>
    </w:p>
    <w:p>
      <w:r>
        <w:t>The documentation provides a comprehensive explanation of the project's analytical findings and business recommendations, making the project easy to understand and evaluate.</w:t>
      </w:r>
    </w:p>
    <w:p>
      <w:pPr>
        <w:keepNext/>
        <w:spacing w:before="280" w:after="80"/>
        <w:pBdr>
          <w:bottom w:val="single" w:sz="12" w:space="4" w:color="5C768D"/>
        </w:pBdr>
      </w:pPr>
      <w:r>
        <w:rPr>
          <w:rFonts w:ascii="Arial" w:hAnsi="Arial"/>
          <w:b/>
          <w:color w:val="1B365D"/>
          <w:sz w:val="30"/>
        </w:rPr>
        <w:t>Business Impact</w:t>
      </w:r>
    </w:p>
    <w:p>
      <w:r>
        <w:t>Well-structured documentation improves communication between technical teams, stakeholders, and evaluators while supporting effective project presentation.</w:t>
      </w:r>
    </w:p>
    <w:p>
      <w:pPr>
        <w:keepNext/>
        <w:spacing w:before="280" w:after="80"/>
        <w:pBdr>
          <w:bottom w:val="single" w:sz="12" w:space="4" w:color="5C768D"/>
        </w:pBdr>
      </w:pPr>
      <w:r>
        <w:rPr>
          <w:rFonts w:ascii="Arial" w:hAnsi="Arial"/>
          <w:b/>
          <w:color w:val="1B365D"/>
          <w:sz w:val="30"/>
        </w:rPr>
        <w:t>Project Relevance</w:t>
      </w:r>
    </w:p>
    <w:p>
      <w:r>
        <w:t>This review ensures that the documentation accurately represents the analytical work completed throughout the project and supports the final project objectives.</w:t>
      </w:r>
    </w:p>
    <w:p>
      <w:pPr>
        <w:keepNext/>
        <w:spacing w:before="280" w:after="80"/>
        <w:pBdr>
          <w:bottom w:val="single" w:sz="12" w:space="4" w:color="5C768D"/>
        </w:pBdr>
      </w:pPr>
      <w:r>
        <w:rPr>
          <w:rFonts w:ascii="Arial" w:hAnsi="Arial"/>
          <w:b/>
          <w:color w:val="1B365D"/>
          <w:sz w:val="30"/>
        </w:rPr>
        <w:t>Files Created</w:t>
      </w:r>
    </w:p>
    <w:p>
      <w:pPr>
        <w:pStyle w:val="ListBullet"/>
        <w:spacing w:after="60"/>
      </w:pPr>
      <w:r>
        <w:t>Week6_Day6_Report.docx</w:t>
      </w:r>
    </w:p>
    <w:p>
      <w:pPr>
        <w:keepNext/>
        <w:spacing w:before="280" w:after="80"/>
        <w:pBdr>
          <w:bottom w:val="single" w:sz="12" w:space="4" w:color="5C768D"/>
        </w:pBdr>
      </w:pPr>
      <w:r>
        <w:rPr>
          <w:rFonts w:ascii="Arial" w:hAnsi="Arial"/>
          <w:b/>
          <w:color w:val="1B365D"/>
          <w:sz w:val="30"/>
        </w:rPr>
        <w:t>Conclusion</w:t>
      </w:r>
    </w:p>
    <w:p>
      <w:r>
        <w:t>The final documentation review confirms that the Week 6 deliverables are complete, organized, and aligned with the project objectives. The project is prepared for the Week 6 summary and final documentation phase.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