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BUSINESS INSIGHTS REPORT</w:t>
      </w:r>
    </w:p>
    <w:p>
      <w:pPr>
        <w:pBdr>
          <w:bottom w:val="single" w:color="2E75B6" w:sz="10" w:space="4"/>
        </w:pBdr>
        <w:spacing w:after="280"/>
        <w:jc w:val="center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Dark Pattern Impact Analytics &amp; Trust Score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Beulah (Member 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Week 1 – Day 4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</w:pPr>
      <w:r>
        <w:t xml:space="preserve">1.  User Trust Impact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Dark patterns can reduce user trust by creating misleading experiences. Users may lose confidence in applications that use manipulative techniques.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2.  Customer Dissatisfaction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Hidden charges, forced subscriptions, and misleading messages can cause frustration among customers and negatively affect user satisfaction.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3.  Retention Impact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Poor user experiences caused by dark patterns may reduce customer retention. Users may switch to competing platforms that provide more transparent services.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4.  Brand Reputation Risk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Frequent use of dark patterns can damage brand reputation. Negative reviews and complaints may affect the public image of a company.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5.  Business Importance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Understanding dark patterns helps organizations improve transparency, increase customer satisfaction, and build long-term trust with users.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6. 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Reducing dark patterns can improve user trust, enhance customer experience, and support sustainable business growth.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Report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Beulah (Member 2)  |  Week 1 – Day 4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Dark Pattern Impact Analytics &amp; Trust Score System  |  Business Insights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2026-06-22T04:18:59.802Z</dcterms:created>
  <dcterms:modified xsi:type="dcterms:W3CDTF">2026-06-22T04:18:59.814Z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