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color w:val="000000"/>
          <w:sz w:val="40"/>
          <w:szCs w:val="40"/>
        </w:rPr>
        <w:t xml:space="preserve">Toward a Transaction Standard for Asynchronous AI-Mediated Care Review: A Proposed Framework</w:t>
      </w:r>
    </w:p>
    <w:p>
      <w:pPr>
        <w:spacing w:after="20"/>
        <w:jc w:val="center"/>
      </w:pPr>
      <w:r>
        <w:rPr>
          <w:rFonts w:ascii="Times New Roman" w:cs="Times New Roman" w:eastAsia="Times New Roman" w:hAnsi="Times New Roman"/>
          <w:color w:val="000000"/>
          <w:sz w:val="24"/>
          <w:szCs w:val="24"/>
        </w:rPr>
        <w:t xml:space="preserve">Santhosh Basineni</w:t>
      </w:r>
    </w:p>
    <w:p>
      <w:pPr>
        <w:spacing w:after="80"/>
        <w:jc w:val="center"/>
      </w:pPr>
      <w:r>
        <w:rPr>
          <w:rFonts w:ascii="Times New Roman" w:cs="Times New Roman" w:eastAsia="Times New Roman" w:hAnsi="Times New Roman"/>
          <w:i/>
          <w:iCs/>
          <w:color w:val="000000"/>
          <w:sz w:val="22"/>
          <w:szCs w:val="22"/>
        </w:rPr>
        <w:t xml:space="preserve">Independent Researcher</w:t>
      </w:r>
    </w:p>
    <w:p>
      <w:pPr>
        <w:spacing w:after="20"/>
        <w:jc w:val="center"/>
      </w:pPr>
      <w:r>
        <w:rPr>
          <w:rFonts w:ascii="Times New Roman" w:cs="Times New Roman" w:eastAsia="Times New Roman" w:hAnsi="Times New Roman"/>
          <w:color w:val="000000"/>
          <w:sz w:val="24"/>
          <w:szCs w:val="24"/>
        </w:rPr>
        <w:t xml:space="preserve">Mounika Avirineni</w:t>
      </w:r>
    </w:p>
    <w:p>
      <w:pPr>
        <w:spacing w:after="240"/>
        <w:jc w:val="center"/>
      </w:pPr>
      <w:r>
        <w:rPr>
          <w:rFonts w:ascii="Times New Roman" w:cs="Times New Roman" w:eastAsia="Times New Roman" w:hAnsi="Times New Roman"/>
          <w:i/>
          <w:iCs/>
          <w:color w:val="000000"/>
          <w:sz w:val="22"/>
          <w:szCs w:val="22"/>
        </w:rPr>
        <w:t xml:space="preserve">Independent Researcher</w:t>
      </w:r>
    </w:p>
    <w:p>
      <w:pPr>
        <w:sectPr>
          <w:type w:val="continuous"/>
          <w:pgSz w:w="12240" w:h="15840" w:orient="portrait"/>
          <w:pgMar w:top="1080" w:right="1080" w:bottom="1080" w:left="1080" w:header="708" w:footer="708" w:gutter="0"/>
          <w:pgNumType/>
          <w:cols w:num="1"/>
          <w:docGrid w:linePitch="360"/>
        </w:sectPr>
      </w:pPr>
    </w:p>
    <w:p>
      <w:pPr>
        <w:spacing w:after="100"/>
      </w:pPr>
      <w:r>
        <w:rPr>
          <w:rFonts w:ascii="Times New Roman" w:cs="Times New Roman" w:eastAsia="Times New Roman" w:hAnsi="Times New Roman"/>
          <w:b/>
          <w:bCs/>
          <w:i/>
          <w:iCs/>
          <w:color w:val="000000"/>
          <w:sz w:val="24"/>
          <w:szCs w:val="24"/>
        </w:rPr>
        <w:t xml:space="preserve">Abstract—</w:t>
      </w:r>
      <w:r>
        <w:rPr>
          <w:rFonts w:ascii="Times New Roman" w:cs="Times New Roman" w:eastAsia="Times New Roman" w:hAnsi="Times New Roman"/>
          <w:color w:val="000000"/>
          <w:sz w:val="24"/>
          <w:szCs w:val="24"/>
        </w:rPr>
        <w:t xml:space="preserve">A growing number of independent commercial and research systems implement some form of artificial-intelligence-mediated intake followed by physician review, decoupled from real-time scheduling. Each defines its own internal representation for how a case is submitted, escalated, queued, and resolved, with no shared transaction format across implementations. This mirrors the state of pharmacy claims processing prior to the adoption of the NCPDP Telecommunication Standard, under which a common transaction and segment structure replaced bespoke point-to-point integration between every payer and pharmacy. This paper proposes an analogous transaction framework for asynchronous, AI-mediated care review, a defined set of message types spanning intake submission, conservative emergency escalation, distributed asynchronous review, and structured disposition, specified as a profile over existing Fast Healthcare Interoperability Resources (FHIR) resources rather than as a competing data model. Coverage verification, cost estimation for redirected services, and claim submission are specified as payer-facing transactions grounded in the decision timeframes already required under the CMS Interoperability and Prior Authorization Final Rule, with network status left as an explicit, informed patient preference rather than an architectural default. The framework is illustrated with five worked scenarios. This paper presents the architecture and transaction model as a foundation for community and standards-body discussion; a complete technical specification, including full data-element schemas, code tables, and a reference implementation, is presented as separate, forthcoming work.</w:t>
      </w:r>
    </w:p>
    <w:p>
      <w:pPr>
        <w:spacing w:after="240"/>
      </w:pPr>
      <w:r>
        <w:rPr>
          <w:rFonts w:ascii="Times New Roman" w:cs="Times New Roman" w:eastAsia="Times New Roman" w:hAnsi="Times New Roman"/>
          <w:b/>
          <w:bCs/>
          <w:i/>
          <w:iCs/>
          <w:color w:val="000000"/>
          <w:sz w:val="24"/>
          <w:szCs w:val="24"/>
        </w:rPr>
        <w:t xml:space="preserve">Index Terms—</w:t>
      </w:r>
      <w:r>
        <w:rPr>
          <w:rFonts w:ascii="Times New Roman" w:cs="Times New Roman" w:eastAsia="Times New Roman" w:hAnsi="Times New Roman"/>
          <w:i/>
          <w:iCs/>
          <w:color w:val="000000"/>
          <w:sz w:val="24"/>
          <w:szCs w:val="24"/>
        </w:rPr>
        <w:t xml:space="preserve">health information interoperability, HL7 FHIR, healthcare standards, asynchronous telehealth, artificial intelligence, transaction protocols, provider credentialing, prior authorization, NCPDP.</w:t>
      </w:r>
    </w:p>
    <w:p>
      <w:pPr>
        <w:pStyle w:val="Heading1"/>
        <w:spacing w:after="120" w:before="220"/>
      </w:pPr>
      <w:r>
        <w:rPr>
          <w:rFonts w:ascii="Times New Roman" w:cs="Times New Roman" w:eastAsia="Times New Roman" w:hAnsi="Times New Roman"/>
          <w:b/>
          <w:bCs/>
          <w:color w:val="000000"/>
          <w:sz w:val="26"/>
          <w:szCs w:val="26"/>
        </w:rPr>
        <w:t xml:space="preserve">I. Introduction</w:t>
      </w:r>
    </w:p>
    <w:p>
      <w:pPr>
        <w:spacing w:after="160"/>
        <w:jc w:val="both"/>
      </w:pPr>
      <w:r>
        <w:rPr>
          <w:rFonts w:ascii="Times New Roman" w:cs="Times New Roman" w:eastAsia="Times New Roman" w:hAnsi="Times New Roman"/>
          <w:color w:val="000000"/>
          <w:sz w:val="24"/>
          <w:szCs w:val="24"/>
        </w:rPr>
        <w:t xml:space="preserve">Multiple independent systems now implement some variant of AI-mediated intake followed by physician review that is decoupled from live scheduling. A commercial asynchronous care platform was deployed with a large integrated health system as early as 2022 [2], a peer-reviewed evaluation of an AI-assisted virtual urgent-care model found its suggested dispositions comparable to or better than physicians' final recommendations in the majority of reviewed cases [4], and a 2025 industrial research system demonstrated a rigorously evaluated paradigm of asynchronous physician oversight of AI-conducted intake [6]. Each of these systems defines its own internal representation of the underlying workflow. None defines an interoperable transaction format that another vendor's intake system, review platform, payer, or scheduling system could implement independently.</w:t>
      </w:r>
    </w:p>
    <w:p>
      <w:pPr>
        <w:spacing w:after="160"/>
        <w:jc w:val="both"/>
      </w:pPr>
      <w:r>
        <w:rPr>
          <w:rFonts w:ascii="Times New Roman" w:cs="Times New Roman" w:eastAsia="Times New Roman" w:hAnsi="Times New Roman"/>
          <w:color w:val="000000"/>
          <w:sz w:val="24"/>
          <w:szCs w:val="24"/>
        </w:rPr>
        <w:t xml:space="preserve">This is a familiar juncture. Before the adoption of the NCPDP Telecommunication Standard [1], pharmacy claims adjudication required bespoke integration between every individual pharmacy and every payer; a shared transaction and segment structure subsequently made the entire ecosystem interoperable without requiring any single participant to adopt another's proprietary format. Health Level Seven International (HL7) has itself identified the analogous gap for the current moment: as agent-based clinical systems mature, the standards community will require, in the words of an HL7 practitioner writing on the organization's own blog, fine-tuned specifications for representing what AI model tools are, what they can do, and how their expected inputs and outputs should be structured [8].</w:t>
      </w:r>
    </w:p>
    <w:p>
      <w:pPr>
        <w:spacing w:after="160"/>
        <w:jc w:val="both"/>
      </w:pPr>
      <w:r>
        <w:rPr>
          <w:rFonts w:ascii="Times New Roman" w:cs="Times New Roman" w:eastAsia="Times New Roman" w:hAnsi="Times New Roman"/>
          <w:color w:val="000000"/>
          <w:sz w:val="24"/>
          <w:szCs w:val="24"/>
        </w:rPr>
        <w:t xml:space="preserve">The coordination this framework digitizes is, today, primarily a channel problem rather than a technology gap. Whether a case is covered, what a service will cost, and whether a claim or authorization has been approved are most often exchanged by phone, fax, or manual portal entry rather than a structured transaction: only 35% of medical prior authorizations are conducted fully electronically industry-wide [14], and the standards body responsible for administrative transaction adoption names reducing call-center costs and manual phone-based work as an explicit goal of further electronic adoption [14]. Physicians report spending an average of 13 hours a week on prior authorization alone, and two in five physician practices employ staff whose sole function is this coordination [15]. Each transaction defined in this paper, intake, escalation, review, disposition, registration, availability, coverage, cost estimation, authorization, and claims, corresponds to a category of exchange conducted today primarily by a person on a phone or a fax machine. Positioning AI at the center of that exchange, structuring what a patient, a reviewing organization or physician, and a payer each need to communicate to one another, is this framework's implicit case for reducing that channel's burden; this paper does not itself measure that reduction, only defines the structured alternative to the channel producing it.</w:t>
      </w:r>
    </w:p>
    <w:p>
      <w:pPr>
        <w:spacing w:after="160"/>
        <w:jc w:val="both"/>
      </w:pPr>
      <w:r>
        <w:rPr>
          <w:rFonts w:ascii="Times New Roman" w:cs="Times New Roman" w:eastAsia="Times New Roman" w:hAnsi="Times New Roman"/>
          <w:color w:val="000000"/>
          <w:sz w:val="24"/>
          <w:szCs w:val="24"/>
        </w:rPr>
        <w:t xml:space="preserve">The same client-neutral principle applies to every party in this exchange, not the patient alone. A reviewing physician or organization, and a payer, may equally interact with these transactions through a purpose-built application or a general-purpose AI-assistant connector, the same category of connector already used to bring a patient's own health data into a conversational assistant [5]. Routing an exchange through such a connector is not merely a channel substitution for the phone call or fax it replaces; a conversational interface can also contextualize a structured response for whoever is reading it, explaining what a coverage determination or a redirected disposition actually means for that party, rather than presenting a bare code. Prior work on AI-mediated clinical oversight has already shown a purpose-built review interface can measurably reduce the time and effort a professional needs to process a case relative to an unstructured consultation [6]; the transactions and client-neutrality defined in this framework are intended to make an equivalent effect available on the patient and payer sides of the same exchange, not only the reviewing physician's.</w:t>
      </w:r>
    </w:p>
    <w:p>
      <w:pPr>
        <w:spacing w:after="160"/>
        <w:jc w:val="both"/>
      </w:pPr>
      <w:r>
        <w:rPr>
          <w:rFonts w:ascii="Times New Roman" w:cs="Times New Roman" w:eastAsia="Times New Roman" w:hAnsi="Times New Roman"/>
          <w:color w:val="000000"/>
          <w:sz w:val="24"/>
          <w:szCs w:val="24"/>
        </w:rPr>
        <w:t xml:space="preserve">These three, patient, reviewing organization or practitioner, and payer, are the transacting parties this framework directly governs. A specialist engaged through a redirect participates as a reviewing organization or practitioner in its own right under Section V. A laboratory or diagnostic facility fulfilling an ordered test is not modeled as a distinct role; the order and result exchange itself is left to existing FHIR DiagnosticReport and Observation patterns. Where the ordered test requires an in-person visit, that visit is scheduled using the same Appointment Request and Confirmation transactions defined in Section IV for specialist referrals. A prescription resulting from a Disposition Response is, by design, handed off to the existing NCPDP Telecommunication Standard for the pharmacy leg of that transaction. Care coordinated on a patient's behalf by a caregiver or authorized proxy, and the specific mechanism by which an Emergency Escalation establishes live contact, are real and unresolved questions this framework does not yet address.</w:t>
      </w:r>
    </w:p>
    <w:p>
      <w:pPr>
        <w:spacing w:after="160"/>
        <w:jc w:val="both"/>
      </w:pPr>
      <w:r>
        <w:rPr>
          <w:rFonts w:ascii="Times New Roman" w:cs="Times New Roman" w:eastAsia="Times New Roman" w:hAnsi="Times New Roman"/>
          <w:color w:val="000000"/>
          <w:sz w:val="24"/>
          <w:szCs w:val="24"/>
        </w:rPr>
        <w:t xml:space="preserve">This paper proposes such a framework, not as a ratified standard, but as a concrete architectural and transaction proposal intended to open that process. Section II reviews the systems and standards this proposal builds on. Section III states the design principles the framework must satisfy. Section IV defines the proposed case-flow transaction set. Section V defines how organizations and practitioners register and signal availability. Section VI defines coverage, cost-estimation, and payer-facing transactions. Section VII maps each transaction to underlying FHIR resources. Section VIII walks through five illustrative scenarios. Section IX addresses governance and the path from proposal to adoption. Section X names the limitations this proposal does not resolve.</w:t>
      </w:r>
    </w:p>
    <w:p>
      <w:pPr>
        <w:pStyle w:val="Heading1"/>
        <w:spacing w:after="120" w:before="220"/>
      </w:pPr>
      <w:r>
        <w:rPr>
          <w:rFonts w:ascii="Times New Roman" w:cs="Times New Roman" w:eastAsia="Times New Roman" w:hAnsi="Times New Roman"/>
          <w:b/>
          <w:bCs/>
          <w:color w:val="000000"/>
          <w:sz w:val="26"/>
          <w:szCs w:val="26"/>
        </w:rPr>
        <w:t xml:space="preserve">II. Background and Related Work</w:t>
      </w:r>
    </w:p>
    <w:p>
      <w:pPr>
        <w:spacing w:after="160"/>
        <w:jc w:val="both"/>
      </w:pPr>
      <w:r>
        <w:rPr>
          <w:rFonts w:ascii="Times New Roman" w:cs="Times New Roman" w:eastAsia="Times New Roman" w:hAnsi="Times New Roman"/>
          <w:color w:val="000000"/>
          <w:sz w:val="24"/>
          <w:szCs w:val="24"/>
        </w:rPr>
        <w:t xml:space="preserve">Commercial deployment: An AI-driven intake platform was launched with a large health system's virtual urgent-care service in 2022 [2] [3]. These deployments demonstrate commercial viability but do not publish or propose an interoperable transaction format.</w:t>
      </w:r>
    </w:p>
    <w:p>
      <w:pPr>
        <w:spacing w:after="160"/>
        <w:jc w:val="both"/>
      </w:pPr>
      <w:r>
        <w:rPr>
          <w:rFonts w:ascii="Times New Roman" w:cs="Times New Roman" w:eastAsia="Times New Roman" w:hAnsi="Times New Roman"/>
          <w:color w:val="000000"/>
          <w:sz w:val="24"/>
          <w:szCs w:val="24"/>
        </w:rPr>
        <w:t xml:space="preserve">Clinical evaluation: A retrospective study comparing an AI system's initial suggested disposition to the reviewing physician's final recommendation found the AI's suggestion rated of comparable or higher quality in the majority of cases where the two differed [4].</w:t>
      </w:r>
    </w:p>
    <w:p>
      <w:pPr>
        <w:spacing w:after="160"/>
        <w:jc w:val="both"/>
      </w:pPr>
      <w:r>
        <w:rPr>
          <w:rFonts w:ascii="Times New Roman" w:cs="Times New Roman" w:eastAsia="Times New Roman" w:hAnsi="Times New Roman"/>
          <w:color w:val="000000"/>
          <w:sz w:val="24"/>
          <w:szCs w:val="24"/>
        </w:rPr>
        <w:t xml:space="preserve">Data-access infrastructure: A 2026 health-data connector enables users to bring longitudinal laboratory and clinician-authored data into general-purpose AI assistants through remote Model Context Protocol connectors [5].</w:t>
      </w:r>
    </w:p>
    <w:p>
      <w:pPr>
        <w:spacing w:after="160"/>
        <w:jc w:val="both"/>
      </w:pPr>
      <w:r>
        <w:rPr>
          <w:rFonts w:ascii="Times New Roman" w:cs="Times New Roman" w:eastAsia="Times New Roman" w:hAnsi="Times New Roman"/>
          <w:color w:val="000000"/>
          <w:sz w:val="24"/>
          <w:szCs w:val="24"/>
        </w:rPr>
        <w:t xml:space="preserve">Academic precedent: The most directly related published work proposes and rigorously evaluates a paradigm of asynchronous physician oversight, in which an AI system conducts guarded history-taking and defers individualized decisions to a single overseeing primary care physician [6]. This work is a single-overseeing-physician model rather than a distributed, credential-scoped reviewer pool, and does not propose an interoperable message format. A related industrial architecture uses a coordinated constellation of specialist agents for lower-acuity patient-facing communication tasks [7].</w:t>
      </w:r>
    </w:p>
    <w:p>
      <w:pPr>
        <w:spacing w:after="160"/>
        <w:jc w:val="both"/>
      </w:pPr>
      <w:r>
        <w:rPr>
          <w:rFonts w:ascii="Times New Roman" w:cs="Times New Roman" w:eastAsia="Times New Roman" w:hAnsi="Times New Roman"/>
          <w:color w:val="000000"/>
          <w:sz w:val="24"/>
          <w:szCs w:val="24"/>
        </w:rPr>
        <w:t xml:space="preserve">Standards and regulatory context: FHIR is the dominant substrate for health data interoperability, and CDS Hooks provides a pattern for triggering decision-support interactions [10] [11]. HL7 launched a new implementation community in March 2026 focused on high-frequency device data [9]. The CMS Interoperability and Prior Authorization Final Rule already requires impacted payers to implement FHIR-based APIs and issue decisions within fixed timeframes [13]. No existing implementation guide connects intake, review, credentialing, and payer participation into a single transaction set.</w:t>
      </w:r>
    </w:p>
    <w:p>
      <w:pPr>
        <w:spacing w:after="160"/>
        <w:jc w:val="both"/>
      </w:pPr>
      <w:r>
        <w:rPr>
          <w:rFonts w:ascii="Times New Roman" w:cs="Times New Roman" w:eastAsia="Times New Roman" w:hAnsi="Times New Roman"/>
          <w:color w:val="000000"/>
          <w:sz w:val="24"/>
          <w:szCs w:val="24"/>
        </w:rPr>
        <w:t xml:space="preserve">Directly adjacent standards work exists at each of the framework's boundaries rather than across its full scope. IHE's Patient Care Coordination Technical Framework Supplement, the 360 Exchange Closed Loop Referral profile, defines a mature, deployed pattern for a referral placed by one provider and fulfilled by another, including the acceptance and outcome-reporting steps that close the loop [21]. That pattern is compatible with, and could inform the implementation of, this framework's Appointment Request and Confirmation transactions; it does not, however, address the AI-mediated intake, conservative emergency fork, or queue-based credentialed review that determines whether and where a referral is warranted in the first place, closed-loop referral standards begin after that determination has already been made. HL7's Da Vinci Prior Authorization Support (PAS) implementation guide similarly defines a mature transaction for the authorization request itself, which this framework hands off to rather than redefines in Section VI; PAS likewise assumes a provider has already decided a service is needed and does not address how that decision was reached. The gap this framework proposes to fill sits upstream of both: the intake-to-disposition process that produces the decision to refer or to seek authorization, not the downstream transactions that execute on it.</w:t>
      </w:r>
    </w:p>
    <w:p>
      <w:pPr>
        <w:pStyle w:val="Heading1"/>
        <w:spacing w:after="120" w:before="220"/>
      </w:pPr>
      <w:r>
        <w:rPr>
          <w:rFonts w:ascii="Times New Roman" w:cs="Times New Roman" w:eastAsia="Times New Roman" w:hAnsi="Times New Roman"/>
          <w:b/>
          <w:bCs/>
          <w:color w:val="000000"/>
          <w:sz w:val="26"/>
          <w:szCs w:val="26"/>
        </w:rPr>
        <w:t xml:space="preserve">III. Design Principles</w:t>
      </w:r>
    </w:p>
    <w:p>
      <w:pPr>
        <w:spacing w:after="160"/>
        <w:jc w:val="both"/>
      </w:pPr>
      <w:r>
        <w:rPr>
          <w:rFonts w:ascii="Times New Roman" w:cs="Times New Roman" w:eastAsia="Times New Roman" w:hAnsi="Times New Roman"/>
          <w:color w:val="000000"/>
          <w:sz w:val="24"/>
          <w:szCs w:val="24"/>
        </w:rPr>
        <w:t xml:space="preserve">The framework is governed by seven principles. First, every non-emergency case must receive disposition from a credentialed human reviewer. Second, emergency escalation is architecturally separate from routine asynchronous review. Third, review assignment is queue-based and scoped by verified credential and current availability. Fourth, disposition is returned as a structured, coded response rather than free text. Fifth, the framework is defined as a profile over existing FHIR resources. Sixth, the framework is agnostic to how any participant interacts with it: a purpose-built application and a general-purpose AI-assistant connector are equally valid clients. Seventh, network-status constraints on the reviewer pool are an informed patient preference, not an architectural default.</w:t>
      </w:r>
    </w:p>
    <w:p>
      <w:pPr>
        <w:pStyle w:val="Heading1"/>
        <w:spacing w:after="120" w:before="220"/>
      </w:pPr>
      <w:r>
        <w:rPr>
          <w:rFonts w:ascii="Times New Roman" w:cs="Times New Roman" w:eastAsia="Times New Roman" w:hAnsi="Times New Roman"/>
          <w:b/>
          <w:bCs/>
          <w:color w:val="000000"/>
          <w:sz w:val="26"/>
          <w:szCs w:val="26"/>
        </w:rPr>
        <w:t xml:space="preserve">IV. Proposed Case-Flow Transaction Model</w:t>
      </w:r>
    </w:p>
    <w:p>
      <w:pPr>
        <w:spacing w:after="160"/>
        <w:jc w:val="both"/>
      </w:pPr>
      <w:r>
        <w:rPr>
          <w:rFonts w:ascii="Times New Roman" w:cs="Times New Roman" w:eastAsia="Times New Roman" w:hAnsi="Times New Roman"/>
          <w:color w:val="000000"/>
          <w:sz w:val="24"/>
          <w:szCs w:val="24"/>
        </w:rPr>
        <w:t xml:space="preserve">Fig. 1 summarizes the three transacting parties and the transaction categories connecting them, before the specific transactions within each category are defined in the remainder of this and the following two sections.</w:t>
      </w:r>
    </w:p>
    <w:p>
      <w:pPr>
        <w:spacing w:after="80" w:before="160"/>
        <w:jc w:val="center"/>
      </w:pPr>
      <w:r>
        <w:drawing>
          <wp:inline distT="0" distB="0" distL="0" distR="0">
            <wp:extent cx="1104900" cy="1504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104900" cy="1504950"/>
                    </a:xfrm>
                    <a:prstGeom prst="rect">
                      <a:avLst/>
                    </a:prstGeom>
                  </pic:spPr>
                </pic:pic>
              </a:graphicData>
            </a:graphic>
          </wp:inline>
        </w:drawing>
      </w:r>
    </w:p>
    <w:p>
      <w:pPr>
        <w:spacing w:after="160"/>
        <w:jc w:val="center"/>
      </w:pPr>
      <w:r>
        <w:rPr>
          <w:rFonts w:ascii="Times New Roman" w:cs="Times New Roman" w:eastAsia="Times New Roman" w:hAnsi="Times New Roman"/>
          <w:color w:val="000000"/>
          <w:sz w:val="22"/>
          <w:szCs w:val="22"/>
        </w:rPr>
        <w:t xml:space="preserve">Fig. 1.  Transacting parties and transaction categories.</w:t>
      </w:r>
    </w:p>
    <w:p>
      <w:pPr>
        <w:spacing w:after="160"/>
        <w:jc w:val="both"/>
      </w:pPr>
      <w:r>
        <w:rPr>
          <w:rFonts w:ascii="Times New Roman" w:cs="Times New Roman" w:eastAsia="Times New Roman" w:hAnsi="Times New Roman"/>
          <w:color w:val="000000"/>
          <w:sz w:val="24"/>
          <w:szCs w:val="24"/>
        </w:rPr>
        <w:t xml:space="preserve">Eight transaction types govern the clinical case flow, summarized in Table I.</w:t>
      </w:r>
    </w:p>
    <w:p>
      <w:pPr>
        <w:sectPr>
          <w:type w:val="continuous"/>
          <w:pgSz w:w="12240" w:h="15840" w:orient="portrait"/>
          <w:pgMar w:top="1080" w:right="1080" w:bottom="1080" w:left="1080" w:header="708" w:footer="708" w:gutter="0"/>
          <w:pgNumType/>
          <w:cols w:space="490" w:num="2"/>
          <w:docGrid w:linePitch="360"/>
        </w:sectPr>
      </w:pPr>
    </w:p>
    <w:p>
      <w:pPr>
        <w:spacing w:after="80" w:before="80"/>
      </w:pPr>
      <w:r>
        <w:rPr>
          <w:rFonts w:ascii="Times New Roman" w:cs="Times New Roman" w:eastAsia="Times New Roman" w:hAnsi="Times New Roman"/>
          <w:b/>
          <w:bCs/>
          <w:color w:val="000000"/>
          <w:sz w:val="20"/>
          <w:szCs w:val="20"/>
        </w:rPr>
        <w:t xml:space="preserve">TABLE I. PROPOSED CASE-FLOW TRANSACTION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4200"/>
        <w:gridCol w:w="2000"/>
      </w:tblGrid>
      <w:tr>
        <w:tc>
          <w:tcPr>
            <w:tcW w:type="dxa" w:w="900"/>
            <w:shd w:fill="E8E8E8" w:val="clear"/>
          </w:tcPr>
          <w:p>
            <w:r>
              <w:rPr>
                <w:rFonts w:ascii="Times New Roman" w:cs="Times New Roman" w:eastAsia="Times New Roman" w:hAnsi="Times New Roman"/>
                <w:b/>
                <w:bCs/>
                <w:color w:val="000000"/>
                <w:sz w:val="20"/>
                <w:szCs w:val="20"/>
              </w:rPr>
              <w:t xml:space="preserve">Code</w:t>
            </w:r>
          </w:p>
        </w:tc>
        <w:tc>
          <w:tcPr>
            <w:tcW w:type="dxa" w:w="2300"/>
            <w:shd w:fill="E8E8E8" w:val="clear"/>
          </w:tcPr>
          <w:p>
            <w:r>
              <w:rPr>
                <w:rFonts w:ascii="Times New Roman" w:cs="Times New Roman" w:eastAsia="Times New Roman" w:hAnsi="Times New Roman"/>
                <w:b/>
                <w:bCs/>
                <w:color w:val="000000"/>
                <w:sz w:val="20"/>
                <w:szCs w:val="20"/>
              </w:rPr>
              <w:t xml:space="preserve">Transaction</w:t>
            </w:r>
          </w:p>
        </w:tc>
        <w:tc>
          <w:tcPr>
            <w:tcW w:type="dxa" w:w="4200"/>
            <w:shd w:fill="E8E8E8" w:val="clear"/>
          </w:tcPr>
          <w:p>
            <w:r>
              <w:rPr>
                <w:rFonts w:ascii="Times New Roman" w:cs="Times New Roman" w:eastAsia="Times New Roman" w:hAnsi="Times New Roman"/>
                <w:b/>
                <w:bCs/>
                <w:color w:val="000000"/>
                <w:sz w:val="20"/>
                <w:szCs w:val="20"/>
              </w:rPr>
              <w:t xml:space="preserve">Core Elements</w:t>
            </w:r>
          </w:p>
        </w:tc>
        <w:tc>
          <w:tcPr>
            <w:tcW w:type="dxa" w:w="2000"/>
            <w:shd w:fill="E8E8E8" w:val="clear"/>
          </w:tcPr>
          <w:p>
            <w:r>
              <w:rPr>
                <w:rFonts w:ascii="Times New Roman" w:cs="Times New Roman" w:eastAsia="Times New Roman" w:hAnsi="Times New Roman"/>
                <w:b/>
                <w:bCs/>
                <w:color w:val="000000"/>
                <w:sz w:val="20"/>
                <w:szCs w:val="20"/>
              </w:rPr>
              <w:t xml:space="preserve">FHIR Basis</w:t>
            </w:r>
          </w:p>
        </w:tc>
      </w:tr>
      <w:tr>
        <w:tc>
          <w:tcPr>
            <w:tcW w:type="dxa" w:w="900"/>
          </w:tcPr>
          <w:p>
            <w:r>
              <w:rPr>
                <w:rFonts w:ascii="Times New Roman" w:cs="Times New Roman" w:eastAsia="Times New Roman" w:hAnsi="Times New Roman"/>
                <w:b w:val="false"/>
                <w:bCs w:val="false"/>
                <w:color w:val="000000"/>
                <w:sz w:val="20"/>
                <w:szCs w:val="20"/>
              </w:rPr>
              <w:t xml:space="preserve">IS</w:t>
            </w:r>
          </w:p>
        </w:tc>
        <w:tc>
          <w:tcPr>
            <w:tcW w:type="dxa" w:w="2300"/>
          </w:tcPr>
          <w:p>
            <w:r>
              <w:rPr>
                <w:rFonts w:ascii="Times New Roman" w:cs="Times New Roman" w:eastAsia="Times New Roman" w:hAnsi="Times New Roman"/>
                <w:b w:val="false"/>
                <w:bCs w:val="false"/>
                <w:color w:val="000000"/>
                <w:sz w:val="20"/>
                <w:szCs w:val="20"/>
              </w:rPr>
              <w:t xml:space="preserve">Intake Submission</w:t>
            </w:r>
          </w:p>
        </w:tc>
        <w:tc>
          <w:tcPr>
            <w:tcW w:type="dxa" w:w="4200"/>
          </w:tcPr>
          <w:p>
            <w:r>
              <w:rPr>
                <w:rFonts w:ascii="Times New Roman" w:cs="Times New Roman" w:eastAsia="Times New Roman" w:hAnsi="Times New Roman"/>
                <w:b w:val="false"/>
                <w:bCs w:val="false"/>
                <w:color w:val="000000"/>
                <w:sz w:val="20"/>
                <w:szCs w:val="20"/>
              </w:rPr>
              <w:t xml:space="preserve">Case ID, structured symptom/history data, urgency score</w:t>
            </w:r>
          </w:p>
        </w:tc>
        <w:tc>
          <w:tcPr>
            <w:tcW w:type="dxa" w:w="2000"/>
          </w:tcPr>
          <w:p>
            <w:r>
              <w:rPr>
                <w:rFonts w:ascii="Times New Roman" w:cs="Times New Roman" w:eastAsia="Times New Roman" w:hAnsi="Times New Roman"/>
                <w:b w:val="false"/>
                <w:bCs w:val="false"/>
                <w:color w:val="000000"/>
                <w:sz w:val="20"/>
                <w:szCs w:val="20"/>
              </w:rPr>
              <w:t xml:space="preserve">QuestionnaireResponse, Observation, Encounter</w:t>
            </w:r>
          </w:p>
        </w:tc>
      </w:tr>
      <w:tr>
        <w:tc>
          <w:tcPr>
            <w:tcW w:type="dxa" w:w="900"/>
          </w:tcPr>
          <w:p>
            <w:r>
              <w:rPr>
                <w:rFonts w:ascii="Times New Roman" w:cs="Times New Roman" w:eastAsia="Times New Roman" w:hAnsi="Times New Roman"/>
                <w:b w:val="false"/>
                <w:bCs w:val="false"/>
                <w:color w:val="000000"/>
                <w:sz w:val="20"/>
                <w:szCs w:val="20"/>
              </w:rPr>
              <w:t xml:space="preserve">EE</w:t>
            </w:r>
          </w:p>
        </w:tc>
        <w:tc>
          <w:tcPr>
            <w:tcW w:type="dxa" w:w="2300"/>
          </w:tcPr>
          <w:p>
            <w:r>
              <w:rPr>
                <w:rFonts w:ascii="Times New Roman" w:cs="Times New Roman" w:eastAsia="Times New Roman" w:hAnsi="Times New Roman"/>
                <w:b w:val="false"/>
                <w:bCs w:val="false"/>
                <w:color w:val="000000"/>
                <w:sz w:val="20"/>
                <w:szCs w:val="20"/>
              </w:rPr>
              <w:t xml:space="preserve">Emergency Escalation</w:t>
            </w:r>
          </w:p>
        </w:tc>
        <w:tc>
          <w:tcPr>
            <w:tcW w:type="dxa" w:w="4200"/>
          </w:tcPr>
          <w:p>
            <w:r>
              <w:rPr>
                <w:rFonts w:ascii="Times New Roman" w:cs="Times New Roman" w:eastAsia="Times New Roman" w:hAnsi="Times New Roman"/>
                <w:b w:val="false"/>
                <w:bCs w:val="false"/>
                <w:color w:val="000000"/>
                <w:sz w:val="20"/>
                <w:szCs w:val="20"/>
              </w:rPr>
              <w:t xml:space="preserve">Priority flag, red-flag indicators, live-endpoint reference</w:t>
            </w:r>
          </w:p>
        </w:tc>
        <w:tc>
          <w:tcPr>
            <w:tcW w:type="dxa" w:w="2000"/>
          </w:tcPr>
          <w:p>
            <w:r>
              <w:rPr>
                <w:rFonts w:ascii="Times New Roman" w:cs="Times New Roman" w:eastAsia="Times New Roman" w:hAnsi="Times New Roman"/>
                <w:b w:val="false"/>
                <w:bCs w:val="false"/>
                <w:color w:val="000000"/>
                <w:sz w:val="20"/>
                <w:szCs w:val="20"/>
              </w:rPr>
              <w:t xml:space="preserve">ServiceRequest (priority=stat), Communication</w:t>
            </w:r>
          </w:p>
        </w:tc>
      </w:tr>
      <w:tr>
        <w:tc>
          <w:tcPr>
            <w:tcW w:type="dxa" w:w="900"/>
          </w:tcPr>
          <w:p>
            <w:r>
              <w:rPr>
                <w:rFonts w:ascii="Times New Roman" w:cs="Times New Roman" w:eastAsia="Times New Roman" w:hAnsi="Times New Roman"/>
                <w:b w:val="false"/>
                <w:bCs w:val="false"/>
                <w:color w:val="000000"/>
                <w:sz w:val="20"/>
                <w:szCs w:val="20"/>
              </w:rPr>
              <w:t xml:space="preserve">ARR</w:t>
            </w:r>
          </w:p>
        </w:tc>
        <w:tc>
          <w:tcPr>
            <w:tcW w:type="dxa" w:w="2300"/>
          </w:tcPr>
          <w:p>
            <w:r>
              <w:rPr>
                <w:rFonts w:ascii="Times New Roman" w:cs="Times New Roman" w:eastAsia="Times New Roman" w:hAnsi="Times New Roman"/>
                <w:b w:val="false"/>
                <w:bCs w:val="false"/>
                <w:color w:val="000000"/>
                <w:sz w:val="20"/>
                <w:szCs w:val="20"/>
              </w:rPr>
              <w:t xml:space="preserve">Async Review Request</w:t>
            </w:r>
          </w:p>
        </w:tc>
        <w:tc>
          <w:tcPr>
            <w:tcW w:type="dxa" w:w="4200"/>
          </w:tcPr>
          <w:p>
            <w:r>
              <w:rPr>
                <w:rFonts w:ascii="Times New Roman" w:cs="Times New Roman" w:eastAsia="Times New Roman" w:hAnsi="Times New Roman"/>
                <w:b w:val="false"/>
                <w:bCs w:val="false"/>
                <w:color w:val="000000"/>
                <w:sz w:val="20"/>
                <w:szCs w:val="20"/>
              </w:rPr>
              <w:t xml:space="preserve">Full case file, AI-suggested disposition, confidence metadata</w:t>
            </w:r>
          </w:p>
        </w:tc>
        <w:tc>
          <w:tcPr>
            <w:tcW w:type="dxa" w:w="2000"/>
          </w:tcPr>
          <w:p>
            <w:r>
              <w:rPr>
                <w:rFonts w:ascii="Times New Roman" w:cs="Times New Roman" w:eastAsia="Times New Roman" w:hAnsi="Times New Roman"/>
                <w:b w:val="false"/>
                <w:bCs w:val="false"/>
                <w:color w:val="000000"/>
                <w:sz w:val="20"/>
                <w:szCs w:val="20"/>
              </w:rPr>
              <w:t xml:space="preserve">Task (status=requested, pool-scoped)</w:t>
            </w:r>
          </w:p>
        </w:tc>
      </w:tr>
      <w:tr>
        <w:tc>
          <w:tcPr>
            <w:tcW w:type="dxa" w:w="900"/>
          </w:tcPr>
          <w:p>
            <w:r>
              <w:rPr>
                <w:rFonts w:ascii="Times New Roman" w:cs="Times New Roman" w:eastAsia="Times New Roman" w:hAnsi="Times New Roman"/>
                <w:b w:val="false"/>
                <w:bCs w:val="false"/>
                <w:color w:val="000000"/>
                <w:sz w:val="20"/>
                <w:szCs w:val="20"/>
              </w:rPr>
              <w:t xml:space="preserve">RC</w:t>
            </w:r>
          </w:p>
        </w:tc>
        <w:tc>
          <w:tcPr>
            <w:tcW w:type="dxa" w:w="2300"/>
          </w:tcPr>
          <w:p>
            <w:r>
              <w:rPr>
                <w:rFonts w:ascii="Times New Roman" w:cs="Times New Roman" w:eastAsia="Times New Roman" w:hAnsi="Times New Roman"/>
                <w:b w:val="false"/>
                <w:bCs w:val="false"/>
                <w:color w:val="000000"/>
                <w:sz w:val="20"/>
                <w:szCs w:val="20"/>
              </w:rPr>
              <w:t xml:space="preserve">Review Claim</w:t>
            </w:r>
          </w:p>
        </w:tc>
        <w:tc>
          <w:tcPr>
            <w:tcW w:type="dxa" w:w="4200"/>
          </w:tcPr>
          <w:p>
            <w:r>
              <w:rPr>
                <w:rFonts w:ascii="Times New Roman" w:cs="Times New Roman" w:eastAsia="Times New Roman" w:hAnsi="Times New Roman"/>
                <w:b w:val="false"/>
                <w:bCs w:val="false"/>
                <w:color w:val="000000"/>
                <w:sz w:val="20"/>
                <w:szCs w:val="20"/>
              </w:rPr>
              <w:t xml:space="preserve">Reviewer identifier, credential scope, claim timestamp</w:t>
            </w:r>
          </w:p>
        </w:tc>
        <w:tc>
          <w:tcPr>
            <w:tcW w:type="dxa" w:w="2000"/>
          </w:tcPr>
          <w:p>
            <w:r>
              <w:rPr>
                <w:rFonts w:ascii="Times New Roman" w:cs="Times New Roman" w:eastAsia="Times New Roman" w:hAnsi="Times New Roman"/>
                <w:b w:val="false"/>
                <w:bCs w:val="false"/>
                <w:color w:val="000000"/>
                <w:sz w:val="20"/>
                <w:szCs w:val="20"/>
              </w:rPr>
              <w:t xml:space="preserve">Task (status: requested→in-progress)</w:t>
            </w:r>
          </w:p>
        </w:tc>
      </w:tr>
      <w:tr>
        <w:tc>
          <w:tcPr>
            <w:tcW w:type="dxa" w:w="900"/>
          </w:tcPr>
          <w:p>
            <w:r>
              <w:rPr>
                <w:rFonts w:ascii="Times New Roman" w:cs="Times New Roman" w:eastAsia="Times New Roman" w:hAnsi="Times New Roman"/>
                <w:b w:val="false"/>
                <w:bCs w:val="false"/>
                <w:color w:val="000000"/>
                <w:sz w:val="20"/>
                <w:szCs w:val="20"/>
              </w:rPr>
              <w:t xml:space="preserve">DR</w:t>
            </w:r>
          </w:p>
        </w:tc>
        <w:tc>
          <w:tcPr>
            <w:tcW w:type="dxa" w:w="2300"/>
          </w:tcPr>
          <w:p>
            <w:r>
              <w:rPr>
                <w:rFonts w:ascii="Times New Roman" w:cs="Times New Roman" w:eastAsia="Times New Roman" w:hAnsi="Times New Roman"/>
                <w:b w:val="false"/>
                <w:bCs w:val="false"/>
                <w:color w:val="000000"/>
                <w:sz w:val="20"/>
                <w:szCs w:val="20"/>
              </w:rPr>
              <w:t xml:space="preserve">Disposition Response</w:t>
            </w:r>
          </w:p>
        </w:tc>
        <w:tc>
          <w:tcPr>
            <w:tcW w:type="dxa" w:w="4200"/>
          </w:tcPr>
          <w:p>
            <w:r>
              <w:rPr>
                <w:rFonts w:ascii="Times New Roman" w:cs="Times New Roman" w:eastAsia="Times New Roman" w:hAnsi="Times New Roman"/>
                <w:b w:val="false"/>
                <w:bCs w:val="false"/>
                <w:color w:val="000000"/>
                <w:sz w:val="20"/>
                <w:szCs w:val="20"/>
              </w:rPr>
              <w:t xml:space="preserve">Outcome code (confirm/redirect), reason-type code, urgency designation, next action</w:t>
            </w:r>
          </w:p>
        </w:tc>
        <w:tc>
          <w:tcPr>
            <w:tcW w:type="dxa" w:w="2000"/>
          </w:tcPr>
          <w:p>
            <w:r>
              <w:rPr>
                <w:rFonts w:ascii="Times New Roman" w:cs="Times New Roman" w:eastAsia="Times New Roman" w:hAnsi="Times New Roman"/>
                <w:b w:val="false"/>
                <w:bCs w:val="false"/>
                <w:color w:val="000000"/>
                <w:sz w:val="20"/>
                <w:szCs w:val="20"/>
              </w:rPr>
              <w:t xml:space="preserve">Task (status→completed), new ServiceRequest if redirected</w:t>
            </w:r>
          </w:p>
        </w:tc>
      </w:tr>
      <w:tr>
        <w:tc>
          <w:tcPr>
            <w:tcW w:type="dxa" w:w="900"/>
          </w:tcPr>
          <w:p>
            <w:r>
              <w:rPr>
                <w:rFonts w:ascii="Times New Roman" w:cs="Times New Roman" w:eastAsia="Times New Roman" w:hAnsi="Times New Roman"/>
                <w:b w:val="false"/>
                <w:bCs w:val="false"/>
                <w:color w:val="000000"/>
                <w:sz w:val="20"/>
                <w:szCs w:val="20"/>
              </w:rPr>
              <w:t xml:space="preserve">APR</w:t>
            </w:r>
          </w:p>
        </w:tc>
        <w:tc>
          <w:tcPr>
            <w:tcW w:type="dxa" w:w="2300"/>
          </w:tcPr>
          <w:p>
            <w:r>
              <w:rPr>
                <w:rFonts w:ascii="Times New Roman" w:cs="Times New Roman" w:eastAsia="Times New Roman" w:hAnsi="Times New Roman"/>
                <w:b w:val="false"/>
                <w:bCs w:val="false"/>
                <w:color w:val="000000"/>
                <w:sz w:val="20"/>
                <w:szCs w:val="20"/>
              </w:rPr>
              <w:t xml:space="preserve">Appointment Request</w:t>
            </w:r>
          </w:p>
        </w:tc>
        <w:tc>
          <w:tcPr>
            <w:tcW w:type="dxa" w:w="4200"/>
          </w:tcPr>
          <w:p>
            <w:r>
              <w:rPr>
                <w:rFonts w:ascii="Times New Roman" w:cs="Times New Roman" w:eastAsia="Times New Roman" w:hAnsi="Times New Roman"/>
                <w:b w:val="false"/>
                <w:bCs w:val="false"/>
                <w:color w:val="000000"/>
                <w:sz w:val="20"/>
                <w:szCs w:val="20"/>
              </w:rPr>
              <w:t xml:space="preserve">Target org/practitioner reference, selected Slot reference, urgency designation</w:t>
            </w:r>
          </w:p>
        </w:tc>
        <w:tc>
          <w:tcPr>
            <w:tcW w:type="dxa" w:w="2000"/>
          </w:tcPr>
          <w:p>
            <w:r>
              <w:rPr>
                <w:rFonts w:ascii="Times New Roman" w:cs="Times New Roman" w:eastAsia="Times New Roman" w:hAnsi="Times New Roman"/>
                <w:b w:val="false"/>
                <w:bCs w:val="false"/>
                <w:color w:val="000000"/>
                <w:sz w:val="20"/>
                <w:szCs w:val="20"/>
              </w:rPr>
              <w:t xml:space="preserve">Appointment (status=proposed)</w:t>
            </w:r>
          </w:p>
        </w:tc>
      </w:tr>
      <w:tr>
        <w:tc>
          <w:tcPr>
            <w:tcW w:type="dxa" w:w="900"/>
          </w:tcPr>
          <w:p>
            <w:r>
              <w:rPr>
                <w:rFonts w:ascii="Times New Roman" w:cs="Times New Roman" w:eastAsia="Times New Roman" w:hAnsi="Times New Roman"/>
                <w:b w:val="false"/>
                <w:bCs w:val="false"/>
                <w:color w:val="000000"/>
                <w:sz w:val="20"/>
                <w:szCs w:val="20"/>
              </w:rPr>
              <w:t xml:space="preserve">APC</w:t>
            </w:r>
          </w:p>
        </w:tc>
        <w:tc>
          <w:tcPr>
            <w:tcW w:type="dxa" w:w="2300"/>
          </w:tcPr>
          <w:p>
            <w:r>
              <w:rPr>
                <w:rFonts w:ascii="Times New Roman" w:cs="Times New Roman" w:eastAsia="Times New Roman" w:hAnsi="Times New Roman"/>
                <w:b w:val="false"/>
                <w:bCs w:val="false"/>
                <w:color w:val="000000"/>
                <w:sz w:val="20"/>
                <w:szCs w:val="20"/>
              </w:rPr>
              <w:t xml:space="preserve">Appointment Confirmation</w:t>
            </w:r>
          </w:p>
        </w:tc>
        <w:tc>
          <w:tcPr>
            <w:tcW w:type="dxa" w:w="4200"/>
          </w:tcPr>
          <w:p>
            <w:r>
              <w:rPr>
                <w:rFonts w:ascii="Times New Roman" w:cs="Times New Roman" w:eastAsia="Times New Roman" w:hAnsi="Times New Roman"/>
                <w:b w:val="false"/>
                <w:bCs w:val="false"/>
                <w:color w:val="000000"/>
                <w:sz w:val="20"/>
                <w:szCs w:val="20"/>
              </w:rPr>
              <w:t xml:space="preserve">Confirmed or alternate Slot, location/logistics reference</w:t>
            </w:r>
          </w:p>
        </w:tc>
        <w:tc>
          <w:tcPr>
            <w:tcW w:type="dxa" w:w="2000"/>
          </w:tcPr>
          <w:p>
            <w:r>
              <w:rPr>
                <w:rFonts w:ascii="Times New Roman" w:cs="Times New Roman" w:eastAsia="Times New Roman" w:hAnsi="Times New Roman"/>
                <w:b w:val="false"/>
                <w:bCs w:val="false"/>
                <w:color w:val="000000"/>
                <w:sz w:val="20"/>
                <w:szCs w:val="20"/>
              </w:rPr>
              <w:t xml:space="preserve">Appointment (status: proposed→booked)</w:t>
            </w:r>
          </w:p>
        </w:tc>
      </w:tr>
      <w:tr>
        <w:tc>
          <w:tcPr>
            <w:tcW w:type="dxa" w:w="900"/>
          </w:tcPr>
          <w:p>
            <w:r>
              <w:rPr>
                <w:rFonts w:ascii="Times New Roman" w:cs="Times New Roman" w:eastAsia="Times New Roman" w:hAnsi="Times New Roman"/>
                <w:b w:val="false"/>
                <w:bCs w:val="false"/>
                <w:color w:val="000000"/>
                <w:sz w:val="20"/>
                <w:szCs w:val="20"/>
              </w:rPr>
              <w:t xml:space="preserve">CSQ</w:t>
            </w:r>
          </w:p>
        </w:tc>
        <w:tc>
          <w:tcPr>
            <w:tcW w:type="dxa" w:w="2300"/>
          </w:tcPr>
          <w:p>
            <w:r>
              <w:rPr>
                <w:rFonts w:ascii="Times New Roman" w:cs="Times New Roman" w:eastAsia="Times New Roman" w:hAnsi="Times New Roman"/>
                <w:b w:val="false"/>
                <w:bCs w:val="false"/>
                <w:color w:val="000000"/>
                <w:sz w:val="20"/>
                <w:szCs w:val="20"/>
              </w:rPr>
              <w:t xml:space="preserve">Case Status Query</w:t>
            </w:r>
          </w:p>
        </w:tc>
        <w:tc>
          <w:tcPr>
            <w:tcW w:type="dxa" w:w="4200"/>
          </w:tcPr>
          <w:p>
            <w:r>
              <w:rPr>
                <w:rFonts w:ascii="Times New Roman" w:cs="Times New Roman" w:eastAsia="Times New Roman" w:hAnsi="Times New Roman"/>
                <w:b w:val="false"/>
                <w:bCs w:val="false"/>
                <w:color w:val="000000"/>
                <w:sz w:val="20"/>
                <w:szCs w:val="20"/>
              </w:rPr>
              <w:t xml:space="preserve">Case ID</w:t>
            </w:r>
          </w:p>
        </w:tc>
        <w:tc>
          <w:tcPr>
            <w:tcW w:type="dxa" w:w="2000"/>
          </w:tcPr>
          <w:p>
            <w:r>
              <w:rPr>
                <w:rFonts w:ascii="Times New Roman" w:cs="Times New Roman" w:eastAsia="Times New Roman" w:hAnsi="Times New Roman"/>
                <w:b w:val="false"/>
                <w:bCs w:val="false"/>
                <w:color w:val="000000"/>
                <w:sz w:val="20"/>
                <w:szCs w:val="20"/>
              </w:rPr>
              <w:t xml:space="preserve">Task read/search interaction</w:t>
            </w:r>
          </w:p>
        </w:tc>
      </w:tr>
    </w:tbl>
    <w:p>
      <w:pPr>
        <w:sectPr>
          <w:type w:val="continuous"/>
          <w:pgSz w:w="12240" w:h="15840" w:orient="portrait"/>
          <w:pgMar w:top="1080" w:right="1080" w:bottom="1080" w:left="1080" w:header="708" w:footer="708" w:gutter="0"/>
          <w:pgNumType/>
          <w:cols w:num="1"/>
          <w:docGrid w:linePitch="360"/>
        </w:sectPr>
      </w:pPr>
    </w:p>
    <w:p>
      <w:pPr>
        <w:spacing w:before="160"/>
      </w:pPr>
    </w:p>
    <w:p>
      <w:pPr>
        <w:spacing w:after="160"/>
        <w:jc w:val="both"/>
      </w:pPr>
      <w:r>
        <w:rPr>
          <w:rFonts w:ascii="Times New Roman" w:cs="Times New Roman" w:eastAsia="Times New Roman" w:hAnsi="Times New Roman"/>
          <w:color w:val="000000"/>
          <w:sz w:val="24"/>
          <w:szCs w:val="24"/>
        </w:rPr>
        <w:t xml:space="preserve">The Emergency Escalation transaction is architecturally distinct from the Async Review Request, not a variant of it. The Review Claim transaction allows any credentialed, available reviewer to accept responsibility for a queued case, while preventing two reviewers from independently claiming the same case. Disposition Response carries an expedited-or-standard urgency designation on any redirect outcome. Fig. 2 depicts this sequence, including the point at which Disposition Response either confirms the case or redirects it into the transactions defined in Sections V and VI.</w:t>
      </w:r>
    </w:p>
    <w:p>
      <w:pPr>
        <w:spacing w:after="80" w:before="160"/>
        <w:jc w:val="center"/>
      </w:pPr>
      <w:r>
        <w:drawing>
          <wp:inline distT="0" distB="0" distL="0" distR="0">
            <wp:extent cx="1104900" cy="2200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104900" cy="2200275"/>
                    </a:xfrm>
                    <a:prstGeom prst="rect">
                      <a:avLst/>
                    </a:prstGeom>
                  </pic:spPr>
                </pic:pic>
              </a:graphicData>
            </a:graphic>
          </wp:inline>
        </w:drawing>
      </w:r>
    </w:p>
    <w:p>
      <w:pPr>
        <w:spacing w:after="160"/>
        <w:jc w:val="center"/>
      </w:pPr>
      <w:r>
        <w:rPr>
          <w:rFonts w:ascii="Times New Roman" w:cs="Times New Roman" w:eastAsia="Times New Roman" w:hAnsi="Times New Roman"/>
          <w:color w:val="000000"/>
          <w:sz w:val="22"/>
          <w:szCs w:val="22"/>
        </w:rPr>
        <w:t xml:space="preserve">Fig. 2.  Core case-flow sequence, from Intake Submission through the emergency fork to a Disposition Response.</w:t>
      </w:r>
    </w:p>
    <w:p>
      <w:pPr>
        <w:spacing w:after="160"/>
        <w:jc w:val="both"/>
      </w:pPr>
      <w:r>
        <w:rPr>
          <w:rFonts w:ascii="Times New Roman" w:cs="Times New Roman" w:eastAsia="Times New Roman" w:hAnsi="Times New Roman"/>
          <w:color w:val="000000"/>
          <w:sz w:val="24"/>
          <w:szCs w:val="24"/>
        </w:rPr>
        <w:t xml:space="preserve">When a Disposition Response redirects to a specialist referral or in-person care, the patient's own client submits an Appointment Request against a Slot the target has exposed through its own Availability Update. The reviewing physician's role ends at the Disposition Response. An Appointment Confirmation finalizes the booking.</w:t>
      </w:r>
    </w:p>
    <w:p>
      <w:pPr>
        <w:spacing w:after="160"/>
        <w:jc w:val="both"/>
      </w:pPr>
      <w:r>
        <w:rPr>
          <w:rFonts w:ascii="Times New Roman" w:cs="Times New Roman" w:eastAsia="Times New Roman" w:hAnsi="Times New Roman"/>
          <w:color w:val="000000"/>
          <w:sz w:val="24"/>
          <w:szCs w:val="24"/>
        </w:rPr>
        <w:t xml:space="preserve">Not every appointment originates from a fresh redirect. A Disposition Response may instead establish a recurring order, represented as a FHIR CarePlan with a repeating ServiceRequest. No new transaction type is required: the recurring order generates the same Appointment Request each time it comes due.</w:t>
      </w:r>
    </w:p>
    <w:p>
      <w:pPr>
        <w:pStyle w:val="Heading1"/>
        <w:spacing w:after="120" w:before="220"/>
      </w:pPr>
      <w:r>
        <w:rPr>
          <w:rFonts w:ascii="Times New Roman" w:cs="Times New Roman" w:eastAsia="Times New Roman" w:hAnsi="Times New Roman"/>
          <w:b/>
          <w:bCs/>
          <w:color w:val="000000"/>
          <w:sz w:val="26"/>
          <w:szCs w:val="26"/>
        </w:rPr>
        <w:t xml:space="preserve">V. Registration, Credentialing, and Availability</w:t>
      </w:r>
    </w:p>
    <w:p>
      <w:pPr>
        <w:spacing w:after="160"/>
        <w:jc w:val="both"/>
      </w:pPr>
      <w:r>
        <w:rPr>
          <w:rFonts w:ascii="Times New Roman" w:cs="Times New Roman" w:eastAsia="Times New Roman" w:hAnsi="Times New Roman"/>
          <w:color w:val="000000"/>
          <w:sz w:val="24"/>
          <w:szCs w:val="24"/>
        </w:rPr>
        <w:t xml:space="preserve">Three additional transactions are proposed, summarized in Table II. Organization Registration establishes a healthcare organization as a participant. Practitioner Registration establishes an individual reviewer. Availability Update allows a registered, verified practitioner to signal current eligibility to claim cases.</w:t>
      </w:r>
    </w:p>
    <w:p>
      <w:pPr>
        <w:sectPr>
          <w:type w:val="continuous"/>
          <w:pgSz w:w="12240" w:h="15840" w:orient="portrait"/>
          <w:pgMar w:top="1080" w:right="1080" w:bottom="1080" w:left="1080" w:header="708" w:footer="708" w:gutter="0"/>
          <w:pgNumType/>
          <w:cols w:space="490" w:num="2"/>
          <w:docGrid w:linePitch="360"/>
        </w:sectPr>
      </w:pPr>
    </w:p>
    <w:p>
      <w:pPr>
        <w:spacing w:after="80" w:before="80"/>
      </w:pPr>
      <w:r>
        <w:rPr>
          <w:rFonts w:ascii="Times New Roman" w:cs="Times New Roman" w:eastAsia="Times New Roman" w:hAnsi="Times New Roman"/>
          <w:b/>
          <w:bCs/>
          <w:color w:val="000000"/>
          <w:sz w:val="20"/>
          <w:szCs w:val="20"/>
        </w:rPr>
        <w:t xml:space="preserve">TABLE II. PROPOSED REGISTRATION AND AVAILABILITY TRANSACTION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4200"/>
        <w:gridCol w:w="2000"/>
      </w:tblGrid>
      <w:tr>
        <w:tc>
          <w:tcPr>
            <w:tcW w:type="dxa" w:w="900"/>
            <w:shd w:fill="E8E8E8" w:val="clear"/>
          </w:tcPr>
          <w:p>
            <w:r>
              <w:rPr>
                <w:rFonts w:ascii="Times New Roman" w:cs="Times New Roman" w:eastAsia="Times New Roman" w:hAnsi="Times New Roman"/>
                <w:b/>
                <w:bCs/>
                <w:color w:val="000000"/>
                <w:sz w:val="20"/>
                <w:szCs w:val="20"/>
              </w:rPr>
              <w:t xml:space="preserve">Code</w:t>
            </w:r>
          </w:p>
        </w:tc>
        <w:tc>
          <w:tcPr>
            <w:tcW w:type="dxa" w:w="2300"/>
            <w:shd w:fill="E8E8E8" w:val="clear"/>
          </w:tcPr>
          <w:p>
            <w:r>
              <w:rPr>
                <w:rFonts w:ascii="Times New Roman" w:cs="Times New Roman" w:eastAsia="Times New Roman" w:hAnsi="Times New Roman"/>
                <w:b/>
                <w:bCs/>
                <w:color w:val="000000"/>
                <w:sz w:val="20"/>
                <w:szCs w:val="20"/>
              </w:rPr>
              <w:t xml:space="preserve">Transaction</w:t>
            </w:r>
          </w:p>
        </w:tc>
        <w:tc>
          <w:tcPr>
            <w:tcW w:type="dxa" w:w="4200"/>
            <w:shd w:fill="E8E8E8" w:val="clear"/>
          </w:tcPr>
          <w:p>
            <w:r>
              <w:rPr>
                <w:rFonts w:ascii="Times New Roman" w:cs="Times New Roman" w:eastAsia="Times New Roman" w:hAnsi="Times New Roman"/>
                <w:b/>
                <w:bCs/>
                <w:color w:val="000000"/>
                <w:sz w:val="20"/>
                <w:szCs w:val="20"/>
              </w:rPr>
              <w:t xml:space="preserve">Core Elements</w:t>
            </w:r>
          </w:p>
        </w:tc>
        <w:tc>
          <w:tcPr>
            <w:tcW w:type="dxa" w:w="2000"/>
            <w:shd w:fill="E8E8E8" w:val="clear"/>
          </w:tcPr>
          <w:p>
            <w:r>
              <w:rPr>
                <w:rFonts w:ascii="Times New Roman" w:cs="Times New Roman" w:eastAsia="Times New Roman" w:hAnsi="Times New Roman"/>
                <w:b/>
                <w:bCs/>
                <w:color w:val="000000"/>
                <w:sz w:val="20"/>
                <w:szCs w:val="20"/>
              </w:rPr>
              <w:t xml:space="preserve">FHIR Basis</w:t>
            </w:r>
          </w:p>
        </w:tc>
      </w:tr>
      <w:tr>
        <w:tc>
          <w:tcPr>
            <w:tcW w:type="dxa" w:w="900"/>
          </w:tcPr>
          <w:p>
            <w:r>
              <w:rPr>
                <w:rFonts w:ascii="Times New Roman" w:cs="Times New Roman" w:eastAsia="Times New Roman" w:hAnsi="Times New Roman"/>
                <w:b w:val="false"/>
                <w:bCs w:val="false"/>
                <w:color w:val="000000"/>
                <w:sz w:val="20"/>
                <w:szCs w:val="20"/>
              </w:rPr>
              <w:t xml:space="preserve">OR</w:t>
            </w:r>
          </w:p>
        </w:tc>
        <w:tc>
          <w:tcPr>
            <w:tcW w:type="dxa" w:w="2300"/>
          </w:tcPr>
          <w:p>
            <w:r>
              <w:rPr>
                <w:rFonts w:ascii="Times New Roman" w:cs="Times New Roman" w:eastAsia="Times New Roman" w:hAnsi="Times New Roman"/>
                <w:b w:val="false"/>
                <w:bCs w:val="false"/>
                <w:color w:val="000000"/>
                <w:sz w:val="20"/>
                <w:szCs w:val="20"/>
              </w:rPr>
              <w:t xml:space="preserve">Organization Registration</w:t>
            </w:r>
          </w:p>
        </w:tc>
        <w:tc>
          <w:tcPr>
            <w:tcW w:type="dxa" w:w="4200"/>
          </w:tcPr>
          <w:p>
            <w:r>
              <w:rPr>
                <w:rFonts w:ascii="Times New Roman" w:cs="Times New Roman" w:eastAsia="Times New Roman" w:hAnsi="Times New Roman"/>
                <w:b w:val="false"/>
                <w:bCs w:val="false"/>
                <w:color w:val="000000"/>
                <w:sz w:val="20"/>
                <w:szCs w:val="20"/>
              </w:rPr>
              <w:t xml:space="preserve">Organizational NPI, legal name, technical endpoint, verification status</w:t>
            </w:r>
          </w:p>
        </w:tc>
        <w:tc>
          <w:tcPr>
            <w:tcW w:type="dxa" w:w="2000"/>
          </w:tcPr>
          <w:p>
            <w:r>
              <w:rPr>
                <w:rFonts w:ascii="Times New Roman" w:cs="Times New Roman" w:eastAsia="Times New Roman" w:hAnsi="Times New Roman"/>
                <w:b w:val="false"/>
                <w:bCs w:val="false"/>
                <w:color w:val="000000"/>
                <w:sz w:val="20"/>
                <w:szCs w:val="20"/>
              </w:rPr>
              <w:t xml:space="preserve">Organization, Endpoint</w:t>
            </w:r>
          </w:p>
        </w:tc>
      </w:tr>
      <w:tr>
        <w:tc>
          <w:tcPr>
            <w:tcW w:type="dxa" w:w="900"/>
          </w:tcPr>
          <w:p>
            <w:r>
              <w:rPr>
                <w:rFonts w:ascii="Times New Roman" w:cs="Times New Roman" w:eastAsia="Times New Roman" w:hAnsi="Times New Roman"/>
                <w:b w:val="false"/>
                <w:bCs w:val="false"/>
                <w:color w:val="000000"/>
                <w:sz w:val="20"/>
                <w:szCs w:val="20"/>
              </w:rPr>
              <w:t xml:space="preserve">PR</w:t>
            </w:r>
          </w:p>
        </w:tc>
        <w:tc>
          <w:tcPr>
            <w:tcW w:type="dxa" w:w="2300"/>
          </w:tcPr>
          <w:p>
            <w:r>
              <w:rPr>
                <w:rFonts w:ascii="Times New Roman" w:cs="Times New Roman" w:eastAsia="Times New Roman" w:hAnsi="Times New Roman"/>
                <w:b w:val="false"/>
                <w:bCs w:val="false"/>
                <w:color w:val="000000"/>
                <w:sz w:val="20"/>
                <w:szCs w:val="20"/>
              </w:rPr>
              <w:t xml:space="preserve">Practitioner Registration</w:t>
            </w:r>
          </w:p>
        </w:tc>
        <w:tc>
          <w:tcPr>
            <w:tcW w:type="dxa" w:w="4200"/>
          </w:tcPr>
          <w:p>
            <w:r>
              <w:rPr>
                <w:rFonts w:ascii="Times New Roman" w:cs="Times New Roman" w:eastAsia="Times New Roman" w:hAnsi="Times New Roman"/>
                <w:b w:val="false"/>
                <w:bCs w:val="false"/>
                <w:color w:val="000000"/>
                <w:sz w:val="20"/>
                <w:szCs w:val="20"/>
              </w:rPr>
              <w:t xml:space="preserve">Individual NPI, state license &amp; issuing state, credential scope, organizational affiliation(s), verification status</w:t>
            </w:r>
          </w:p>
        </w:tc>
        <w:tc>
          <w:tcPr>
            <w:tcW w:type="dxa" w:w="2000"/>
          </w:tcPr>
          <w:p>
            <w:r>
              <w:rPr>
                <w:rFonts w:ascii="Times New Roman" w:cs="Times New Roman" w:eastAsia="Times New Roman" w:hAnsi="Times New Roman"/>
                <w:b w:val="false"/>
                <w:bCs w:val="false"/>
                <w:color w:val="000000"/>
                <w:sz w:val="20"/>
                <w:szCs w:val="20"/>
              </w:rPr>
              <w:t xml:space="preserve">Practitioner, PractitionerRole</w:t>
            </w:r>
          </w:p>
        </w:tc>
      </w:tr>
      <w:tr>
        <w:tc>
          <w:tcPr>
            <w:tcW w:type="dxa" w:w="900"/>
          </w:tcPr>
          <w:p>
            <w:r>
              <w:rPr>
                <w:rFonts w:ascii="Times New Roman" w:cs="Times New Roman" w:eastAsia="Times New Roman" w:hAnsi="Times New Roman"/>
                <w:b w:val="false"/>
                <w:bCs w:val="false"/>
                <w:color w:val="000000"/>
                <w:sz w:val="20"/>
                <w:szCs w:val="20"/>
              </w:rPr>
              <w:t xml:space="preserve">AU</w:t>
            </w:r>
          </w:p>
        </w:tc>
        <w:tc>
          <w:tcPr>
            <w:tcW w:type="dxa" w:w="2300"/>
          </w:tcPr>
          <w:p>
            <w:r>
              <w:rPr>
                <w:rFonts w:ascii="Times New Roman" w:cs="Times New Roman" w:eastAsia="Times New Roman" w:hAnsi="Times New Roman"/>
                <w:b w:val="false"/>
                <w:bCs w:val="false"/>
                <w:color w:val="000000"/>
                <w:sz w:val="20"/>
                <w:szCs w:val="20"/>
              </w:rPr>
              <w:t xml:space="preserve">Availability Update</w:t>
            </w:r>
          </w:p>
        </w:tc>
        <w:tc>
          <w:tcPr>
            <w:tcW w:type="dxa" w:w="4200"/>
          </w:tcPr>
          <w:p>
            <w:r>
              <w:rPr>
                <w:rFonts w:ascii="Times New Roman" w:cs="Times New Roman" w:eastAsia="Times New Roman" w:hAnsi="Times New Roman"/>
                <w:b w:val="false"/>
                <w:bCs w:val="false"/>
                <w:color w:val="000000"/>
                <w:sz w:val="20"/>
                <w:szCs w:val="20"/>
              </w:rPr>
              <w:t xml:space="preserve">Practitioner reference, credential-scope filter, availability status, expiry</w:t>
            </w:r>
          </w:p>
        </w:tc>
        <w:tc>
          <w:tcPr>
            <w:tcW w:type="dxa" w:w="2000"/>
          </w:tcPr>
          <w:p>
            <w:r>
              <w:rPr>
                <w:rFonts w:ascii="Times New Roman" w:cs="Times New Roman" w:eastAsia="Times New Roman" w:hAnsi="Times New Roman"/>
                <w:b w:val="false"/>
                <w:bCs w:val="false"/>
                <w:color w:val="000000"/>
                <w:sz w:val="20"/>
                <w:szCs w:val="20"/>
              </w:rPr>
              <w:t xml:space="preserve">Schedule, Slot</w:t>
            </w:r>
          </w:p>
        </w:tc>
      </w:tr>
    </w:tbl>
    <w:p>
      <w:pPr>
        <w:sectPr>
          <w:type w:val="continuous"/>
          <w:pgSz w:w="12240" w:h="15840" w:orient="portrait"/>
          <w:pgMar w:top="1080" w:right="1080" w:bottom="1080" w:left="1080" w:header="708" w:footer="708" w:gutter="0"/>
          <w:pgNumType/>
          <w:cols w:num="1"/>
          <w:docGrid w:linePitch="360"/>
        </w:sectPr>
      </w:pPr>
    </w:p>
    <w:p>
      <w:pPr>
        <w:spacing w:before="160"/>
      </w:pPr>
    </w:p>
    <w:p>
      <w:pPr>
        <w:spacing w:after="160"/>
        <w:jc w:val="both"/>
      </w:pPr>
      <w:r>
        <w:rPr>
          <w:rFonts w:ascii="Times New Roman" w:cs="Times New Roman" w:eastAsia="Times New Roman" w:hAnsi="Times New Roman"/>
          <w:color w:val="000000"/>
          <w:sz w:val="24"/>
          <w:szCs w:val="24"/>
        </w:rPr>
        <w:t xml:space="preserve">This framework intentionally does not define a new credentialing authority. Verification status is intended to be established against the National Plan and Provider Enumeration System and state medical board licensure records. A revocation is a status transition on the existing Practitioner Registration record. An Async Review Request is only claimable by a practitioner with both a verified Practitioner Registration and a current Availability Update.</w:t>
      </w:r>
    </w:p>
    <w:p>
      <w:pPr>
        <w:pStyle w:val="Heading1"/>
        <w:spacing w:after="120" w:before="220"/>
      </w:pPr>
      <w:r>
        <w:rPr>
          <w:rFonts w:ascii="Times New Roman" w:cs="Times New Roman" w:eastAsia="Times New Roman" w:hAnsi="Times New Roman"/>
          <w:b/>
          <w:bCs/>
          <w:color w:val="000000"/>
          <w:sz w:val="26"/>
          <w:szCs w:val="26"/>
        </w:rPr>
        <w:t xml:space="preserve">VI. Coverage, Cost Estimation, and Payer Conformance</w:t>
      </w:r>
    </w:p>
    <w:p>
      <w:pPr>
        <w:spacing w:after="160"/>
        <w:jc w:val="both"/>
      </w:pPr>
      <w:r>
        <w:rPr>
          <w:rFonts w:ascii="Times New Roman" w:cs="Times New Roman" w:eastAsia="Times New Roman" w:hAnsi="Times New Roman"/>
          <w:color w:val="000000"/>
          <w:sz w:val="24"/>
          <w:szCs w:val="24"/>
        </w:rPr>
        <w:t xml:space="preserve">This framework does not resolve the network-status question architecturally. Network status is instead treated as a patient preference, informed by the coverage information this section defines.</w:t>
      </w:r>
    </w:p>
    <w:p>
      <w:pPr>
        <w:spacing w:after="160"/>
        <w:jc w:val="both"/>
      </w:pPr>
      <w:r>
        <w:rPr>
          <w:rFonts w:ascii="Times New Roman" w:cs="Times New Roman" w:eastAsia="Times New Roman" w:hAnsi="Times New Roman"/>
          <w:color w:val="000000"/>
          <w:sz w:val="24"/>
          <w:szCs w:val="24"/>
        </w:rPr>
        <w:t xml:space="preserve">Four transactions establish this, summarized in Table III. Coverage Eligibility Check verifies the patient's benefit and returns available options segmented by network status. Cost Estimate Request and Response apply when a Disposition Response redirects to a service requiring payer cost confirmation. Prior Authorization Trigger hands redirect cases to HL7's existing Da Vinci Prior Authorization Support implementation guide. Claim Submission and Response handle billing for the review encounter itself, and a lab or facility fulfilling a redirected order uses the same transaction pair for its own billing.</w:t>
      </w:r>
    </w:p>
    <w:p>
      <w:pPr>
        <w:sectPr>
          <w:type w:val="continuous"/>
          <w:pgSz w:w="12240" w:h="15840" w:orient="portrait"/>
          <w:pgMar w:top="1080" w:right="1080" w:bottom="1080" w:left="1080" w:header="708" w:footer="708" w:gutter="0"/>
          <w:pgNumType/>
          <w:cols w:space="490" w:num="2"/>
          <w:docGrid w:linePitch="360"/>
        </w:sectPr>
      </w:pPr>
    </w:p>
    <w:p>
      <w:pPr>
        <w:spacing w:after="80" w:before="80"/>
      </w:pPr>
      <w:r>
        <w:rPr>
          <w:rFonts w:ascii="Times New Roman" w:cs="Times New Roman" w:eastAsia="Times New Roman" w:hAnsi="Times New Roman"/>
          <w:b/>
          <w:bCs/>
          <w:color w:val="000000"/>
          <w:sz w:val="20"/>
          <w:szCs w:val="20"/>
        </w:rPr>
        <w:t xml:space="preserve">TABLE III. PROPOSED COVERAGE AND PAYER-FACING TRANSACTION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300"/>
        <w:gridCol w:w="3800"/>
        <w:gridCol w:w="2200"/>
      </w:tblGrid>
      <w:tr>
        <w:tc>
          <w:tcPr>
            <w:tcW w:type="dxa" w:w="1100"/>
            <w:shd w:fill="E8E8E8" w:val="clear"/>
          </w:tcPr>
          <w:p>
            <w:r>
              <w:rPr>
                <w:rFonts w:ascii="Times New Roman" w:cs="Times New Roman" w:eastAsia="Times New Roman" w:hAnsi="Times New Roman"/>
                <w:b/>
                <w:bCs/>
                <w:color w:val="000000"/>
                <w:sz w:val="20"/>
                <w:szCs w:val="20"/>
              </w:rPr>
              <w:t xml:space="preserve">Code</w:t>
            </w:r>
          </w:p>
        </w:tc>
        <w:tc>
          <w:tcPr>
            <w:tcW w:type="dxa" w:w="2300"/>
            <w:shd w:fill="E8E8E8" w:val="clear"/>
          </w:tcPr>
          <w:p>
            <w:r>
              <w:rPr>
                <w:rFonts w:ascii="Times New Roman" w:cs="Times New Roman" w:eastAsia="Times New Roman" w:hAnsi="Times New Roman"/>
                <w:b/>
                <w:bCs/>
                <w:color w:val="000000"/>
                <w:sz w:val="20"/>
                <w:szCs w:val="20"/>
              </w:rPr>
              <w:t xml:space="preserve">Transaction</w:t>
            </w:r>
          </w:p>
        </w:tc>
        <w:tc>
          <w:tcPr>
            <w:tcW w:type="dxa" w:w="3800"/>
            <w:shd w:fill="E8E8E8" w:val="clear"/>
          </w:tcPr>
          <w:p>
            <w:r>
              <w:rPr>
                <w:rFonts w:ascii="Times New Roman" w:cs="Times New Roman" w:eastAsia="Times New Roman" w:hAnsi="Times New Roman"/>
                <w:b/>
                <w:bCs/>
                <w:color w:val="000000"/>
                <w:sz w:val="20"/>
                <w:szCs w:val="20"/>
              </w:rPr>
              <w:t xml:space="preserve">Core Elements</w:t>
            </w:r>
          </w:p>
        </w:tc>
        <w:tc>
          <w:tcPr>
            <w:tcW w:type="dxa" w:w="2200"/>
            <w:shd w:fill="E8E8E8" w:val="clear"/>
          </w:tcPr>
          <w:p>
            <w:r>
              <w:rPr>
                <w:rFonts w:ascii="Times New Roman" w:cs="Times New Roman" w:eastAsia="Times New Roman" w:hAnsi="Times New Roman"/>
                <w:b/>
                <w:bCs/>
                <w:color w:val="000000"/>
                <w:sz w:val="20"/>
                <w:szCs w:val="20"/>
              </w:rPr>
              <w:t xml:space="preserve">FHIR Basis</w:t>
            </w:r>
          </w:p>
        </w:tc>
      </w:tr>
      <w:tr>
        <w:tc>
          <w:tcPr>
            <w:tcW w:type="dxa" w:w="1100"/>
          </w:tcPr>
          <w:p>
            <w:r>
              <w:rPr>
                <w:rFonts w:ascii="Times New Roman" w:cs="Times New Roman" w:eastAsia="Times New Roman" w:hAnsi="Times New Roman"/>
                <w:b w:val="false"/>
                <w:bCs w:val="false"/>
                <w:color w:val="000000"/>
                <w:sz w:val="20"/>
                <w:szCs w:val="20"/>
              </w:rPr>
              <w:t xml:space="preserve">CEC</w:t>
            </w:r>
          </w:p>
        </w:tc>
        <w:tc>
          <w:tcPr>
            <w:tcW w:type="dxa" w:w="2300"/>
          </w:tcPr>
          <w:p>
            <w:r>
              <w:rPr>
                <w:rFonts w:ascii="Times New Roman" w:cs="Times New Roman" w:eastAsia="Times New Roman" w:hAnsi="Times New Roman"/>
                <w:b w:val="false"/>
                <w:bCs w:val="false"/>
                <w:color w:val="000000"/>
                <w:sz w:val="20"/>
                <w:szCs w:val="20"/>
              </w:rPr>
              <w:t xml:space="preserve">Coverage Eligibility Check</w:t>
            </w:r>
          </w:p>
        </w:tc>
        <w:tc>
          <w:tcPr>
            <w:tcW w:type="dxa" w:w="3800"/>
          </w:tcPr>
          <w:p>
            <w:r>
              <w:rPr>
                <w:rFonts w:ascii="Times New Roman" w:cs="Times New Roman" w:eastAsia="Times New Roman" w:hAnsi="Times New Roman"/>
                <w:b w:val="false"/>
                <w:bCs w:val="false"/>
                <w:color w:val="000000"/>
                <w:sz w:val="20"/>
                <w:szCs w:val="20"/>
              </w:rPr>
              <w:t xml:space="preserve">Coverage ID, service type, network-status query</w:t>
            </w:r>
          </w:p>
        </w:tc>
        <w:tc>
          <w:tcPr>
            <w:tcW w:type="dxa" w:w="2200"/>
          </w:tcPr>
          <w:p>
            <w:r>
              <w:rPr>
                <w:rFonts w:ascii="Times New Roman" w:cs="Times New Roman" w:eastAsia="Times New Roman" w:hAnsi="Times New Roman"/>
                <w:b w:val="false"/>
                <w:bCs w:val="false"/>
                <w:color w:val="000000"/>
                <w:sz w:val="20"/>
                <w:szCs w:val="20"/>
              </w:rPr>
              <w:t xml:space="preserve">CoverageEligibilityRequest / Response</w:t>
            </w:r>
          </w:p>
        </w:tc>
      </w:tr>
      <w:tr>
        <w:tc>
          <w:tcPr>
            <w:tcW w:type="dxa" w:w="1100"/>
          </w:tcPr>
          <w:p>
            <w:r>
              <w:rPr>
                <w:rFonts w:ascii="Times New Roman" w:cs="Times New Roman" w:eastAsia="Times New Roman" w:hAnsi="Times New Roman"/>
                <w:b w:val="false"/>
                <w:bCs w:val="false"/>
                <w:color w:val="000000"/>
                <w:sz w:val="20"/>
                <w:szCs w:val="20"/>
              </w:rPr>
              <w:t xml:space="preserve">CER / CES</w:t>
            </w:r>
          </w:p>
        </w:tc>
        <w:tc>
          <w:tcPr>
            <w:tcW w:type="dxa" w:w="2300"/>
          </w:tcPr>
          <w:p>
            <w:r>
              <w:rPr>
                <w:rFonts w:ascii="Times New Roman" w:cs="Times New Roman" w:eastAsia="Times New Roman" w:hAnsi="Times New Roman"/>
                <w:b w:val="false"/>
                <w:bCs w:val="false"/>
                <w:color w:val="000000"/>
                <w:sz w:val="20"/>
                <w:szCs w:val="20"/>
              </w:rPr>
              <w:t xml:space="preserve">Cost Estimate Request / Response</w:t>
            </w:r>
          </w:p>
        </w:tc>
        <w:tc>
          <w:tcPr>
            <w:tcW w:type="dxa" w:w="3800"/>
          </w:tcPr>
          <w:p>
            <w:r>
              <w:rPr>
                <w:rFonts w:ascii="Times New Roman" w:cs="Times New Roman" w:eastAsia="Times New Roman" w:hAnsi="Times New Roman"/>
                <w:b w:val="false"/>
                <w:bCs w:val="false"/>
                <w:color w:val="000000"/>
                <w:sz w:val="20"/>
                <w:szCs w:val="20"/>
              </w:rPr>
              <w:t xml:space="preserve">Redirected service type, expedited-or-standard designation, network option selected, estimate or pending status</w:t>
            </w:r>
          </w:p>
        </w:tc>
        <w:tc>
          <w:tcPr>
            <w:tcW w:type="dxa" w:w="2200"/>
          </w:tcPr>
          <w:p>
            <w:r>
              <w:rPr>
                <w:rFonts w:ascii="Times New Roman" w:cs="Times New Roman" w:eastAsia="Times New Roman" w:hAnsi="Times New Roman"/>
                <w:b w:val="false"/>
                <w:bCs w:val="false"/>
                <w:color w:val="000000"/>
                <w:sz w:val="20"/>
                <w:szCs w:val="20"/>
              </w:rPr>
              <w:t xml:space="preserve">Claim (use=predetermination) / ClaimResponse</w:t>
            </w:r>
          </w:p>
        </w:tc>
      </w:tr>
      <w:tr>
        <w:tc>
          <w:tcPr>
            <w:tcW w:type="dxa" w:w="1100"/>
          </w:tcPr>
          <w:p>
            <w:r>
              <w:rPr>
                <w:rFonts w:ascii="Times New Roman" w:cs="Times New Roman" w:eastAsia="Times New Roman" w:hAnsi="Times New Roman"/>
                <w:b w:val="false"/>
                <w:bCs w:val="false"/>
                <w:color w:val="000000"/>
                <w:sz w:val="20"/>
                <w:szCs w:val="20"/>
              </w:rPr>
              <w:t xml:space="preserve">PAT</w:t>
            </w:r>
          </w:p>
        </w:tc>
        <w:tc>
          <w:tcPr>
            <w:tcW w:type="dxa" w:w="2300"/>
          </w:tcPr>
          <w:p>
            <w:r>
              <w:rPr>
                <w:rFonts w:ascii="Times New Roman" w:cs="Times New Roman" w:eastAsia="Times New Roman" w:hAnsi="Times New Roman"/>
                <w:b w:val="false"/>
                <w:bCs w:val="false"/>
                <w:color w:val="000000"/>
                <w:sz w:val="20"/>
                <w:szCs w:val="20"/>
              </w:rPr>
              <w:t xml:space="preserve">Prior Authorization Trigger</w:t>
            </w:r>
          </w:p>
        </w:tc>
        <w:tc>
          <w:tcPr>
            <w:tcW w:type="dxa" w:w="3800"/>
          </w:tcPr>
          <w:p>
            <w:r>
              <w:rPr>
                <w:rFonts w:ascii="Times New Roman" w:cs="Times New Roman" w:eastAsia="Times New Roman" w:hAnsi="Times New Roman"/>
                <w:b w:val="false"/>
                <w:bCs w:val="false"/>
                <w:color w:val="000000"/>
                <w:sz w:val="20"/>
                <w:szCs w:val="20"/>
              </w:rPr>
              <w:t xml:space="preserve">Redirected service type, reference to external exchange</w:t>
            </w:r>
          </w:p>
        </w:tc>
        <w:tc>
          <w:tcPr>
            <w:tcW w:type="dxa" w:w="2200"/>
          </w:tcPr>
          <w:p>
            <w:r>
              <w:rPr>
                <w:rFonts w:ascii="Times New Roman" w:cs="Times New Roman" w:eastAsia="Times New Roman" w:hAnsi="Times New Roman"/>
                <w:b w:val="false"/>
                <w:bCs w:val="false"/>
                <w:color w:val="000000"/>
                <w:sz w:val="20"/>
                <w:szCs w:val="20"/>
              </w:rPr>
              <w:t xml:space="preserve">Handoff to Da Vinci PAS implementation guide</w:t>
            </w:r>
          </w:p>
        </w:tc>
      </w:tr>
      <w:tr>
        <w:tc>
          <w:tcPr>
            <w:tcW w:type="dxa" w:w="1100"/>
          </w:tcPr>
          <w:p>
            <w:r>
              <w:rPr>
                <w:rFonts w:ascii="Times New Roman" w:cs="Times New Roman" w:eastAsia="Times New Roman" w:hAnsi="Times New Roman"/>
                <w:b w:val="false"/>
                <w:bCs w:val="false"/>
                <w:color w:val="000000"/>
                <w:sz w:val="20"/>
                <w:szCs w:val="20"/>
              </w:rPr>
              <w:t xml:space="preserve">CLM / CLR</w:t>
            </w:r>
          </w:p>
        </w:tc>
        <w:tc>
          <w:tcPr>
            <w:tcW w:type="dxa" w:w="2300"/>
          </w:tcPr>
          <w:p>
            <w:r>
              <w:rPr>
                <w:rFonts w:ascii="Times New Roman" w:cs="Times New Roman" w:eastAsia="Times New Roman" w:hAnsi="Times New Roman"/>
                <w:b w:val="false"/>
                <w:bCs w:val="false"/>
                <w:color w:val="000000"/>
                <w:sz w:val="20"/>
                <w:szCs w:val="20"/>
              </w:rPr>
              <w:t xml:space="preserve">Claim Submission / Response</w:t>
            </w:r>
          </w:p>
        </w:tc>
        <w:tc>
          <w:tcPr>
            <w:tcW w:type="dxa" w:w="3800"/>
          </w:tcPr>
          <w:p>
            <w:r>
              <w:rPr>
                <w:rFonts w:ascii="Times New Roman" w:cs="Times New Roman" w:eastAsia="Times New Roman" w:hAnsi="Times New Roman"/>
                <w:b w:val="false"/>
                <w:bCs w:val="false"/>
                <w:color w:val="000000"/>
                <w:sz w:val="20"/>
                <w:szCs w:val="20"/>
              </w:rPr>
              <w:t xml:space="preserve">Encounter reference, billed service, disposition reference</w:t>
            </w:r>
          </w:p>
        </w:tc>
        <w:tc>
          <w:tcPr>
            <w:tcW w:type="dxa" w:w="2200"/>
          </w:tcPr>
          <w:p>
            <w:r>
              <w:rPr>
                <w:rFonts w:ascii="Times New Roman" w:cs="Times New Roman" w:eastAsia="Times New Roman" w:hAnsi="Times New Roman"/>
                <w:b w:val="false"/>
                <w:bCs w:val="false"/>
                <w:color w:val="000000"/>
                <w:sz w:val="20"/>
                <w:szCs w:val="20"/>
              </w:rPr>
              <w:t xml:space="preserve">Claim (use=claim) / ClaimResponse</w:t>
            </w:r>
          </w:p>
        </w:tc>
      </w:tr>
    </w:tbl>
    <w:p>
      <w:pPr>
        <w:sectPr>
          <w:type w:val="continuous"/>
          <w:pgSz w:w="12240" w:h="15840" w:orient="portrait"/>
          <w:pgMar w:top="1080" w:right="1080" w:bottom="1080" w:left="1080" w:header="708" w:footer="708" w:gutter="0"/>
          <w:pgNumType/>
          <w:cols w:num="1"/>
          <w:docGrid w:linePitch="360"/>
        </w:sectPr>
      </w:pPr>
    </w:p>
    <w:p>
      <w:pPr>
        <w:spacing w:before="160"/>
      </w:pPr>
    </w:p>
    <w:p>
      <w:pPr>
        <w:spacing w:after="160"/>
        <w:jc w:val="both"/>
      </w:pPr>
      <w:r>
        <w:rPr>
          <w:rFonts w:ascii="Times New Roman" w:cs="Times New Roman" w:eastAsia="Times New Roman" w:hAnsi="Times New Roman"/>
          <w:color w:val="000000"/>
          <w:sz w:val="24"/>
          <w:szCs w:val="24"/>
        </w:rPr>
        <w:t xml:space="preserve">Rather than propose a new response-time obligation, this framework adopts the decision timeframes payers are already required to meet under the CMS Interoperability and Prior Authorization Final Rule: seventy-two hours for expedited requests and seven calendar days for standard requests [13]. Scheduling for a standard-designated redirect proceeds automatically once the seven-day window closes, whether or not a response has arrived.</w:t>
      </w:r>
    </w:p>
    <w:p>
      <w:pPr>
        <w:spacing w:after="160"/>
        <w:jc w:val="both"/>
      </w:pPr>
      <w:r>
        <w:rPr>
          <w:rFonts w:ascii="Times New Roman" w:cs="Times New Roman" w:eastAsia="Times New Roman" w:hAnsi="Times New Roman"/>
          <w:color w:val="000000"/>
          <w:sz w:val="24"/>
          <w:szCs w:val="24"/>
        </w:rPr>
        <w:t xml:space="preserve">The client that originated the case receives Cost Estimate Response updates as a push notification, proposed as a FHIR Subscription. A payer may equally expose Coverage Eligibility Check and Cost Estimate Response through a general-purpose AI connector rather than a dedicated portal.</w:t>
      </w:r>
    </w:p>
    <w:p>
      <w:pPr>
        <w:pStyle w:val="Heading1"/>
        <w:spacing w:after="120" w:before="220"/>
      </w:pPr>
      <w:r>
        <w:rPr>
          <w:rFonts w:ascii="Times New Roman" w:cs="Times New Roman" w:eastAsia="Times New Roman" w:hAnsi="Times New Roman"/>
          <w:b/>
          <w:bCs/>
          <w:color w:val="000000"/>
          <w:sz w:val="26"/>
          <w:szCs w:val="26"/>
        </w:rPr>
        <w:t xml:space="preserve">VII. Relationship to Existing Standards</w:t>
      </w:r>
    </w:p>
    <w:p>
      <w:pPr>
        <w:spacing w:after="160"/>
        <w:jc w:val="both"/>
      </w:pPr>
      <w:r>
        <w:rPr>
          <w:rFonts w:ascii="Times New Roman" w:cs="Times New Roman" w:eastAsia="Times New Roman" w:hAnsi="Times New Roman"/>
          <w:color w:val="000000"/>
          <w:sz w:val="24"/>
          <w:szCs w:val="24"/>
        </w:rPr>
        <w:t xml:space="preserve">Each transaction is proposed as a profile over existing FHIR resources. An Intake Submission is a QuestionnaireResponse and Observation resources linked to an Encounter. Observation entries within an Intake Submission are coded using SNOMED CT, consistent with its role as FHIR's default terminology binding for clinical findings and symptoms; the binding is extensible where a jurisdiction or implementer requires an alternate terminology. An Emergency Escalation is a ServiceRequest with an urgent priority flag paired with a Communication resource. An Async Review Request is a Task in a requested state, scoped to a credential-defined pool. A Review Claim transitions that Task to in-progress. A Disposition Response transitions the Task to completed. Appointment Request and Confirmation profile the FHIR Appointment resource.</w:t>
      </w:r>
    </w:p>
    <w:p>
      <w:pPr>
        <w:spacing w:after="160"/>
        <w:jc w:val="both"/>
      </w:pPr>
      <w:r>
        <w:rPr>
          <w:rFonts w:ascii="Times New Roman" w:cs="Times New Roman" w:eastAsia="Times New Roman" w:hAnsi="Times New Roman"/>
          <w:color w:val="000000"/>
          <w:sz w:val="24"/>
          <w:szCs w:val="24"/>
        </w:rPr>
        <w:t xml:space="preserve">Organization Registration profiles Organization and Endpoint. Practitioner Registration profiles Practitioner and PractitionerRole. Availability Update profiles Schedule and Slot. Coverage Eligibility Check profiles CoverageEligibilityRequest/Response. Cost Estimate Request and Response profile Claim and ClaimResponse using FHIR's predetermination use case. Prior Authorization Trigger is a handoff to Da Vinci PAS rather than a new resource. Client neutrality across all three parties is consistent with how SMART App Launch already allows any authorized client to interact with a FHIR server [12].</w:t>
      </w:r>
    </w:p>
    <w:p>
      <w:pPr>
        <w:sectPr>
          <w:type w:val="continuous"/>
          <w:pgSz w:w="12240" w:h="15840" w:orient="portrait"/>
          <w:pgMar w:top="1080" w:right="1080" w:bottom="1080" w:left="1080" w:header="708" w:footer="708" w:gutter="0"/>
          <w:pgNumType/>
          <w:cols w:space="490" w:num="2"/>
          <w:docGrid w:linePitch="360"/>
        </w:sectPr>
      </w:pPr>
    </w:p>
    <w:p>
      <w:pPr>
        <w:pStyle w:val="Heading1"/>
        <w:spacing w:after="120" w:before="220"/>
      </w:pPr>
      <w:r>
        <w:rPr>
          <w:rFonts w:ascii="Times New Roman" w:cs="Times New Roman" w:eastAsia="Times New Roman" w:hAnsi="Times New Roman"/>
          <w:b/>
          <w:bCs/>
          <w:color w:val="000000"/>
          <w:sz w:val="26"/>
          <w:szCs w:val="26"/>
        </w:rPr>
        <w:t xml:space="preserve">VIII. Illustrative Scenarios</w:t>
      </w:r>
    </w:p>
    <w:p>
      <w:pPr>
        <w:spacing w:after="160"/>
        <w:jc w:val="both"/>
      </w:pPr>
      <w:r>
        <w:rPr>
          <w:rFonts w:ascii="Times New Roman" w:cs="Times New Roman" w:eastAsia="Times New Roman" w:hAnsi="Times New Roman"/>
          <w:b/>
          <w:bCs/>
          <w:color w:val="000000"/>
          <w:sz w:val="24"/>
          <w:szCs w:val="24"/>
        </w:rPr>
        <w:t xml:space="preserve">Scenario A, routine disposition. </w:t>
      </w:r>
      <w:r>
        <w:rPr>
          <w:rFonts w:ascii="Times New Roman" w:cs="Times New Roman" w:eastAsia="Times New Roman" w:hAnsi="Times New Roman"/>
          <w:color w:val="000000"/>
          <w:sz w:val="24"/>
          <w:szCs w:val="24"/>
        </w:rPr>
        <w:t xml:space="preserve">A patient reports dysuria through a reference web application. An Async Review Request enters the queue. A physician, reviewing the queue through their own AI-assistant connector, issues a Review Claim and returns a Disposition Response confirming the AI-suggested antibiotic course.</w:t>
      </w:r>
    </w:p>
    <w:p>
      <w:pPr>
        <w:spacing w:after="160"/>
        <w:jc w:val="both"/>
      </w:pPr>
      <w:r>
        <w:rPr>
          <w:rFonts w:ascii="Times New Roman" w:cs="Times New Roman" w:eastAsia="Times New Roman" w:hAnsi="Times New Roman"/>
          <w:b/>
          <w:bCs/>
          <w:color w:val="000000"/>
          <w:sz w:val="24"/>
          <w:szCs w:val="24"/>
        </w:rPr>
        <w:t xml:space="preserve">Scenario B, emergency escalation. </w:t>
      </w:r>
      <w:r>
        <w:rPr>
          <w:rFonts w:ascii="Times New Roman" w:cs="Times New Roman" w:eastAsia="Times New Roman" w:hAnsi="Times New Roman"/>
          <w:color w:val="000000"/>
          <w:sz w:val="24"/>
          <w:szCs w:val="24"/>
        </w:rPr>
        <w:t xml:space="preserve">A patient reports crushing chest pain through a conformant AI-assistant connector. An Emergency Escalation transaction fires immediately, bypassing the queue entirely.</w:t>
      </w:r>
    </w:p>
    <w:p>
      <w:pPr>
        <w:spacing w:after="160"/>
        <w:jc w:val="both"/>
      </w:pPr>
      <w:r>
        <w:rPr>
          <w:rFonts w:ascii="Times New Roman" w:cs="Times New Roman" w:eastAsia="Times New Roman" w:hAnsi="Times New Roman"/>
          <w:b/>
          <w:bCs/>
          <w:color w:val="000000"/>
          <w:sz w:val="24"/>
          <w:szCs w:val="24"/>
        </w:rPr>
        <w:t xml:space="preserve">Scenario C, standard-designated redirect with cost estimate. </w:t>
      </w:r>
      <w:r>
        <w:rPr>
          <w:rFonts w:ascii="Times New Roman" w:cs="Times New Roman" w:eastAsia="Times New Roman" w:hAnsi="Times New Roman"/>
          <w:color w:val="000000"/>
          <w:sz w:val="24"/>
          <w:szCs w:val="24"/>
        </w:rPr>
        <w:t xml:space="preserve">A Disposition Response redirects to an orthopedic specialist referral. A Coverage Eligibility Check returns in-network and out-of-network options; the patient selects in-network. A Cost Estimate Response arrives on day five of the seven-day window as a subscription notification; the connector then books the appointment.</w:t>
      </w:r>
    </w:p>
    <w:p>
      <w:pPr>
        <w:spacing w:after="160"/>
        <w:jc w:val="both"/>
      </w:pPr>
      <w:r>
        <w:rPr>
          <w:rFonts w:ascii="Times New Roman" w:cs="Times New Roman" w:eastAsia="Times New Roman" w:hAnsi="Times New Roman"/>
          <w:b/>
          <w:bCs/>
          <w:color w:val="000000"/>
          <w:sz w:val="24"/>
          <w:szCs w:val="24"/>
        </w:rPr>
        <w:t xml:space="preserve">Scenario D, redirect requiring a lab result. </w:t>
      </w:r>
      <w:r>
        <w:rPr>
          <w:rFonts w:ascii="Times New Roman" w:cs="Times New Roman" w:eastAsia="Times New Roman" w:hAnsi="Times New Roman"/>
          <w:color w:val="000000"/>
          <w:sz w:val="24"/>
          <w:szCs w:val="24"/>
        </w:rPr>
        <w:t xml:space="preserve">A Disposition Response redirects to bloodwork. The connector books the draw. The result is pushed to the patient immediately while re-entering the queue as a new Async Review Request; the ordering physician's Disposition Response confirms no further action.</w:t>
      </w:r>
    </w:p>
    <w:p>
      <w:pPr>
        <w:spacing w:after="160"/>
        <w:jc w:val="both"/>
      </w:pPr>
      <w:r>
        <w:rPr>
          <w:rFonts w:ascii="Times New Roman" w:cs="Times New Roman" w:eastAsia="Times New Roman" w:hAnsi="Times New Roman"/>
          <w:b/>
          <w:bCs/>
          <w:color w:val="000000"/>
          <w:sz w:val="24"/>
          <w:szCs w:val="24"/>
        </w:rPr>
        <w:t xml:space="preserve">Scenario E, a recurring standing order. </w:t>
      </w:r>
      <w:r>
        <w:rPr>
          <w:rFonts w:ascii="Times New Roman" w:cs="Times New Roman" w:eastAsia="Times New Roman" w:hAnsi="Times New Roman"/>
          <w:color w:val="000000"/>
          <w:sz w:val="24"/>
          <w:szCs w:val="24"/>
        </w:rPr>
        <w:t xml:space="preserve">A CarePlan calls for a quarterly A1C panel. The patient's connector tracks the schedule, reminds the patient, and books the draw without a new Intake Submission. The result follows the same pattern as Scenario D.</w:t>
      </w:r>
    </w:p>
    <w:p>
      <w:pPr>
        <w:pStyle w:val="Heading1"/>
        <w:spacing w:after="120" w:before="220"/>
      </w:pPr>
      <w:r>
        <w:rPr>
          <w:rFonts w:ascii="Times New Roman" w:cs="Times New Roman" w:eastAsia="Times New Roman" w:hAnsi="Times New Roman"/>
          <w:b/>
          <w:bCs/>
          <w:color w:val="000000"/>
          <w:sz w:val="26"/>
          <w:szCs w:val="26"/>
        </w:rPr>
        <w:t xml:space="preserve">IX. Governance and Toward Adoption</w:t>
      </w:r>
    </w:p>
    <w:p>
      <w:pPr>
        <w:spacing w:after="160"/>
        <w:jc w:val="both"/>
      </w:pPr>
      <w:r>
        <w:rPr>
          <w:rFonts w:ascii="Times New Roman" w:cs="Times New Roman" w:eastAsia="Times New Roman" w:hAnsi="Times New Roman"/>
          <w:color w:val="000000"/>
          <w:sz w:val="24"/>
          <w:szCs w:val="24"/>
        </w:rPr>
        <w:t xml:space="preserve">This paper proposes a framework; it does not constitute a ratified standard. In the interim, the specification artifacts are intended to be published as a FHIR Implementation Guide hosted from a public GitHub repository, the same workflow HL7 Work Groups use while a guide is in development.</w:t>
      </w:r>
    </w:p>
    <w:p>
      <w:pPr>
        <w:spacing w:after="160"/>
        <w:jc w:val="both"/>
      </w:pPr>
      <w:r>
        <w:rPr>
          <w:rFonts w:ascii="Times New Roman" w:cs="Times New Roman" w:eastAsia="Times New Roman" w:hAnsi="Times New Roman"/>
          <w:color w:val="000000"/>
          <w:sz w:val="24"/>
          <w:szCs w:val="24"/>
        </w:rPr>
        <w:t xml:space="preserve">The specification itself belongs with a neutral standards body, for the same reason the NCPDP Telecommunication Standard is maintained by NCPDP rather than any single switch or pharmacy chain. Credentialing is a verification step against the National Provider Identifier system. Hosting the registration directory is left open to multiple independent implementers. Payer conformance follows the same pattern: the cost-estimate timeframes are drawn directly from the CMS Interoperability and Prior Authorization Final Rule.</w:t>
      </w:r>
    </w:p>
    <w:p>
      <w:pPr>
        <w:spacing w:after="160"/>
        <w:jc w:val="both"/>
      </w:pPr>
      <w:r>
        <w:rPr>
          <w:rFonts w:ascii="Times New Roman" w:cs="Times New Roman" w:eastAsia="Times New Roman" w:hAnsi="Times New Roman"/>
          <w:color w:val="000000"/>
          <w:sz w:val="24"/>
          <w:szCs w:val="24"/>
        </w:rPr>
        <w:t xml:space="preserve">Client choice correlates with organizational scale: an individual patient or small organization is a natural adopter of a general-purpose AI connector; a large health system may expose these transactions through infrastructure it already operates. Neither path is exempt from registration, credentialing, and conformance. Neither major consumer AI assistant platform makes a Business Associate Agreement available for its free consumer chat product; a connector carrying these transactions must be built on an eligible API or enterprise surface with Zero Data Retention configured [18] [19] [20].</w:t>
      </w:r>
    </w:p>
    <w:p>
      <w:pPr>
        <w:pStyle w:val="Heading1"/>
        <w:spacing w:after="120" w:before="220"/>
      </w:pPr>
      <w:r>
        <w:rPr>
          <w:rFonts w:ascii="Times New Roman" w:cs="Times New Roman" w:eastAsia="Times New Roman" w:hAnsi="Times New Roman"/>
          <w:b/>
          <w:bCs/>
          <w:color w:val="000000"/>
          <w:sz w:val="26"/>
          <w:szCs w:val="26"/>
        </w:rPr>
        <w:t xml:space="preserve">X. Limitations and Open Questions</w:t>
      </w:r>
    </w:p>
    <w:p>
      <w:pPr>
        <w:spacing w:after="160"/>
        <w:jc w:val="both"/>
      </w:pPr>
      <w:r>
        <w:rPr>
          <w:rFonts w:ascii="Times New Roman" w:cs="Times New Roman" w:eastAsia="Times New Roman" w:hAnsi="Times New Roman"/>
          <w:color w:val="000000"/>
          <w:sz w:val="24"/>
          <w:szCs w:val="24"/>
        </w:rPr>
        <w:t xml:space="preserve">Care coordinated by a caregiver or authorized proxy, and the specific mechanism by which an Emergency Escalation establishes live contact, remain unresolved. Accountability when a physician confirms an AI-suggested disposition that later proves wrong is not addressed. This framework assumes a patient has some conforming client; patients without reliable connectivity or a smartphone are not served by the transactions defined here. The five scenarios in Section VIII are illustrative worked examples, not an empirical evaluation; no reference implementation yet exists validating the transaction set under concurrent access.</w:t>
      </w:r>
    </w:p>
    <w:p>
      <w:pPr>
        <w:pStyle w:val="Heading1"/>
        <w:spacing w:after="120" w:before="220"/>
      </w:pPr>
      <w:r>
        <w:rPr>
          <w:rFonts w:ascii="Times New Roman" w:cs="Times New Roman" w:eastAsia="Times New Roman" w:hAnsi="Times New Roman"/>
          <w:b/>
          <w:bCs/>
          <w:color w:val="000000"/>
          <w:sz w:val="26"/>
          <w:szCs w:val="26"/>
        </w:rPr>
        <w:t xml:space="preserve">XI. Conclusion</w:t>
      </w:r>
    </w:p>
    <w:p>
      <w:pPr>
        <w:spacing w:after="160"/>
        <w:jc w:val="both"/>
      </w:pPr>
      <w:r>
        <w:rPr>
          <w:rFonts w:ascii="Times New Roman" w:cs="Times New Roman" w:eastAsia="Times New Roman" w:hAnsi="Times New Roman"/>
          <w:color w:val="000000"/>
          <w:sz w:val="24"/>
          <w:szCs w:val="24"/>
        </w:rPr>
        <w:t xml:space="preserve">The constituent pieces of AI-mediated asynchronous care review are each independently mature, deployed commercially, evaluated in peer-reviewed research, or already legally required in adjacent form. What is absent is a shared transaction format connecting them, and a governance model that keeps the specification, credentialing, and implementation of that format in separate hands. This paper proposes such a framework and stakes the foundation for a complete technical specification and reference implementation to follow.</w:t>
      </w:r>
    </w:p>
    <w:p>
      <w:pPr>
        <w:pStyle w:val="Heading1"/>
        <w:spacing w:after="120" w:before="220"/>
      </w:pPr>
      <w:r>
        <w:rPr>
          <w:rFonts w:ascii="Times New Roman" w:cs="Times New Roman" w:eastAsia="Times New Roman" w:hAnsi="Times New Roman"/>
          <w:b/>
          <w:bCs/>
          <w:color w:val="000000"/>
          <w:sz w:val="26"/>
          <w:szCs w:val="26"/>
        </w:rPr>
        <w:t xml:space="preserve">About the Authors</w:t>
      </w:r>
    </w:p>
    <w:p>
      <w:pPr>
        <w:spacing w:after="160"/>
        <w:jc w:val="both"/>
      </w:pPr>
      <w:r>
        <w:rPr>
          <w:rFonts w:ascii="Times New Roman" w:cs="Times New Roman" w:eastAsia="Times New Roman" w:hAnsi="Times New Roman"/>
          <w:color w:val="000000"/>
          <w:sz w:val="24"/>
          <w:szCs w:val="24"/>
        </w:rPr>
        <w:t xml:space="preserve">Santhosh Basineni is an independent researcher with over 13 years of experience building healthcare eligibility, benefit, and claims systems, and more recently building a digital pharmacy hub for claims and benefit operations.</w:t>
      </w:r>
    </w:p>
    <w:p>
      <w:pPr>
        <w:spacing w:after="160"/>
        <w:jc w:val="both"/>
      </w:pPr>
      <w:r>
        <w:rPr>
          <w:rFonts w:ascii="Times New Roman" w:cs="Times New Roman" w:eastAsia="Times New Roman" w:hAnsi="Times New Roman"/>
          <w:color w:val="000000"/>
          <w:sz w:val="24"/>
          <w:szCs w:val="24"/>
        </w:rPr>
        <w:t xml:space="preserve">Mounika Avirineni is an independent researcher with extensive experience across financial services, telecommunications, and healthcare.</w:t>
      </w:r>
    </w:p>
    <w:p>
      <w:pPr>
        <w:sectPr>
          <w:type w:val="continuous"/>
          <w:pgSz w:w="12240" w:h="15840" w:orient="portrait"/>
          <w:pgMar w:top="1080" w:right="1080" w:bottom="1080" w:left="1080" w:header="708" w:footer="708" w:gutter="0"/>
          <w:pgNumType/>
          <w:cols w:space="490" w:num="2"/>
          <w:docGrid w:linePitch="360"/>
        </w:sectPr>
      </w:pPr>
    </w:p>
    <w:p>
      <w:pPr>
        <w:pStyle w:val="Heading1"/>
        <w:spacing w:after="120" w:before="220"/>
      </w:pPr>
      <w:r>
        <w:rPr>
          <w:rFonts w:ascii="Times New Roman" w:cs="Times New Roman" w:eastAsia="Times New Roman" w:hAnsi="Times New Roman"/>
          <w:b/>
          <w:bCs/>
          <w:color w:val="000000"/>
          <w:sz w:val="26"/>
          <w:szCs w:val="26"/>
        </w:rPr>
        <w:t xml:space="preserve">References</w:t>
      </w:r>
    </w:p>
    <w:p>
      <w:pPr>
        <w:spacing w:after="100"/>
        <w:ind w:left="260" w:hanging="260"/>
        <w:jc w:val="left"/>
      </w:pPr>
      <w:r>
        <w:rPr>
          <w:rFonts w:ascii="Times New Roman" w:cs="Times New Roman" w:eastAsia="Times New Roman" w:hAnsi="Times New Roman"/>
          <w:color w:val="000000"/>
          <w:sz w:val="20"/>
          <w:szCs w:val="20"/>
        </w:rPr>
        <w:t xml:space="preserve">[1] NCPDP (National Council for Prescription Drug Programs), Telecommunication Standard Implementation Guide.</w:t>
      </w:r>
    </w:p>
    <w:p>
      <w:pPr>
        <w:spacing w:after="100"/>
        <w:ind w:left="260" w:hanging="260"/>
        <w:jc w:val="left"/>
      </w:pPr>
      <w:r>
        <w:rPr>
          <w:rFonts w:ascii="Times New Roman" w:cs="Times New Roman" w:eastAsia="Times New Roman" w:hAnsi="Times New Roman"/>
          <w:color w:val="000000"/>
          <w:sz w:val="20"/>
          <w:szCs w:val="20"/>
        </w:rPr>
        <w:t xml:space="preserve">[2] Business Wire, "GYANT Launches Asynchronous Care Platform with Intermountain Healthcare to Handle Urgent Care Cases Virtually," Jun. 2022.</w:t>
      </w:r>
    </w:p>
    <w:p>
      <w:pPr>
        <w:spacing w:after="100"/>
        <w:ind w:left="260" w:hanging="260"/>
        <w:jc w:val="left"/>
      </w:pPr>
      <w:r>
        <w:rPr>
          <w:rFonts w:ascii="Times New Roman" w:cs="Times New Roman" w:eastAsia="Times New Roman" w:hAnsi="Times New Roman"/>
          <w:color w:val="000000"/>
          <w:sz w:val="20"/>
          <w:szCs w:val="20"/>
        </w:rPr>
        <w:t xml:space="preserve">[3] Business Wire, "GYANT Launches with Walmart Health Virtual Care to Automate Intake and Streamline Virtual Visits for Members Nationwide," Jun. 2022.</w:t>
      </w:r>
    </w:p>
    <w:p>
      <w:pPr>
        <w:spacing w:after="100"/>
        <w:ind w:left="260" w:hanging="260"/>
        <w:jc w:val="left"/>
      </w:pPr>
      <w:r>
        <w:rPr>
          <w:rFonts w:ascii="Times New Roman" w:cs="Times New Roman" w:eastAsia="Times New Roman" w:hAnsi="Times New Roman"/>
          <w:color w:val="000000"/>
          <w:sz w:val="20"/>
          <w:szCs w:val="20"/>
        </w:rPr>
        <w:t xml:space="preserve">[4] D. Zeltzer, Z. Kugler, L. Hayat, T. Brufman, R. Ilan Ber, K. Leibovich, T. Beer, I. Frank, R. Shaul, C. Goldzweig, and J. Pevnick, "Comparison of Initial Artificial Intelligence (AI) and Final Physician Recommendations in AI-Assisted Virtual Urgent Care Visits," Annals of Internal Medicine, vol. 178, pp. 498-506, Apr. 2025.</w:t>
      </w:r>
    </w:p>
    <w:p>
      <w:pPr>
        <w:spacing w:after="100"/>
        <w:ind w:left="260" w:hanging="260"/>
        <w:jc w:val="left"/>
      </w:pPr>
      <w:r>
        <w:rPr>
          <w:rFonts w:ascii="Times New Roman" w:cs="Times New Roman" w:eastAsia="Times New Roman" w:hAnsi="Times New Roman"/>
          <w:color w:val="000000"/>
          <w:sz w:val="20"/>
          <w:szCs w:val="20"/>
        </w:rPr>
        <w:t xml:space="preserve">[5] HIT Consultant, "Function Launches Secure Health Data Connector for ChatGPT, Claude, and Perplexity," Aug. 2026.</w:t>
      </w:r>
    </w:p>
    <w:p>
      <w:pPr>
        <w:spacing w:after="100"/>
        <w:ind w:left="260" w:hanging="260"/>
        <w:jc w:val="left"/>
      </w:pPr>
      <w:r>
        <w:rPr>
          <w:rFonts w:ascii="Times New Roman" w:cs="Times New Roman" w:eastAsia="Times New Roman" w:hAnsi="Times New Roman"/>
          <w:color w:val="000000"/>
          <w:sz w:val="20"/>
          <w:szCs w:val="20"/>
        </w:rPr>
        <w:t xml:space="preserve">[6] E. Vedadi, D. Barrett, N. Harris, E. Wulczyn, et al., "Towards physician-centered oversight of conversational diagnostic AI," arXiv:2507.15743, Jul. 2025.</w:t>
      </w:r>
    </w:p>
    <w:p>
      <w:pPr>
        <w:spacing w:after="100"/>
        <w:ind w:left="260" w:hanging="260"/>
        <w:jc w:val="left"/>
      </w:pPr>
      <w:r>
        <w:rPr>
          <w:rFonts w:ascii="Times New Roman" w:cs="Times New Roman" w:eastAsia="Times New Roman" w:hAnsi="Times New Roman"/>
          <w:color w:val="000000"/>
          <w:sz w:val="20"/>
          <w:szCs w:val="20"/>
        </w:rPr>
        <w:t xml:space="preserve">[7] S. Mukherjee, P. Gamble, M. S. Ausin, N. Kant, et al., "Polaris: A Safety-focused LLM Constellation Architecture for Healthcare," arXiv:2403.13313, 2024.</w:t>
      </w:r>
    </w:p>
    <w:p>
      <w:pPr>
        <w:spacing w:after="100"/>
        <w:ind w:left="260" w:hanging="260"/>
        <w:jc w:val="left"/>
      </w:pPr>
      <w:r>
        <w:rPr>
          <w:rFonts w:ascii="Times New Roman" w:cs="Times New Roman" w:eastAsia="Times New Roman" w:hAnsi="Times New Roman"/>
          <w:color w:val="000000"/>
          <w:sz w:val="20"/>
          <w:szCs w:val="20"/>
        </w:rPr>
        <w:t xml:space="preserve">[8] HL7, "Building the Standards Infrastructure for Healthcare AI: Lessons from the Interoperability Journey," HL7 Blog, Nov. 2025.</w:t>
      </w:r>
    </w:p>
    <w:p>
      <w:pPr>
        <w:spacing w:after="100"/>
        <w:ind w:left="260" w:hanging="260"/>
        <w:jc w:val="left"/>
      </w:pPr>
      <w:r>
        <w:rPr>
          <w:rFonts w:ascii="Times New Roman" w:cs="Times New Roman" w:eastAsia="Times New Roman" w:hAnsi="Times New Roman"/>
          <w:color w:val="000000"/>
          <w:sz w:val="20"/>
          <w:szCs w:val="20"/>
        </w:rPr>
        <w:t xml:space="preserve">[9] HL7, "Caliper FHIR Accelerator," HL7 Blog, Mar. 2026.</w:t>
      </w:r>
    </w:p>
    <w:p>
      <w:pPr>
        <w:spacing w:after="100"/>
        <w:ind w:left="260" w:hanging="260"/>
        <w:jc w:val="left"/>
      </w:pPr>
      <w:r>
        <w:rPr>
          <w:rFonts w:ascii="Times New Roman" w:cs="Times New Roman" w:eastAsia="Times New Roman" w:hAnsi="Times New Roman"/>
          <w:color w:val="000000"/>
          <w:sz w:val="20"/>
          <w:szCs w:val="20"/>
        </w:rPr>
        <w:t xml:space="preserve">[10] HL7 International, HL7 FHIR (Fast Healthcare Interoperability Resources) Specification.</w:t>
      </w:r>
    </w:p>
    <w:p>
      <w:pPr>
        <w:spacing w:after="100"/>
        <w:ind w:left="260" w:hanging="260"/>
        <w:jc w:val="left"/>
      </w:pPr>
      <w:r>
        <w:rPr>
          <w:rFonts w:ascii="Times New Roman" w:cs="Times New Roman" w:eastAsia="Times New Roman" w:hAnsi="Times New Roman"/>
          <w:color w:val="000000"/>
          <w:sz w:val="20"/>
          <w:szCs w:val="20"/>
        </w:rPr>
        <w:t xml:space="preserve">[11] HL7 International, CDS Hooks Specification.</w:t>
      </w:r>
    </w:p>
    <w:p>
      <w:pPr>
        <w:spacing w:after="100"/>
        <w:ind w:left="260" w:hanging="260"/>
        <w:jc w:val="left"/>
      </w:pPr>
      <w:r>
        <w:rPr>
          <w:rFonts w:ascii="Times New Roman" w:cs="Times New Roman" w:eastAsia="Times New Roman" w:hAnsi="Times New Roman"/>
          <w:color w:val="000000"/>
          <w:sz w:val="20"/>
          <w:szCs w:val="20"/>
        </w:rPr>
        <w:t xml:space="preserve">[12] HL7 International, SMART App Launch Implementation Guide.</w:t>
      </w:r>
    </w:p>
    <w:p>
      <w:pPr>
        <w:spacing w:after="100"/>
        <w:ind w:left="260" w:hanging="260"/>
        <w:jc w:val="left"/>
      </w:pPr>
      <w:r>
        <w:rPr>
          <w:rFonts w:ascii="Times New Roman" w:cs="Times New Roman" w:eastAsia="Times New Roman" w:hAnsi="Times New Roman"/>
          <w:color w:val="000000"/>
          <w:sz w:val="20"/>
          <w:szCs w:val="20"/>
        </w:rPr>
        <w:t xml:space="preserve">[13] Centers for Medicare &amp; Medicaid Services (CMS), "CMS Interoperability and Prior Authorization Final Rule (CMS-0057-F)," Jan. 2024.</w:t>
      </w:r>
    </w:p>
    <w:p>
      <w:pPr>
        <w:spacing w:after="100"/>
        <w:ind w:left="260" w:hanging="260"/>
        <w:jc w:val="left"/>
      </w:pPr>
      <w:r>
        <w:rPr>
          <w:rFonts w:ascii="Times New Roman" w:cs="Times New Roman" w:eastAsia="Times New Roman" w:hAnsi="Times New Roman"/>
          <w:color w:val="000000"/>
          <w:sz w:val="20"/>
          <w:szCs w:val="20"/>
        </w:rPr>
        <w:t xml:space="preserve">[14] CAQH CORE, "Priority Topics."</w:t>
      </w:r>
    </w:p>
    <w:p>
      <w:pPr>
        <w:spacing w:after="100"/>
        <w:ind w:left="260" w:hanging="260"/>
        <w:jc w:val="left"/>
      </w:pPr>
      <w:r>
        <w:rPr>
          <w:rFonts w:ascii="Times New Roman" w:cs="Times New Roman" w:eastAsia="Times New Roman" w:hAnsi="Times New Roman"/>
          <w:color w:val="000000"/>
          <w:sz w:val="20"/>
          <w:szCs w:val="20"/>
        </w:rPr>
        <w:t xml:space="preserve">[15] American Medical Association, 2025 Prior Authorization Physician Survey.</w:t>
      </w:r>
    </w:p>
    <w:p>
      <w:pPr>
        <w:spacing w:after="100"/>
        <w:ind w:left="260" w:hanging="260"/>
        <w:jc w:val="left"/>
      </w:pPr>
      <w:r>
        <w:rPr>
          <w:rFonts w:ascii="Times New Roman" w:cs="Times New Roman" w:eastAsia="Times New Roman" w:hAnsi="Times New Roman"/>
          <w:color w:val="000000"/>
          <w:sz w:val="20"/>
          <w:szCs w:val="20"/>
        </w:rPr>
        <w:t xml:space="preserve">[16] "21st Century Cures Act: Patient-Facing Implications of Information Blocking," PubMed, 2021.</w:t>
      </w:r>
    </w:p>
    <w:p>
      <w:pPr>
        <w:spacing w:after="100"/>
        <w:ind w:left="260" w:hanging="260"/>
        <w:jc w:val="left"/>
      </w:pPr>
      <w:r>
        <w:rPr>
          <w:rFonts w:ascii="Times New Roman" w:cs="Times New Roman" w:eastAsia="Times New Roman" w:hAnsi="Times New Roman"/>
          <w:color w:val="000000"/>
          <w:sz w:val="20"/>
          <w:szCs w:val="20"/>
        </w:rPr>
        <w:t xml:space="preserve">[17] The Conversation, "The 21st Century Cures Act requires that patients receive medical results immediately, and new research shows patients prefer it that way," 2026.</w:t>
      </w:r>
    </w:p>
    <w:p>
      <w:pPr>
        <w:spacing w:after="100"/>
        <w:ind w:left="260" w:hanging="260"/>
        <w:jc w:val="left"/>
      </w:pPr>
      <w:r>
        <w:rPr>
          <w:rFonts w:ascii="Times New Roman" w:cs="Times New Roman" w:eastAsia="Times New Roman" w:hAnsi="Times New Roman"/>
          <w:color w:val="000000"/>
          <w:sz w:val="20"/>
          <w:szCs w:val="20"/>
        </w:rPr>
        <w:t xml:space="preserve">[18] U.S. Department of Health and Human Services, Office for Civil Rights, "The Access Right, Health Apps, &amp; APIs."</w:t>
      </w:r>
    </w:p>
    <w:p>
      <w:pPr>
        <w:spacing w:after="100"/>
        <w:ind w:left="260" w:hanging="260"/>
        <w:jc w:val="left"/>
      </w:pPr>
      <w:r>
        <w:rPr>
          <w:rFonts w:ascii="Times New Roman" w:cs="Times New Roman" w:eastAsia="Times New Roman" w:hAnsi="Times New Roman"/>
          <w:color w:val="000000"/>
          <w:sz w:val="20"/>
          <w:szCs w:val="20"/>
        </w:rPr>
        <w:t xml:space="preserve">[19] Anthropic, "Business Associate Agreements (BAA) for Commercial Customers," Anthropic Privacy Center.</w:t>
      </w:r>
    </w:p>
    <w:p>
      <w:pPr>
        <w:spacing w:after="100"/>
        <w:ind w:left="260" w:hanging="260"/>
        <w:jc w:val="left"/>
      </w:pPr>
      <w:r>
        <w:rPr>
          <w:rFonts w:ascii="Times New Roman" w:cs="Times New Roman" w:eastAsia="Times New Roman" w:hAnsi="Times New Roman"/>
          <w:color w:val="000000"/>
          <w:sz w:val="20"/>
          <w:szCs w:val="20"/>
        </w:rPr>
        <w:t xml:space="preserve">[20] OpenAI, "Enterprise privacy at OpenAI."</w:t>
      </w:r>
    </w:p>
    <w:p>
      <w:pPr>
        <w:spacing w:after="100"/>
        <w:ind w:left="260" w:hanging="260"/>
        <w:jc w:val="left"/>
      </w:pPr>
      <w:r>
        <w:rPr>
          <w:rFonts w:ascii="Times New Roman" w:cs="Times New Roman" w:eastAsia="Times New Roman" w:hAnsi="Times New Roman"/>
          <w:color w:val="000000"/>
          <w:sz w:val="20"/>
          <w:szCs w:val="20"/>
        </w:rPr>
        <w:t xml:space="preserve">[21] IHE Patient Care Coordination Technical Framework Supplement, "360 Exchange Closed Loop Referral (360X)," Integrating the Healthcare Enterprise (IHE), Rev. 1.1, Trial Implementation.</w:t>
      </w:r>
    </w:p>
    <w:sectPr>
      <w:type w:val="continuous"/>
      <w:pgSz w:w="12240" w:h="15840" w:orient="portrait"/>
      <w:pgMar w:top="1080" w:right="1080" w:bottom="1080" w:left="1080" w:header="708" w:footer="708" w:gutter="0"/>
      <w:pgNumType/>
      <w:cols w:space="490"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fef252089ec9e6c046fe9477a37e023732f797e.png"/><Relationship Id="rId8" Type="http://schemas.openxmlformats.org/officeDocument/2006/relationships/image" Target="media/100d7058f2ba3a44d3c8a7ad9902c962cd49c8a7.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2026-09-02T23:14:49.739Z</dcterms:created>
  <dcterms:modified xsi:type="dcterms:W3CDTF">2026-09-02T23:14:49.739Z</dcterms:modified>
</cp:coreProperties>
</file>

<file path=docProps/custom.xml><?xml version="1.0" encoding="utf-8"?>
<Properties xmlns="http://schemas.openxmlformats.org/officeDocument/2006/custom-properties" xmlns:vt="http://schemas.openxmlformats.org/officeDocument/2006/docPropsVTypes"/>
</file>