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CB4C82">
      <w:pPr>
        <w:pStyle w:val="BodyText"/>
        <w:rPr>
          <w:rFonts w:ascii="Times New Roman"/>
          <w:sz w:val="20"/>
        </w:rPr>
      </w:pPr>
      <w:r w:rsidRPr="00CB4C82">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CB4C82">
      <w:pPr>
        <w:spacing w:before="88"/>
        <w:ind w:left="1614" w:right="1614"/>
        <w:jc w:val="center"/>
        <w:rPr>
          <w:rFonts w:ascii="Arial"/>
          <w:b/>
          <w:sz w:val="40"/>
        </w:rPr>
      </w:pPr>
      <w:r w:rsidRPr="00CB4C82">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7F74C6">
        <w:rPr>
          <w:color w:val="FFFFFF"/>
        </w:rPr>
        <w:t>R.LOKESH KUMAR</w:t>
      </w:r>
    </w:p>
    <w:p w:rsidR="002D0140" w:rsidRDefault="004565FA">
      <w:pPr>
        <w:spacing w:before="52"/>
        <w:ind w:left="2162"/>
      </w:pPr>
      <w:r>
        <w:rPr>
          <w:color w:val="FFFFFF"/>
        </w:rPr>
        <w:t>NM</w:t>
      </w:r>
      <w:r>
        <w:rPr>
          <w:color w:val="FFFFFF"/>
          <w:spacing w:val="-2"/>
        </w:rPr>
        <w:t xml:space="preserve"> </w:t>
      </w:r>
      <w:r>
        <w:rPr>
          <w:color w:val="FFFFFF"/>
        </w:rPr>
        <w:t>Id:</w:t>
      </w:r>
      <w:r w:rsidR="00D735D2">
        <w:rPr>
          <w:color w:val="FFFFFF"/>
        </w:rPr>
        <w:t>aut1</w:t>
      </w:r>
      <w:r w:rsidR="007F74C6">
        <w:rPr>
          <w:color w:val="FFFFFF"/>
        </w:rPr>
        <w:t>14020</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7F74C6">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CB4C82">
      <w:pPr>
        <w:tabs>
          <w:tab w:val="left" w:pos="12355"/>
        </w:tabs>
        <w:spacing w:before="41"/>
        <w:ind w:left="289"/>
        <w:rPr>
          <w:sz w:val="36"/>
        </w:rPr>
      </w:pPr>
      <w:r w:rsidRPr="00CB4C82">
        <w:pict>
          <v:rect id="_x0000_s1059" style="position:absolute;left:0;text-align:left;margin-left:597.95pt;margin-top:-1.7pt;width:13.1pt;height:32.5pt;z-index:-16069632;mso-position-horizontal-relative:page" fillcolor="#84180f" stroked="f">
            <w10:wrap anchorx="page"/>
          </v:rect>
        </w:pict>
      </w:r>
      <w:r w:rsidRPr="00CB4C82">
        <w:pict>
          <v:rect id="_x0000_s1058" style="position:absolute;left:0;text-align:left;margin-left:585.85pt;margin-top:-1.7pt;width:8.15pt;height:32.5pt;z-index:-16069120;mso-position-horizontal-relative:page" fillcolor="#203163" stroked="f">
            <w10:wrap anchorx="page"/>
          </v:rect>
        </w:pict>
      </w:r>
      <w:r w:rsidRPr="00CB4C82">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8E5" w:rsidRDefault="004958E5" w:rsidP="002D0140">
      <w:r>
        <w:separator/>
      </w:r>
    </w:p>
  </w:endnote>
  <w:endnote w:type="continuationSeparator" w:id="0">
    <w:p w:rsidR="004958E5" w:rsidRDefault="004958E5"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95" style="position:absolute;margin-left:0;margin-top:400.55pt;width:10in;height:4.45pt;z-index:-16067584;mso-position-horizontal-relative:page;mso-position-vertical-relative:page" fillcolor="#203163" stroked="f">
          <w10:wrap anchorx="page" anchory="page"/>
        </v:rect>
      </w:pict>
    </w:r>
    <w:r w:rsidRPr="00CB4C82">
      <w:pict>
        <v:line id="_x0000_s2094" style="position:absolute;z-index:-16067072;mso-position-horizontal-relative:page;mso-position-vertical-relative:page" from="0,368.15pt" to="10in,368.15pt" strokecolor="#bebebe">
          <w10:wrap anchorx="page" anchory="page"/>
        </v:line>
      </w:pict>
    </w:r>
    <w:r w:rsidRPr="00CB4C82">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91" style="position:absolute;margin-left:0;margin-top:400.55pt;width:10in;height:4.45pt;z-index:-16065536;mso-position-horizontal-relative:page;mso-position-vertical-relative:page" fillcolor="#203163" stroked="f">
          <w10:wrap anchorx="page" anchory="page"/>
        </v:rect>
      </w:pict>
    </w:r>
    <w:r w:rsidRPr="00CB4C82">
      <w:pict>
        <v:line id="_x0000_s2090" style="position:absolute;z-index:-16065024;mso-position-horizontal-relative:page;mso-position-vertical-relative:page" from="0,368.15pt" to="10in,368.15pt" strokecolor="#bebebe">
          <w10:wrap anchorx="page" anchory="page"/>
        </v:line>
      </w:pict>
    </w:r>
    <w:r w:rsidRPr="00CB4C82">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116" style="position:absolute;margin-left:0;margin-top:400.55pt;width:10in;height:4.45pt;z-index:-16036864;mso-position-horizontal-relative:page;mso-position-vertical-relative:page" fillcolor="#203163" stroked="f">
          <w10:wrap anchorx="page" anchory="page"/>
        </v:rect>
      </w:pict>
    </w:r>
    <w:r w:rsidRPr="00CB4C82">
      <w:pict>
        <v:line id="_x0000_s2117" style="position:absolute;z-index:-16035840;mso-position-horizontal-relative:page;mso-position-vertical-relative:page" from="0,368.15pt" to="10in,368.15pt" strokecolor="#bebebe">
          <w10:wrap anchorx="page" anchory="page"/>
        </v:line>
      </w:pict>
    </w:r>
    <w:r w:rsidRPr="00CB4C82">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120" style="position:absolute;margin-left:0;margin-top:400.55pt;width:10in;height:4.45pt;z-index:-16031744;mso-position-horizontal-relative:page;mso-position-vertical-relative:page" fillcolor="#203163" stroked="f">
          <w10:wrap anchorx="page" anchory="page"/>
        </v:rect>
      </w:pict>
    </w:r>
    <w:r w:rsidRPr="00CB4C82">
      <w:pict>
        <v:line id="_x0000_s2121" style="position:absolute;z-index:-16030720;mso-position-horizontal-relative:page;mso-position-vertical-relative:page" from="0,368.15pt" to="10in,368.15pt" strokecolor="#bebebe">
          <w10:wrap anchorx="page" anchory="page"/>
        </v:line>
      </w:pict>
    </w:r>
    <w:r w:rsidRPr="00CB4C82">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9"/>
      </w:rPr>
    </w:pPr>
    <w:r w:rsidRPr="00CB4C82">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81" style="position:absolute;margin-left:0;margin-top:400.55pt;width:10in;height:4.45pt;z-index:-16059392;mso-position-horizontal-relative:page;mso-position-vertical-relative:page" fillcolor="#203163" stroked="f">
          <w10:wrap anchorx="page" anchory="page"/>
        </v:rect>
      </w:pict>
    </w:r>
    <w:r w:rsidRPr="00CB4C82">
      <w:pict>
        <v:line id="_x0000_s2080" style="position:absolute;z-index:-16058880;mso-position-horizontal-relative:page;mso-position-vertical-relative:page" from="0,368.15pt" to="10in,368.15pt" strokecolor="#bebebe">
          <w10:wrap anchorx="page" anchory="page"/>
        </v:line>
      </w:pict>
    </w:r>
    <w:r w:rsidRPr="00CB4C82">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8E5" w:rsidRDefault="004958E5" w:rsidP="002D0140">
      <w:r>
        <w:separator/>
      </w:r>
    </w:p>
  </w:footnote>
  <w:footnote w:type="continuationSeparator" w:id="0">
    <w:p w:rsidR="004958E5" w:rsidRDefault="004958E5"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101" style="position:absolute;margin-left:585.85pt;margin-top:6.5pt;width:8.15pt;height:32.5pt;z-index:-16071680;mso-position-horizontal-relative:page;mso-position-vertical-relative:page" fillcolor="#203163" stroked="f">
          <w10:wrap anchorx="page" anchory="page"/>
        </v:rect>
      </w:pict>
    </w:r>
    <w:r w:rsidRPr="00CB4C82">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61" style="position:absolute;margin-left:585.85pt;margin-top:6.5pt;width:8.15pt;height:32.5pt;z-index:-16046592;mso-position-horizontal-relative:page;mso-position-vertical-relative:page" fillcolor="#203163" stroked="f">
          <w10:wrap anchorx="page" anchory="page"/>
        </v:rect>
      </w:pict>
    </w:r>
    <w:r w:rsidRPr="00CB4C82">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56" style="position:absolute;margin-left:585.85pt;margin-top:6.5pt;width:8.15pt;height:32.5pt;z-index:-16043520;mso-position-horizontal-relative:page;mso-position-vertical-relative:page" fillcolor="#203163" stroked="f">
          <w10:wrap anchorx="page" anchory="page"/>
        </v:rect>
      </w:pict>
    </w:r>
    <w:r w:rsidRPr="00CB4C82">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53" style="position:absolute;margin-left:585.85pt;margin-top:6.5pt;width:8.15pt;height:32.5pt;z-index:-16041472;mso-position-horizontal-relative:page;mso-position-vertical-relative:page" fillcolor="#203163" stroked="f">
          <w10:wrap anchorx="page" anchory="page"/>
        </v:rect>
      </w:pict>
    </w:r>
    <w:r w:rsidRPr="00CB4C82">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98" style="position:absolute;margin-left:585.85pt;margin-top:6.5pt;width:8.15pt;height:32.5pt;z-index:-16069632;mso-position-horizontal-relative:page;mso-position-vertical-relative:page" fillcolor="#203163" stroked="f">
          <w10:wrap anchorx="page" anchory="page"/>
        </v:rect>
      </w:pict>
    </w:r>
    <w:r w:rsidRPr="00CB4C82">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84" style="position:absolute;margin-left:585.85pt;margin-top:6.5pt;width:8.15pt;height:32.5pt;z-index:-16061440;mso-position-horizontal-relative:page;mso-position-vertical-relative:page" fillcolor="#203163" stroked="f">
          <w10:wrap anchorx="page" anchory="page"/>
        </v:rect>
      </w:pict>
    </w:r>
    <w:r w:rsidRPr="00CB4C82">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87" style="position:absolute;margin-left:585.85pt;margin-top:6.5pt;width:8.15pt;height:32.5pt;z-index:-16063488;mso-position-horizontal-relative:page;mso-position-vertical-relative:page" fillcolor="#203163" stroked="f">
          <w10:wrap anchorx="page" anchory="page"/>
        </v:rect>
      </w:pict>
    </w:r>
    <w:r w:rsidRPr="00CB4C82">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69" style="position:absolute;margin-left:585.85pt;margin-top:6.5pt;width:8.15pt;height:32.5pt;z-index:-16052224;mso-position-horizontal-relative:page;mso-position-vertical-relative:page" fillcolor="#203163" stroked="f">
          <w10:wrap anchorx="page" anchory="page"/>
        </v:rect>
      </w:pict>
    </w:r>
    <w:r w:rsidRPr="00CB4C82">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CB4C82">
    <w:pPr>
      <w:pStyle w:val="BodyText"/>
      <w:spacing w:line="14" w:lineRule="auto"/>
      <w:rPr>
        <w:sz w:val="20"/>
      </w:rPr>
    </w:pPr>
    <w:r w:rsidRPr="00CB4C82">
      <w:pict>
        <v:rect id="_x0000_s2066" style="position:absolute;margin-left:585.85pt;margin-top:6.5pt;width:8.15pt;height:32.5pt;z-index:-16050176;mso-position-horizontal-relative:page;mso-position-vertical-relative:page" fillcolor="#203163" stroked="f">
          <w10:wrap anchorx="page" anchory="page"/>
        </v:rect>
      </w:pict>
    </w:r>
    <w:r w:rsidRPr="00CB4C82">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CB4C82">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2D0140"/>
    <w:rsid w:val="00084FE9"/>
    <w:rsid w:val="002D0140"/>
    <w:rsid w:val="003112A3"/>
    <w:rsid w:val="003D5F35"/>
    <w:rsid w:val="004565FA"/>
    <w:rsid w:val="004958E5"/>
    <w:rsid w:val="00506618"/>
    <w:rsid w:val="00590C1C"/>
    <w:rsid w:val="006566CD"/>
    <w:rsid w:val="006832EB"/>
    <w:rsid w:val="007F74C6"/>
    <w:rsid w:val="00807E0A"/>
    <w:rsid w:val="009E2A1C"/>
    <w:rsid w:val="00CB4C82"/>
    <w:rsid w:val="00D0352C"/>
    <w:rsid w:val="00D735D2"/>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5</cp:revision>
  <dcterms:created xsi:type="dcterms:W3CDTF">2024-04-20T07:48:00Z</dcterms:created>
  <dcterms:modified xsi:type="dcterms:W3CDTF">2024-04-25T04:31:00Z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