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Capital Honda Dealership Operations Manual</w:t>
      </w:r>
    </w:p>
    <w:p>
      <w:pPr>
        <w:jc w:val="center"/>
      </w:pPr>
      <w:r>
        <w:rPr>
          <w:b/>
        </w:rPr>
        <w:t>Integrated SOP &amp; Management System — Sales • Service • Parts • F&amp;I • Insurance • Used Cars • EV • CRM • HR</w:t>
      </w:r>
    </w:p>
    <w:p>
      <w:r>
        <w:t>Purpose: a practical operating framework for a Honda dealership. Use Honda India/KUN Capital Auto Group policies, DMS controls, OEM circulars, statutory requirements and approved rate cards as the controlling documents wherever they differ from this manual.</w:t>
      </w:r>
    </w:p>
    <w:p>
      <w:r>
        <w:t>Version: 1.0 | Review: Annual, and whenever OEM/process/regulatory requirements change.</w:t>
      </w:r>
    </w:p>
    <w:p>
      <w:pPr>
        <w:pStyle w:val="Heading1"/>
      </w:pPr>
      <w:r>
        <w:t>Operating principles</w:t>
      </w:r>
    </w:p>
    <w:p>
      <w:pPr>
        <w:pStyle w:val="ListBullet"/>
      </w:pPr>
      <w:r>
        <w:t>Customer first: transparent pricing, documented approvals, promised-time delivery and complaint ownership.</w:t>
      </w:r>
    </w:p>
    <w:p>
      <w:pPr>
        <w:pStyle w:val="ListBullet"/>
      </w:pPr>
      <w:r>
        <w:t>Process discipline: every enquiry, job card, approval, invoice, payment, stock movement and complaint must have an auditable record.</w:t>
      </w:r>
    </w:p>
    <w:p>
      <w:pPr>
        <w:pStyle w:val="ListBullet"/>
      </w:pPr>
      <w:r>
        <w:t>Safety first: workshop, high-voltage EV work, test drives, lifting equipment, fire safety and waste handling follow approved procedures.</w:t>
      </w:r>
    </w:p>
    <w:p>
      <w:pPr>
        <w:pStyle w:val="ListBullet"/>
      </w:pPr>
      <w:r>
        <w:t>One source of truth: DMS/CRM/ERP and approved OEM systems are the primary records; spreadsheets are control/reconciliation tools, not substitutes.</w:t>
      </w:r>
    </w:p>
    <w:p>
      <w:pPr>
        <w:pStyle w:val="ListBullet"/>
      </w:pPr>
      <w:r>
        <w:t>Escalate exceptions early: safety, legal, fraud, cash shortage, data/privacy incidents, major customer complaints and vehicle damage are immediate escalations.</w:t>
      </w:r>
    </w:p>
    <w:p>
      <w:pPr>
        <w:pStyle w:val="Heading1"/>
      </w:pPr>
      <w:r>
        <w:t>1. Daily Opening Checklist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Facility</w:t>
            </w:r>
          </w:p>
        </w:tc>
        <w:tc>
          <w:tcPr>
            <w:tcW w:type="dxa" w:w="5112"/>
            <w:vAlign w:val="center"/>
          </w:tcPr>
          <w:p>
            <w:r>
              <w:t>Security/housekeeping complete; showroom, workshop, customer areas clean; lights, HVAC, signage and CCTV checked.</w:t>
            </w:r>
          </w:p>
        </w:tc>
      </w:tr>
      <w:tr>
        <w:tc>
          <w:tcPr>
            <w:tcW w:type="dxa" w:w="5112"/>
            <w:vAlign w:val="center"/>
          </w:tcPr>
          <w:p>
            <w:r>
              <w:t>Safety</w:t>
            </w:r>
          </w:p>
        </w:tc>
        <w:tc>
          <w:tcPr>
            <w:tcW w:type="dxa" w:w="5112"/>
            <w:vAlign w:val="center"/>
          </w:tcPr>
          <w:p>
            <w:r>
              <w:t>Fire extinguishers, exits, lifts, electrical panels, PPE and emergency equipment visually checked; EV/high-voltage zones controlled.</w:t>
            </w:r>
          </w:p>
        </w:tc>
      </w:tr>
      <w:tr>
        <w:tc>
          <w:tcPr>
            <w:tcW w:type="dxa" w:w="5112"/>
            <w:vAlign w:val="center"/>
          </w:tcPr>
          <w:p>
            <w:r>
              <w:t>Sales</w:t>
            </w:r>
          </w:p>
        </w:tc>
        <w:tc>
          <w:tcPr>
            <w:tcW w:type="dxa" w:w="5112"/>
            <w:vAlign w:val="center"/>
          </w:tcPr>
          <w:p>
            <w:r>
              <w:t>Yesterday's leads/bookings/retails reviewed; today's appointments, test drives and deliveries confirmed.</w:t>
            </w:r>
          </w:p>
        </w:tc>
      </w:tr>
      <w:tr>
        <w:tc>
          <w:tcPr>
            <w:tcW w:type="dxa" w:w="5112"/>
            <w:vAlign w:val="center"/>
          </w:tcPr>
          <w:p>
            <w:r>
              <w:t>Service</w:t>
            </w:r>
          </w:p>
        </w:tc>
        <w:tc>
          <w:tcPr>
            <w:tcW w:type="dxa" w:w="5112"/>
            <w:vAlign w:val="center"/>
          </w:tcPr>
          <w:p>
            <w:r>
              <w:t>Appointment list, carry-forward vehicles, parts constraints, promised deliveries and bay/technician allocation reviewed.</w:t>
            </w:r>
          </w:p>
        </w:tc>
      </w:tr>
      <w:tr>
        <w:tc>
          <w:tcPr>
            <w:tcW w:type="dxa" w:w="5112"/>
            <w:vAlign w:val="center"/>
          </w:tcPr>
          <w:p>
            <w:r>
              <w:t>Parts</w:t>
            </w:r>
          </w:p>
        </w:tc>
        <w:tc>
          <w:tcPr>
            <w:tcW w:type="dxa" w:w="5112"/>
            <w:vAlign w:val="center"/>
          </w:tcPr>
          <w:p>
            <w:r>
              <w:t>Opening stock/system sync; critical backorders and high-priority jobs reviewed.</w:t>
            </w:r>
          </w:p>
        </w:tc>
      </w:tr>
      <w:tr>
        <w:tc>
          <w:tcPr>
            <w:tcW w:type="dxa" w:w="5112"/>
            <w:vAlign w:val="center"/>
          </w:tcPr>
          <w:p>
            <w:r>
              <w:t>F&amp;I/Insurance</w:t>
            </w:r>
          </w:p>
        </w:tc>
        <w:tc>
          <w:tcPr>
            <w:tcW w:type="dxa" w:w="5112"/>
            <w:vAlign w:val="center"/>
          </w:tcPr>
          <w:p>
            <w:r>
              <w:t>Pending sanctions, disbursements, policies, registrations and renewals reviewed.</w:t>
            </w:r>
          </w:p>
        </w:tc>
      </w:tr>
      <w:tr>
        <w:tc>
          <w:tcPr>
            <w:tcW w:type="dxa" w:w="5112"/>
            <w:vAlign w:val="center"/>
          </w:tcPr>
          <w:p>
            <w:r>
              <w:t>Used Cars</w:t>
            </w:r>
          </w:p>
        </w:tc>
        <w:tc>
          <w:tcPr>
            <w:tcW w:type="dxa" w:w="5112"/>
            <w:vAlign w:val="center"/>
          </w:tcPr>
          <w:p>
            <w:r>
              <w:t>Stock aging, valuation/refurbishment status, display readiness and pending RC/finance matters reviewed.</w:t>
            </w:r>
          </w:p>
        </w:tc>
      </w:tr>
      <w:tr>
        <w:tc>
          <w:tcPr>
            <w:tcW w:type="dxa" w:w="5112"/>
            <w:vAlign w:val="center"/>
          </w:tcPr>
          <w:p>
            <w:r>
              <w:t>People</w:t>
            </w:r>
          </w:p>
        </w:tc>
        <w:tc>
          <w:tcPr>
            <w:tcW w:type="dxa" w:w="5112"/>
            <w:vAlign w:val="center"/>
          </w:tcPr>
          <w:p>
            <w:r>
              <w:t>Attendance, manpower gaps, shift plan and safety brief completed.</w:t>
            </w:r>
          </w:p>
        </w:tc>
      </w:tr>
      <w:tr>
        <w:tc>
          <w:tcPr>
            <w:tcW w:type="dxa" w:w="5112"/>
            <w:vAlign w:val="center"/>
          </w:tcPr>
          <w:p>
            <w:r>
              <w:t>Management</w:t>
            </w:r>
          </w:p>
        </w:tc>
        <w:tc>
          <w:tcPr>
            <w:tcW w:type="dxa" w:w="5112"/>
            <w:vAlign w:val="center"/>
          </w:tcPr>
          <w:p>
            <w:r>
              <w:t>10–15 minute huddle: target, yesterday actual, today's priorities, risks and owners.</w:t>
            </w:r>
          </w:p>
        </w:tc>
      </w:tr>
    </w:tbl>
    <w:p>
      <w:pPr>
        <w:pStyle w:val="Heading1"/>
      </w:pPr>
      <w:r>
        <w:t>2. Daily Closing Checklist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Sales</w:t>
            </w:r>
          </w:p>
        </w:tc>
        <w:tc>
          <w:tcPr>
            <w:tcW w:type="dxa" w:w="5112"/>
            <w:vAlign w:val="center"/>
          </w:tcPr>
          <w:p>
            <w:r>
              <w:t>All enquiries updated; bookings/retails invoiced or statused; lost leads reason-coded; tomorrow's deliveries confirmed.</w:t>
            </w:r>
          </w:p>
        </w:tc>
      </w:tr>
      <w:tr>
        <w:tc>
          <w:tcPr>
            <w:tcW w:type="dxa" w:w="5112"/>
            <w:vAlign w:val="center"/>
          </w:tcPr>
          <w:p>
            <w:r>
              <w:t>Service</w:t>
            </w:r>
          </w:p>
        </w:tc>
        <w:tc>
          <w:tcPr>
            <w:tcW w:type="dxa" w:w="5112"/>
            <w:vAlign w:val="center"/>
          </w:tcPr>
          <w:p>
            <w:r>
              <w:t>All job cards closed or carry-forward approved; pending vehicles/customer approvals documented; cash/online collections reconciled.</w:t>
            </w:r>
          </w:p>
        </w:tc>
      </w:tr>
      <w:tr>
        <w:tc>
          <w:tcPr>
            <w:tcW w:type="dxa" w:w="5112"/>
            <w:vAlign w:val="center"/>
          </w:tcPr>
          <w:p>
            <w:r>
              <w:t>Parts</w:t>
            </w:r>
          </w:p>
        </w:tc>
        <w:tc>
          <w:tcPr>
            <w:tcW w:type="dxa" w:w="5112"/>
            <w:vAlign w:val="center"/>
          </w:tcPr>
          <w:p>
            <w:r>
              <w:t>Issues/returns/receipts posted; physical exceptions identified; high-value/critical stock secured.</w:t>
            </w:r>
          </w:p>
        </w:tc>
      </w:tr>
      <w:tr>
        <w:tc>
          <w:tcPr>
            <w:tcW w:type="dxa" w:w="5112"/>
            <w:vAlign w:val="center"/>
          </w:tcPr>
          <w:p>
            <w:r>
              <w:t>F&amp;I/Insurance</w:t>
            </w:r>
          </w:p>
        </w:tc>
        <w:tc>
          <w:tcPr>
            <w:tcW w:type="dxa" w:w="5112"/>
            <w:vAlign w:val="center"/>
          </w:tcPr>
          <w:p>
            <w:r>
              <w:t>Applications, approvals, disbursements, policies and registrations reconciled with DMS.</w:t>
            </w:r>
          </w:p>
        </w:tc>
      </w:tr>
      <w:tr>
        <w:tc>
          <w:tcPr>
            <w:tcW w:type="dxa" w:w="5112"/>
            <w:vAlign w:val="center"/>
          </w:tcPr>
          <w:p>
            <w:r>
              <w:t>Used Cars</w:t>
            </w:r>
          </w:p>
        </w:tc>
        <w:tc>
          <w:tcPr>
            <w:tcW w:type="dxa" w:w="5112"/>
            <w:vAlign w:val="center"/>
          </w:tcPr>
          <w:p>
            <w:r>
              <w:t>New purchases, sales, stock movements, keys and documents reconciled.</w:t>
            </w:r>
          </w:p>
        </w:tc>
      </w:tr>
      <w:tr>
        <w:tc>
          <w:tcPr>
            <w:tcW w:type="dxa" w:w="5112"/>
            <w:vAlign w:val="center"/>
          </w:tcPr>
          <w:p>
            <w:r>
              <w:t>Finance/Cash</w:t>
            </w:r>
          </w:p>
        </w:tc>
        <w:tc>
          <w:tcPr>
            <w:tcW w:type="dxa" w:w="5112"/>
            <w:vAlign w:val="center"/>
          </w:tcPr>
          <w:p>
            <w:r>
              <w:t>Collections matched to receipts/bank; cash held within policy; exceptions escalated.</w:t>
            </w:r>
          </w:p>
        </w:tc>
      </w:tr>
      <w:tr>
        <w:tc>
          <w:tcPr>
            <w:tcW w:type="dxa" w:w="5112"/>
            <w:vAlign w:val="center"/>
          </w:tcPr>
          <w:p>
            <w:r>
              <w:t>CRM</w:t>
            </w:r>
          </w:p>
        </w:tc>
        <w:tc>
          <w:tcPr>
            <w:tcW w:type="dxa" w:w="5112"/>
            <w:vAlign w:val="center"/>
          </w:tcPr>
          <w:p>
            <w:r>
              <w:t>All mandatory follow-ups completed; complaints and callbacks assigned.</w:t>
            </w:r>
          </w:p>
        </w:tc>
      </w:tr>
      <w:tr>
        <w:tc>
          <w:tcPr>
            <w:tcW w:type="dxa" w:w="5112"/>
            <w:vAlign w:val="center"/>
          </w:tcPr>
          <w:p>
            <w:r>
              <w:t>People/Security</w:t>
            </w:r>
          </w:p>
        </w:tc>
        <w:tc>
          <w:tcPr>
            <w:tcW w:type="dxa" w:w="5112"/>
            <w:vAlign w:val="center"/>
          </w:tcPr>
          <w:p>
            <w:r>
              <w:t>Attendance closed; tools/keys/documents secured; workshop power/compressor/chargers shut down per safety procedure.</w:t>
            </w:r>
          </w:p>
        </w:tc>
      </w:tr>
      <w:tr>
        <w:tc>
          <w:tcPr>
            <w:tcW w:type="dxa" w:w="5112"/>
            <w:vAlign w:val="center"/>
          </w:tcPr>
          <w:p>
            <w:r>
              <w:t>Manager</w:t>
            </w:r>
          </w:p>
        </w:tc>
        <w:tc>
          <w:tcPr>
            <w:tcW w:type="dxa" w:w="5112"/>
            <w:vAlign w:val="center"/>
          </w:tcPr>
          <w:p>
            <w:r>
              <w:t>Daily MIS signed off; unresolved red items have owner + due date.</w:t>
            </w:r>
          </w:p>
        </w:tc>
      </w:tr>
    </w:tbl>
    <w:p>
      <w:pPr>
        <w:pStyle w:val="Heading1"/>
      </w:pPr>
      <w:r>
        <w:t>3. Sales Manager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Daily</w:t>
            </w:r>
          </w:p>
        </w:tc>
        <w:tc>
          <w:tcPr>
            <w:tcW w:type="dxa" w:w="5112"/>
            <w:vAlign w:val="center"/>
          </w:tcPr>
          <w:p>
            <w:r>
              <w:t>Run huddle; review funnel and appointments; allocate leads; inspect pipeline; remove booking-to-delivery blockers; approve exceptions within authority.</w:t>
            </w:r>
          </w:p>
        </w:tc>
      </w:tr>
      <w:tr>
        <w:tc>
          <w:tcPr>
            <w:tcW w:type="dxa" w:w="5112"/>
            <w:vAlign w:val="center"/>
          </w:tcPr>
          <w:p>
            <w:r>
              <w:t>Customer</w:t>
            </w:r>
          </w:p>
        </w:tc>
        <w:tc>
          <w:tcPr>
            <w:tcW w:type="dxa" w:w="5112"/>
            <w:vAlign w:val="center"/>
          </w:tcPr>
          <w:p>
            <w:r>
              <w:t>Review high-value/lost/escalated cases; ensure quotation and promised delivery are accurate and documented.</w:t>
            </w:r>
          </w:p>
        </w:tc>
      </w:tr>
      <w:tr>
        <w:tc>
          <w:tcPr>
            <w:tcW w:type="dxa" w:w="5112"/>
            <w:vAlign w:val="center"/>
          </w:tcPr>
          <w:p>
            <w:r>
              <w:t>Inventory</w:t>
            </w:r>
          </w:p>
        </w:tc>
        <w:tc>
          <w:tcPr>
            <w:tcW w:type="dxa" w:w="5112"/>
            <w:vAlign w:val="center"/>
          </w:tcPr>
          <w:p>
            <w:r>
              <w:t>Review model/variant/color stock, aging, allocations, demo vehicles and PDI readiness.</w:t>
            </w:r>
          </w:p>
        </w:tc>
      </w:tr>
      <w:tr>
        <w:tc>
          <w:tcPr>
            <w:tcW w:type="dxa" w:w="5112"/>
            <w:vAlign w:val="center"/>
          </w:tcPr>
          <w:p>
            <w:r>
              <w:t>Performance</w:t>
            </w:r>
          </w:p>
        </w:tc>
        <w:tc>
          <w:tcPr>
            <w:tcW w:type="dxa" w:w="5112"/>
            <w:vAlign w:val="center"/>
          </w:tcPr>
          <w:p>
            <w:r>
              <w:t>Track lead-to-test-drive, test-drive-to-booking, booking-to-retail, finance, insurance, exchange and accessories.</w:t>
            </w:r>
          </w:p>
        </w:tc>
      </w:tr>
      <w:tr>
        <w:tc>
          <w:tcPr>
            <w:tcW w:type="dxa" w:w="5112"/>
            <w:vAlign w:val="center"/>
          </w:tcPr>
          <w:p>
            <w:r>
              <w:t>Control</w:t>
            </w:r>
          </w:p>
        </w:tc>
        <w:tc>
          <w:tcPr>
            <w:tcW w:type="dxa" w:w="5112"/>
            <w:vAlign w:val="center"/>
          </w:tcPr>
          <w:p>
            <w:r>
              <w:t>No unapproved discount, freebie, commitment or alteration to OEM/customer documentation.</w:t>
            </w:r>
          </w:p>
        </w:tc>
      </w:tr>
      <w:tr>
        <w:tc>
          <w:tcPr>
            <w:tcW w:type="dxa" w:w="5112"/>
            <w:vAlign w:val="center"/>
          </w:tcPr>
          <w:p>
            <w:r>
              <w:t>Weekly</w:t>
            </w:r>
          </w:p>
        </w:tc>
        <w:tc>
          <w:tcPr>
            <w:tcW w:type="dxa" w:w="5112"/>
            <w:vAlign w:val="center"/>
          </w:tcPr>
          <w:p>
            <w:r>
              <w:t>One-to-one review with salespeople; pipeline clean-up; competitor/market review; action plan.</w:t>
            </w:r>
          </w:p>
        </w:tc>
      </w:tr>
      <w:tr>
        <w:tc>
          <w:tcPr>
            <w:tcW w:type="dxa" w:w="5112"/>
            <w:vAlign w:val="center"/>
          </w:tcPr>
          <w:p>
            <w:r>
              <w:t>Monthly</w:t>
            </w:r>
          </w:p>
        </w:tc>
        <w:tc>
          <w:tcPr>
            <w:tcW w:type="dxa" w:w="5112"/>
            <w:vAlign w:val="center"/>
          </w:tcPr>
          <w:p>
            <w:r>
              <w:t>Target setting, productivity review, incentive inputs, stock strategy and next-month forecast.</w:t>
            </w:r>
          </w:p>
        </w:tc>
      </w:tr>
    </w:tbl>
    <w:p>
      <w:pPr>
        <w:pStyle w:val="Heading1"/>
      </w:pPr>
      <w:r>
        <w:t>4. Sales Executive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Lead</w:t>
            </w:r>
          </w:p>
        </w:tc>
        <w:tc>
          <w:tcPr>
            <w:tcW w:type="dxa" w:w="5112"/>
            <w:vAlign w:val="center"/>
          </w:tcPr>
          <w:p>
            <w:r>
              <w:t>Acknowledge promptly; capture source, need, model, budget/finance, trade-in, timeline and consented contact details in CRM.</w:t>
            </w:r>
          </w:p>
        </w:tc>
      </w:tr>
      <w:tr>
        <w:tc>
          <w:tcPr>
            <w:tcW w:type="dxa" w:w="5112"/>
            <w:vAlign w:val="center"/>
          </w:tcPr>
          <w:p>
            <w:r>
              <w:t>Discovery</w:t>
            </w:r>
          </w:p>
        </w:tc>
        <w:tc>
          <w:tcPr>
            <w:tcW w:type="dxa" w:w="5112"/>
            <w:vAlign w:val="center"/>
          </w:tcPr>
          <w:p>
            <w:r>
              <w:t>Understand usage and decision criteria; never misrepresent features, mileage, waiting time, price or offers.</w:t>
            </w:r>
          </w:p>
        </w:tc>
      </w:tr>
      <w:tr>
        <w:tc>
          <w:tcPr>
            <w:tcW w:type="dxa" w:w="5112"/>
            <w:vAlign w:val="center"/>
          </w:tcPr>
          <w:p>
            <w:r>
              <w:t>Demonstration</w:t>
            </w:r>
          </w:p>
        </w:tc>
        <w:tc>
          <w:tcPr>
            <w:tcW w:type="dxa" w:w="5112"/>
            <w:vAlign w:val="center"/>
          </w:tcPr>
          <w:p>
            <w:r>
              <w:t>Conduct professional product walkaround and test drive using approved safety/process controls.</w:t>
            </w:r>
          </w:p>
        </w:tc>
      </w:tr>
      <w:tr>
        <w:tc>
          <w:tcPr>
            <w:tcW w:type="dxa" w:w="5112"/>
            <w:vAlign w:val="center"/>
          </w:tcPr>
          <w:p>
            <w:r>
              <w:t>Quotation</w:t>
            </w:r>
          </w:p>
        </w:tc>
        <w:tc>
          <w:tcPr>
            <w:tcW w:type="dxa" w:w="5112"/>
            <w:vAlign w:val="center"/>
          </w:tcPr>
          <w:p>
            <w:r>
              <w:t>Provide approved price breakup, taxes/charges, finance/insurance/accessories options and validity.</w:t>
            </w:r>
          </w:p>
        </w:tc>
      </w:tr>
      <w:tr>
        <w:tc>
          <w:tcPr>
            <w:tcW w:type="dxa" w:w="5112"/>
            <w:vAlign w:val="center"/>
          </w:tcPr>
          <w:p>
            <w:r>
              <w:t>Follow-up</w:t>
            </w:r>
          </w:p>
        </w:tc>
        <w:tc>
          <w:tcPr>
            <w:tcW w:type="dxa" w:w="5112"/>
            <w:vAlign w:val="center"/>
          </w:tcPr>
          <w:p>
            <w:r>
              <w:t>Every active opportunity has a next action/date; record outcome and reason for loss.</w:t>
            </w:r>
          </w:p>
        </w:tc>
      </w:tr>
      <w:tr>
        <w:tc>
          <w:tcPr>
            <w:tcW w:type="dxa" w:w="5112"/>
            <w:vAlign w:val="center"/>
          </w:tcPr>
          <w:p>
            <w:r>
              <w:t>Booking</w:t>
            </w:r>
          </w:p>
        </w:tc>
        <w:tc>
          <w:tcPr>
            <w:tcW w:type="dxa" w:w="5112"/>
            <w:vAlign w:val="center"/>
          </w:tcPr>
          <w:p>
            <w:r>
              <w:t>Verify customer details, model/variant/color, amount, payment method and terms; issue official receipt.</w:t>
            </w:r>
          </w:p>
        </w:tc>
      </w:tr>
      <w:tr>
        <w:tc>
          <w:tcPr>
            <w:tcW w:type="dxa" w:w="5112"/>
            <w:vAlign w:val="center"/>
          </w:tcPr>
          <w:p>
            <w:r>
              <w:t>Delivery</w:t>
            </w:r>
          </w:p>
        </w:tc>
        <w:tc>
          <w:tcPr>
            <w:tcW w:type="dxa" w:w="5112"/>
            <w:vAlign w:val="center"/>
          </w:tcPr>
          <w:p>
            <w:r>
              <w:t>Coordinate PDI, finance, insurance, registration, accessories and delivery appointment; complete handover checklist.</w:t>
            </w:r>
          </w:p>
        </w:tc>
      </w:tr>
      <w:tr>
        <w:tc>
          <w:tcPr>
            <w:tcW w:type="dxa" w:w="5112"/>
            <w:vAlign w:val="center"/>
          </w:tcPr>
          <w:p>
            <w:r>
              <w:t>Post-delivery</w:t>
            </w:r>
          </w:p>
        </w:tc>
        <w:tc>
          <w:tcPr>
            <w:tcW w:type="dxa" w:w="5112"/>
            <w:vAlign w:val="center"/>
          </w:tcPr>
          <w:p>
            <w:r>
              <w:t>Thank customer, explain service/roadside/connected features as applicable, schedule first follow-up and refer service needs to CRM.</w:t>
            </w:r>
          </w:p>
        </w:tc>
      </w:tr>
    </w:tbl>
    <w:p>
      <w:pPr>
        <w:pStyle w:val="Heading1"/>
      </w:pPr>
      <w:r>
        <w:t>5. CRM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Data</w:t>
            </w:r>
          </w:p>
        </w:tc>
        <w:tc>
          <w:tcPr>
            <w:tcW w:type="dxa" w:w="5112"/>
            <w:vAlign w:val="center"/>
          </w:tcPr>
          <w:p>
            <w:r>
              <w:t>One customer/vehicle record; verify duplicates; capture source and consent; restrict access by role.</w:t>
            </w:r>
          </w:p>
        </w:tc>
      </w:tr>
      <w:tr>
        <w:tc>
          <w:tcPr>
            <w:tcW w:type="dxa" w:w="5112"/>
            <w:vAlign w:val="center"/>
          </w:tcPr>
          <w:p>
            <w:r>
              <w:t>Lead stages</w:t>
            </w:r>
          </w:p>
        </w:tc>
        <w:tc>
          <w:tcPr>
            <w:tcW w:type="dxa" w:w="5112"/>
            <w:vAlign w:val="center"/>
          </w:tcPr>
          <w:p>
            <w:r>
              <w:t>New → Contacted → Qualified → Test Drive → Quotation → Negotiation → Booking → Retail/Delivery → Lost.</w:t>
            </w:r>
          </w:p>
        </w:tc>
      </w:tr>
      <w:tr>
        <w:tc>
          <w:tcPr>
            <w:tcW w:type="dxa" w:w="5112"/>
            <w:vAlign w:val="center"/>
          </w:tcPr>
          <w:p>
            <w:r>
              <w:t>Service stages</w:t>
            </w:r>
          </w:p>
        </w:tc>
        <w:tc>
          <w:tcPr>
            <w:tcW w:type="dxa" w:w="5112"/>
            <w:vAlign w:val="center"/>
          </w:tcPr>
          <w:p>
            <w:r>
              <w:t>Reminder → Appointment → Reception → Repair → Ready → Delivered → CSI/Follow-up.</w:t>
            </w:r>
          </w:p>
        </w:tc>
      </w:tr>
      <w:tr>
        <w:tc>
          <w:tcPr>
            <w:tcW w:type="dxa" w:w="5112"/>
            <w:vAlign w:val="center"/>
          </w:tcPr>
          <w:p>
            <w:r>
              <w:t>Daily controls</w:t>
            </w:r>
          </w:p>
        </w:tc>
        <w:tc>
          <w:tcPr>
            <w:tcW w:type="dxa" w:w="5112"/>
            <w:vAlign w:val="center"/>
          </w:tcPr>
          <w:p>
            <w:r>
              <w:t>No stale leads without next action; missed calls and appointments reworked; lost reasons standardized.</w:t>
            </w:r>
          </w:p>
        </w:tc>
      </w:tr>
      <w:tr>
        <w:tc>
          <w:tcPr>
            <w:tcW w:type="dxa" w:w="5112"/>
            <w:vAlign w:val="center"/>
          </w:tcPr>
          <w:p>
            <w:r>
              <w:t>Retention</w:t>
            </w:r>
          </w:p>
        </w:tc>
        <w:tc>
          <w:tcPr>
            <w:tcW w:type="dxa" w:w="5112"/>
            <w:vAlign w:val="center"/>
          </w:tcPr>
          <w:p>
            <w:r>
              <w:t>Service due, insurance renewal, warranty/maintenance opportunities and lapsed customers generated from approved data.</w:t>
            </w:r>
          </w:p>
        </w:tc>
      </w:tr>
      <w:tr>
        <w:tc>
          <w:tcPr>
            <w:tcW w:type="dxa" w:w="5112"/>
            <w:vAlign w:val="center"/>
          </w:tcPr>
          <w:p>
            <w:r>
              <w:t>Complaint</w:t>
            </w:r>
          </w:p>
        </w:tc>
        <w:tc>
          <w:tcPr>
            <w:tcW w:type="dxa" w:w="5112"/>
            <w:vAlign w:val="center"/>
          </w:tcPr>
          <w:p>
            <w:r>
              <w:t>Create case, severity, owner, promised callback time and closure evidence.</w:t>
            </w:r>
          </w:p>
        </w:tc>
      </w:tr>
      <w:tr>
        <w:tc>
          <w:tcPr>
            <w:tcW w:type="dxa" w:w="5112"/>
            <w:vAlign w:val="center"/>
          </w:tcPr>
          <w:p>
            <w:r>
              <w:t>Reporting</w:t>
            </w:r>
          </w:p>
        </w:tc>
        <w:tc>
          <w:tcPr>
            <w:tcW w:type="dxa" w:w="5112"/>
            <w:vAlign w:val="center"/>
          </w:tcPr>
          <w:p>
            <w:r>
              <w:t>Conversion by source/salesperson, aging, response time, appointments, CSI and retention.</w:t>
            </w:r>
          </w:p>
        </w:tc>
      </w:tr>
    </w:tbl>
    <w:p>
      <w:pPr>
        <w:pStyle w:val="Heading1"/>
      </w:pPr>
      <w:r>
        <w:t>6. Service Manager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Capacity</w:t>
            </w:r>
          </w:p>
        </w:tc>
        <w:tc>
          <w:tcPr>
            <w:tcW w:type="dxa" w:w="5112"/>
            <w:vAlign w:val="center"/>
          </w:tcPr>
          <w:p>
            <w:r>
              <w:t>Plan bays, technicians, service advisors, appointments and express/quick-service capacity.</w:t>
            </w:r>
          </w:p>
        </w:tc>
      </w:tr>
      <w:tr>
        <w:tc>
          <w:tcPr>
            <w:tcW w:type="dxa" w:w="5112"/>
            <w:vAlign w:val="center"/>
          </w:tcPr>
          <w:p>
            <w:r>
              <w:t>Morning control</w:t>
            </w:r>
          </w:p>
        </w:tc>
        <w:tc>
          <w:tcPr>
            <w:tcW w:type="dxa" w:w="5112"/>
            <w:vAlign w:val="center"/>
          </w:tcPr>
          <w:p>
            <w:r>
              <w:t>Review carry-forward, parts shortages, major jobs, warranty, accident work and promised deliveries.</w:t>
            </w:r>
          </w:p>
        </w:tc>
      </w:tr>
      <w:tr>
        <w:tc>
          <w:tcPr>
            <w:tcW w:type="dxa" w:w="5112"/>
            <w:vAlign w:val="center"/>
          </w:tcPr>
          <w:p>
            <w:r>
              <w:t>Customer</w:t>
            </w:r>
          </w:p>
        </w:tc>
        <w:tc>
          <w:tcPr>
            <w:tcW w:type="dxa" w:w="5112"/>
            <w:vAlign w:val="center"/>
          </w:tcPr>
          <w:p>
            <w:r>
              <w:t>Monitor estimates/approvals, delays and high-value repairs; intervene before a missed promise.</w:t>
            </w:r>
          </w:p>
        </w:tc>
      </w:tr>
      <w:tr>
        <w:tc>
          <w:tcPr>
            <w:tcW w:type="dxa" w:w="5112"/>
            <w:vAlign w:val="center"/>
          </w:tcPr>
          <w:p>
            <w:r>
              <w:t>Quality</w:t>
            </w:r>
          </w:p>
        </w:tc>
        <w:tc>
          <w:tcPr>
            <w:tcW w:type="dxa" w:w="5112"/>
            <w:vAlign w:val="center"/>
          </w:tcPr>
          <w:p>
            <w:r>
              <w:t>Ensure final inspection, road test where required, wash/detailing and correct invoice explanation.</w:t>
            </w:r>
          </w:p>
        </w:tc>
      </w:tr>
      <w:tr>
        <w:tc>
          <w:tcPr>
            <w:tcW w:type="dxa" w:w="5112"/>
            <w:vAlign w:val="center"/>
          </w:tcPr>
          <w:p>
            <w:r>
              <w:t>KPIs</w:t>
            </w:r>
          </w:p>
        </w:tc>
        <w:tc>
          <w:tcPr>
            <w:tcW w:type="dxa" w:w="5112"/>
            <w:vAlign w:val="center"/>
          </w:tcPr>
          <w:p>
            <w:r>
              <w:t>RO count, labour, parts, average RO, technician productivity/efficiency, bay utilization, first-time fix, comeback, CSI and retention.</w:t>
            </w:r>
          </w:p>
        </w:tc>
      </w:tr>
      <w:tr>
        <w:tc>
          <w:tcPr>
            <w:tcW w:type="dxa" w:w="5112"/>
            <w:vAlign w:val="center"/>
          </w:tcPr>
          <w:p>
            <w:r>
              <w:t>Warranty</w:t>
            </w:r>
          </w:p>
        </w:tc>
        <w:tc>
          <w:tcPr>
            <w:tcW w:type="dxa" w:w="5112"/>
            <w:vAlign w:val="center"/>
          </w:tcPr>
          <w:p>
            <w:r>
              <w:t>Follow OEM eligibility, authorization, documentation and parts-retention rules.</w:t>
            </w:r>
          </w:p>
        </w:tc>
      </w:tr>
      <w:tr>
        <w:tc>
          <w:tcPr>
            <w:tcW w:type="dxa" w:w="5112"/>
            <w:vAlign w:val="center"/>
          </w:tcPr>
          <w:p>
            <w:r>
              <w:t>Monthly</w:t>
            </w:r>
          </w:p>
        </w:tc>
        <w:tc>
          <w:tcPr>
            <w:tcW w:type="dxa" w:w="5112"/>
            <w:vAlign w:val="center"/>
          </w:tcPr>
          <w:p>
            <w:r>
              <w:t>Capacity plan, equipment needs, manpower, training, consumables, profitability and customer retention.</w:t>
            </w:r>
          </w:p>
        </w:tc>
      </w:tr>
    </w:tbl>
    <w:p>
      <w:pPr>
        <w:pStyle w:val="Heading1"/>
      </w:pPr>
      <w:r>
        <w:t>7. Service Advisor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Reception</w:t>
            </w:r>
          </w:p>
        </w:tc>
        <w:tc>
          <w:tcPr>
            <w:tcW w:type="dxa" w:w="5112"/>
            <w:vAlign w:val="center"/>
          </w:tcPr>
          <w:p>
            <w:r>
              <w:t>Greet customer; verify vehicle, mileage, complaint, contact and promised time; conduct joint inspection.</w:t>
            </w:r>
          </w:p>
        </w:tc>
      </w:tr>
      <w:tr>
        <w:tc>
          <w:tcPr>
            <w:tcW w:type="dxa" w:w="5112"/>
            <w:vAlign w:val="center"/>
          </w:tcPr>
          <w:p>
            <w:r>
              <w:t>Job card</w:t>
            </w:r>
          </w:p>
        </w:tc>
        <w:tc>
          <w:tcPr>
            <w:tcW w:type="dxa" w:w="5112"/>
            <w:vAlign w:val="center"/>
          </w:tcPr>
          <w:p>
            <w:r>
              <w:t>Record customer complaint accurately; distinguish customer complaint from technician findings.</w:t>
            </w:r>
          </w:p>
        </w:tc>
      </w:tr>
      <w:tr>
        <w:tc>
          <w:tcPr>
            <w:tcW w:type="dxa" w:w="5112"/>
            <w:vAlign w:val="center"/>
          </w:tcPr>
          <w:p>
            <w:r>
              <w:t>Estimate</w:t>
            </w:r>
          </w:p>
        </w:tc>
        <w:tc>
          <w:tcPr>
            <w:tcW w:type="dxa" w:w="5112"/>
            <w:vAlign w:val="center"/>
          </w:tcPr>
          <w:p>
            <w:r>
              <w:t>Explain required/optional work, parts, labour, taxes and expected time; obtain documented approval before chargeable work.</w:t>
            </w:r>
          </w:p>
        </w:tc>
      </w:tr>
      <w:tr>
        <w:tc>
          <w:tcPr>
            <w:tcW w:type="dxa" w:w="5112"/>
            <w:vAlign w:val="center"/>
          </w:tcPr>
          <w:p>
            <w:r>
              <w:t>Updates</w:t>
            </w:r>
          </w:p>
        </w:tc>
        <w:tc>
          <w:tcPr>
            <w:tcW w:type="dxa" w:w="5112"/>
            <w:vAlign w:val="center"/>
          </w:tcPr>
          <w:p>
            <w:r>
              <w:t>Proactively inform customer of additional findings, delays and revised estimates.</w:t>
            </w:r>
          </w:p>
        </w:tc>
      </w:tr>
      <w:tr>
        <w:tc>
          <w:tcPr>
            <w:tcW w:type="dxa" w:w="5112"/>
            <w:vAlign w:val="center"/>
          </w:tcPr>
          <w:p>
            <w:r>
              <w:t>Delivery</w:t>
            </w:r>
          </w:p>
        </w:tc>
        <w:tc>
          <w:tcPr>
            <w:tcW w:type="dxa" w:w="5112"/>
            <w:vAlign w:val="center"/>
          </w:tcPr>
          <w:p>
            <w:r>
              <w:t>Verify repair completion, explain work/invoice, collect payment, hand over vehicle and record feedback.</w:t>
            </w:r>
          </w:p>
        </w:tc>
      </w:tr>
      <w:tr>
        <w:tc>
          <w:tcPr>
            <w:tcW w:type="dxa" w:w="5112"/>
            <w:vAlign w:val="center"/>
          </w:tcPr>
          <w:p>
            <w:r>
              <w:t>Escalation</w:t>
            </w:r>
          </w:p>
        </w:tc>
        <w:tc>
          <w:tcPr>
            <w:tcW w:type="dxa" w:w="5112"/>
            <w:vAlign w:val="center"/>
          </w:tcPr>
          <w:p>
            <w:r>
              <w:t>Safety issue, disputed estimate, delay, repeat repair, damage or serious complaint goes to Service Manager immediately.</w:t>
            </w:r>
          </w:p>
        </w:tc>
      </w:tr>
    </w:tbl>
    <w:p>
      <w:pPr>
        <w:pStyle w:val="Heading1"/>
      </w:pPr>
      <w:r>
        <w:t>8. Workshop Manager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Allocation</w:t>
            </w:r>
          </w:p>
        </w:tc>
        <w:tc>
          <w:tcPr>
            <w:tcW w:type="dxa" w:w="5112"/>
            <w:vAlign w:val="center"/>
          </w:tcPr>
          <w:p>
            <w:r>
              <w:t>Match job complexity to technician skill/certification; balance workload and promised time.</w:t>
            </w:r>
          </w:p>
        </w:tc>
      </w:tr>
      <w:tr>
        <w:tc>
          <w:tcPr>
            <w:tcW w:type="dxa" w:w="5112"/>
            <w:vAlign w:val="center"/>
          </w:tcPr>
          <w:p>
            <w:r>
              <w:t>Control</w:t>
            </w:r>
          </w:p>
        </w:tc>
        <w:tc>
          <w:tcPr>
            <w:tcW w:type="dxa" w:w="5112"/>
            <w:vAlign w:val="center"/>
          </w:tcPr>
          <w:p>
            <w:r>
              <w:t>Track WIP board: waiting approval, parts pending, in-progress, QC, wash, ready.</w:t>
            </w:r>
          </w:p>
        </w:tc>
      </w:tr>
      <w:tr>
        <w:tc>
          <w:tcPr>
            <w:tcW w:type="dxa" w:w="5112"/>
            <w:vAlign w:val="center"/>
          </w:tcPr>
          <w:p>
            <w:r>
              <w:t>Quality</w:t>
            </w:r>
          </w:p>
        </w:tc>
        <w:tc>
          <w:tcPr>
            <w:tcW w:type="dxa" w:w="5112"/>
            <w:vAlign w:val="center"/>
          </w:tcPr>
          <w:p>
            <w:r>
              <w:t>Perform/assign final inspection; investigate comebacks and repeat repairs.</w:t>
            </w:r>
          </w:p>
        </w:tc>
      </w:tr>
      <w:tr>
        <w:tc>
          <w:tcPr>
            <w:tcW w:type="dxa" w:w="5112"/>
            <w:vAlign w:val="center"/>
          </w:tcPr>
          <w:p>
            <w:r>
              <w:t>Productivity</w:t>
            </w:r>
          </w:p>
        </w:tc>
        <w:tc>
          <w:tcPr>
            <w:tcW w:type="dxa" w:w="5112"/>
            <w:vAlign w:val="center"/>
          </w:tcPr>
          <w:p>
            <w:r>
              <w:t>Track sold hours, clocked hours, efficiency, utilization and idle time; coach causes rather than chasing only output.</w:t>
            </w:r>
          </w:p>
        </w:tc>
      </w:tr>
      <w:tr>
        <w:tc>
          <w:tcPr>
            <w:tcW w:type="dxa" w:w="5112"/>
            <w:vAlign w:val="center"/>
          </w:tcPr>
          <w:p>
            <w:r>
              <w:t>Tools</w:t>
            </w:r>
          </w:p>
        </w:tc>
        <w:tc>
          <w:tcPr>
            <w:tcW w:type="dxa" w:w="5112"/>
            <w:vAlign w:val="center"/>
          </w:tcPr>
          <w:p>
            <w:r>
              <w:t>Calibrated tools and equipment; maintenance logs; no unauthorized bypass of safety systems.</w:t>
            </w:r>
          </w:p>
        </w:tc>
      </w:tr>
      <w:tr>
        <w:tc>
          <w:tcPr>
            <w:tcW w:type="dxa" w:w="5112"/>
            <w:vAlign w:val="center"/>
          </w:tcPr>
          <w:p>
            <w:r>
              <w:t>Safety</w:t>
            </w:r>
          </w:p>
        </w:tc>
        <w:tc>
          <w:tcPr>
            <w:tcW w:type="dxa" w:w="5112"/>
            <w:vAlign w:val="center"/>
          </w:tcPr>
          <w:p>
            <w:r>
              <w:t>PPE, lifting, battery/high-voltage isolation, welding/fire controls and waste segregation follow approved procedures.</w:t>
            </w:r>
          </w:p>
        </w:tc>
      </w:tr>
    </w:tbl>
    <w:p>
      <w:pPr>
        <w:pStyle w:val="Heading1"/>
      </w:pPr>
      <w:r>
        <w:t>9. Technician Productivity System</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Core measures</w:t>
            </w:r>
          </w:p>
        </w:tc>
        <w:tc>
          <w:tcPr>
            <w:tcW w:type="dxa" w:w="5112"/>
            <w:vAlign w:val="center"/>
          </w:tcPr>
          <w:p>
            <w:r>
              <w:t>Attendance; available hours; clocked hours; sold/flat-rate hours; efficiency; productivity; utilization; first-time fix; comeback rate.</w:t>
            </w:r>
          </w:p>
        </w:tc>
      </w:tr>
      <w:tr>
        <w:tc>
          <w:tcPr>
            <w:tcW w:type="dxa" w:w="5112"/>
            <w:vAlign w:val="center"/>
          </w:tcPr>
          <w:p>
            <w:r>
              <w:t>Definitions</w:t>
            </w:r>
          </w:p>
        </w:tc>
        <w:tc>
          <w:tcPr>
            <w:tcW w:type="dxa" w:w="5112"/>
            <w:vAlign w:val="center"/>
          </w:tcPr>
          <w:p>
            <w:r>
              <w:t>Productivity = productive/available hours. Efficiency = sold/clocked hours. Utilization = clocked/available hours. Define formulas consistently in the DMS.</w:t>
            </w:r>
          </w:p>
        </w:tc>
      </w:tr>
      <w:tr>
        <w:tc>
          <w:tcPr>
            <w:tcW w:type="dxa" w:w="5112"/>
            <w:vAlign w:val="center"/>
          </w:tcPr>
          <w:p>
            <w:r>
              <w:t>Daily</w:t>
            </w:r>
          </w:p>
        </w:tc>
        <w:tc>
          <w:tcPr>
            <w:tcW w:type="dxa" w:w="5112"/>
            <w:vAlign w:val="center"/>
          </w:tcPr>
          <w:p>
            <w:r>
              <w:t>Technician starts assigned jobs on time, records diagnosis and parts needs, flags blockers immediately, and closes work with accurate time/repair notes.</w:t>
            </w:r>
          </w:p>
        </w:tc>
      </w:tr>
      <w:tr>
        <w:tc>
          <w:tcPr>
            <w:tcW w:type="dxa" w:w="5112"/>
            <w:vAlign w:val="center"/>
          </w:tcPr>
          <w:p>
            <w:r>
              <w:t>Coaching</w:t>
            </w:r>
          </w:p>
        </w:tc>
        <w:tc>
          <w:tcPr>
            <w:tcW w:type="dxa" w:w="5112"/>
            <w:vAlign w:val="center"/>
          </w:tcPr>
          <w:p>
            <w:r>
              <w:t>Review low utilization, high idle time, low efficiency, comebacks and repeat diagnosis errors weekly.</w:t>
            </w:r>
          </w:p>
        </w:tc>
      </w:tr>
      <w:tr>
        <w:tc>
          <w:tcPr>
            <w:tcW w:type="dxa" w:w="5112"/>
            <w:vAlign w:val="center"/>
          </w:tcPr>
          <w:p>
            <w:r>
              <w:t>Balanced score</w:t>
            </w:r>
          </w:p>
        </w:tc>
        <w:tc>
          <w:tcPr>
            <w:tcW w:type="dxa" w:w="5112"/>
            <w:vAlign w:val="center"/>
          </w:tcPr>
          <w:p>
            <w:r>
              <w:t>Do not incentivize volume alone; combine quality, safety, customer outcomes, attendance and productivity.</w:t>
            </w:r>
          </w:p>
        </w:tc>
      </w:tr>
    </w:tbl>
    <w:p>
      <w:pPr>
        <w:pStyle w:val="Heading1"/>
      </w:pPr>
      <w:r>
        <w:t>10. Parts Manager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Inventory</w:t>
            </w:r>
          </w:p>
        </w:tc>
        <w:tc>
          <w:tcPr>
            <w:tcW w:type="dxa" w:w="5112"/>
            <w:vAlign w:val="center"/>
          </w:tcPr>
          <w:p>
            <w:r>
              <w:t>Maintain min/max levels, fast movers, critical parts, obsolete/slow-moving stock and approved ordering cadence.</w:t>
            </w:r>
          </w:p>
        </w:tc>
      </w:tr>
      <w:tr>
        <w:tc>
          <w:tcPr>
            <w:tcW w:type="dxa" w:w="5112"/>
            <w:vAlign w:val="center"/>
          </w:tcPr>
          <w:p>
            <w:r>
              <w:t>Workshop</w:t>
            </w:r>
          </w:p>
        </w:tc>
        <w:tc>
          <w:tcPr>
            <w:tcW w:type="dxa" w:w="5112"/>
            <w:vAlign w:val="center"/>
          </w:tcPr>
          <w:p>
            <w:r>
              <w:t>Parts request → issue → return → billing/warranty posting must reconcile to job card.</w:t>
            </w:r>
          </w:p>
        </w:tc>
      </w:tr>
      <w:tr>
        <w:tc>
          <w:tcPr>
            <w:tcW w:type="dxa" w:w="5112"/>
            <w:vAlign w:val="center"/>
          </w:tcPr>
          <w:p>
            <w:r>
              <w:t>Receiving</w:t>
            </w:r>
          </w:p>
        </w:tc>
        <w:tc>
          <w:tcPr>
            <w:tcW w:type="dxa" w:w="5112"/>
            <w:vAlign w:val="center"/>
          </w:tcPr>
          <w:p>
            <w:r>
              <w:t>Verify quantity, part number, damage and system receipt; quarantine discrepancies.</w:t>
            </w:r>
          </w:p>
        </w:tc>
      </w:tr>
      <w:tr>
        <w:tc>
          <w:tcPr>
            <w:tcW w:type="dxa" w:w="5112"/>
            <w:vAlign w:val="center"/>
          </w:tcPr>
          <w:p>
            <w:r>
              <w:t>Storage</w:t>
            </w:r>
          </w:p>
        </w:tc>
        <w:tc>
          <w:tcPr>
            <w:tcW w:type="dxa" w:w="5112"/>
            <w:vAlign w:val="center"/>
          </w:tcPr>
          <w:p>
            <w:r>
              <w:t>Bin discipline, labeling, security, housekeeping, fire controls and controlled access.</w:t>
            </w:r>
          </w:p>
        </w:tc>
      </w:tr>
      <w:tr>
        <w:tc>
          <w:tcPr>
            <w:tcW w:type="dxa" w:w="5112"/>
            <w:vAlign w:val="center"/>
          </w:tcPr>
          <w:p>
            <w:r>
              <w:t>Returns</w:t>
            </w:r>
          </w:p>
        </w:tc>
        <w:tc>
          <w:tcPr>
            <w:tcW w:type="dxa" w:w="5112"/>
            <w:vAlign w:val="center"/>
          </w:tcPr>
          <w:p>
            <w:r>
              <w:t>Follow OEM return/warranty/obsolete procedures; maintain aging and pending-return report.</w:t>
            </w:r>
          </w:p>
        </w:tc>
      </w:tr>
      <w:tr>
        <w:tc>
          <w:tcPr>
            <w:tcW w:type="dxa" w:w="5112"/>
            <w:vAlign w:val="center"/>
          </w:tcPr>
          <w:p>
            <w:r>
              <w:t>Monthly</w:t>
            </w:r>
          </w:p>
        </w:tc>
        <w:tc>
          <w:tcPr>
            <w:tcW w:type="dxa" w:w="5112"/>
            <w:vAlign w:val="center"/>
          </w:tcPr>
          <w:p>
            <w:r>
              <w:t>Physical stock count/cycle count, variance analysis, aging, fill rate, backorders and working-capital review.</w:t>
            </w:r>
          </w:p>
        </w:tc>
      </w:tr>
    </w:tbl>
    <w:p>
      <w:pPr>
        <w:pStyle w:val="Heading1"/>
      </w:pPr>
      <w:r>
        <w:t>11. Finance Manager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Customer</w:t>
            </w:r>
          </w:p>
        </w:tc>
        <w:tc>
          <w:tcPr>
            <w:tcW w:type="dxa" w:w="5112"/>
            <w:vAlign w:val="center"/>
          </w:tcPr>
          <w:p>
            <w:r>
              <w:t>Offer approved finance products transparently; explain EMI, tenure, fees, down payment and conditions.</w:t>
            </w:r>
          </w:p>
        </w:tc>
      </w:tr>
      <w:tr>
        <w:tc>
          <w:tcPr>
            <w:tcW w:type="dxa" w:w="5112"/>
            <w:vAlign w:val="center"/>
          </w:tcPr>
          <w:p>
            <w:r>
              <w:t>Application</w:t>
            </w:r>
          </w:p>
        </w:tc>
        <w:tc>
          <w:tcPr>
            <w:tcW w:type="dxa" w:w="5112"/>
            <w:vAlign w:val="center"/>
          </w:tcPr>
          <w:p>
            <w:r>
              <w:t>Collect only required documents through approved secure channels; verify completeness before submission.</w:t>
            </w:r>
          </w:p>
        </w:tc>
      </w:tr>
      <w:tr>
        <w:tc>
          <w:tcPr>
            <w:tcW w:type="dxa" w:w="5112"/>
            <w:vAlign w:val="center"/>
          </w:tcPr>
          <w:p>
            <w:r>
              <w:t>Pipeline</w:t>
            </w:r>
          </w:p>
        </w:tc>
        <w:tc>
          <w:tcPr>
            <w:tcW w:type="dxa" w:w="5112"/>
            <w:vAlign w:val="center"/>
          </w:tcPr>
          <w:p>
            <w:r>
              <w:t>Track application → credit decision → sanction → documentation → disbursement → invoice → delivery.</w:t>
            </w:r>
          </w:p>
        </w:tc>
      </w:tr>
      <w:tr>
        <w:tc>
          <w:tcPr>
            <w:tcW w:type="dxa" w:w="5112"/>
            <w:vAlign w:val="center"/>
          </w:tcPr>
          <w:p>
            <w:r>
              <w:t>Controls</w:t>
            </w:r>
          </w:p>
        </w:tc>
        <w:tc>
          <w:tcPr>
            <w:tcW w:type="dxa" w:w="5112"/>
            <w:vAlign w:val="center"/>
          </w:tcPr>
          <w:p>
            <w:r>
              <w:t>No forged/altered documents; no unauthorized commitments; reconcile lender statements and dealer records.</w:t>
            </w:r>
          </w:p>
        </w:tc>
      </w:tr>
      <w:tr>
        <w:tc>
          <w:tcPr>
            <w:tcW w:type="dxa" w:w="5112"/>
            <w:vAlign w:val="center"/>
          </w:tcPr>
          <w:p>
            <w:r>
              <w:t>Daily</w:t>
            </w:r>
          </w:p>
        </w:tc>
        <w:tc>
          <w:tcPr>
            <w:tcW w:type="dxa" w:w="5112"/>
            <w:vAlign w:val="center"/>
          </w:tcPr>
          <w:p>
            <w:r>
              <w:t>Bank/NBFC-wise pending report; rejected cases with reason; disbursement forecast; documentation exceptions.</w:t>
            </w:r>
          </w:p>
        </w:tc>
      </w:tr>
      <w:tr>
        <w:tc>
          <w:tcPr>
            <w:tcW w:type="dxa" w:w="5112"/>
            <w:vAlign w:val="center"/>
          </w:tcPr>
          <w:p>
            <w:r>
              <w:t>Monthly</w:t>
            </w:r>
          </w:p>
        </w:tc>
        <w:tc>
          <w:tcPr>
            <w:tcW w:type="dxa" w:w="5112"/>
            <w:vAlign w:val="center"/>
          </w:tcPr>
          <w:p>
            <w:r>
              <w:t>Finance penetration, approval rate, disbursement TAT, lender mix, income/reconciliation and compliance review.</w:t>
            </w:r>
          </w:p>
        </w:tc>
      </w:tr>
    </w:tbl>
    <w:p>
      <w:pPr>
        <w:pStyle w:val="Heading1"/>
      </w:pPr>
      <w:r>
        <w:t>12. Insurance Manager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New car</w:t>
            </w:r>
          </w:p>
        </w:tc>
        <w:tc>
          <w:tcPr>
            <w:tcW w:type="dxa" w:w="5112"/>
            <w:vAlign w:val="center"/>
          </w:tcPr>
          <w:p>
            <w:r>
              <w:t>Provide approved insurer/product choices and transparent premium breakup; issue/verify policy before delivery.</w:t>
            </w:r>
          </w:p>
        </w:tc>
      </w:tr>
      <w:tr>
        <w:tc>
          <w:tcPr>
            <w:tcW w:type="dxa" w:w="5112"/>
            <w:vAlign w:val="center"/>
          </w:tcPr>
          <w:p>
            <w:r>
              <w:t>Renewals</w:t>
            </w:r>
          </w:p>
        </w:tc>
        <w:tc>
          <w:tcPr>
            <w:tcW w:type="dxa" w:w="5112"/>
            <w:vAlign w:val="center"/>
          </w:tcPr>
          <w:p>
            <w:r>
              <w:t>Generate due list; contact customers through approved channels; track quote → payment → issuance.</w:t>
            </w:r>
          </w:p>
        </w:tc>
      </w:tr>
      <w:tr>
        <w:tc>
          <w:tcPr>
            <w:tcW w:type="dxa" w:w="5112"/>
            <w:vAlign w:val="center"/>
          </w:tcPr>
          <w:p>
            <w:r>
              <w:t>Claims</w:t>
            </w:r>
          </w:p>
        </w:tc>
        <w:tc>
          <w:tcPr>
            <w:tcW w:type="dxa" w:w="5112"/>
            <w:vAlign w:val="center"/>
          </w:tcPr>
          <w:p>
            <w:r>
              <w:t>Register claim, coordinate survey/authorization, parts/repair, insurer updates and delivery.</w:t>
            </w:r>
          </w:p>
        </w:tc>
      </w:tr>
      <w:tr>
        <w:tc>
          <w:tcPr>
            <w:tcW w:type="dxa" w:w="5112"/>
            <w:vAlign w:val="center"/>
          </w:tcPr>
          <w:p>
            <w:r>
              <w:t>Controls</w:t>
            </w:r>
          </w:p>
        </w:tc>
        <w:tc>
          <w:tcPr>
            <w:tcW w:type="dxa" w:w="5112"/>
            <w:vAlign w:val="center"/>
          </w:tcPr>
          <w:p>
            <w:r>
              <w:t>No forced mis-selling; retain policy documents; reconcile premiums/receipts and commissions.</w:t>
            </w:r>
          </w:p>
        </w:tc>
      </w:tr>
      <w:tr>
        <w:tc>
          <w:tcPr>
            <w:tcW w:type="dxa" w:w="5112"/>
            <w:vAlign w:val="center"/>
          </w:tcPr>
          <w:p>
            <w:r>
              <w:t>KPIs</w:t>
            </w:r>
          </w:p>
        </w:tc>
        <w:tc>
          <w:tcPr>
            <w:tcW w:type="dxa" w:w="5112"/>
            <w:vAlign w:val="center"/>
          </w:tcPr>
          <w:p>
            <w:r>
              <w:t>New policy penetration, renewal retention, claim TAT, pending claims, cancellations and customer complaints.</w:t>
            </w:r>
          </w:p>
        </w:tc>
      </w:tr>
    </w:tbl>
    <w:p>
      <w:pPr>
        <w:pStyle w:val="Heading1"/>
      </w:pPr>
      <w:r>
        <w:t>13. Used-Car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Acquisition</w:t>
            </w:r>
          </w:p>
        </w:tc>
        <w:tc>
          <w:tcPr>
            <w:tcW w:type="dxa" w:w="5112"/>
            <w:vAlign w:val="center"/>
          </w:tcPr>
          <w:p>
            <w:r>
              <w:t>Verify ownership/RC, hypothecation, challans, service history, accident/flood indicators and identity/document requirements under policy.</w:t>
            </w:r>
          </w:p>
        </w:tc>
      </w:tr>
      <w:tr>
        <w:tc>
          <w:tcPr>
            <w:tcW w:type="dxa" w:w="5112"/>
            <w:vAlign w:val="center"/>
          </w:tcPr>
          <w:p>
            <w:r>
              <w:t>Valuation</w:t>
            </w:r>
          </w:p>
        </w:tc>
        <w:tc>
          <w:tcPr>
            <w:tcW w:type="dxa" w:w="5112"/>
            <w:vAlign w:val="center"/>
          </w:tcPr>
          <w:p>
            <w:r>
              <w:t>Use approved valuation process; record market inputs, reconditioning estimate and approval.</w:t>
            </w:r>
          </w:p>
        </w:tc>
      </w:tr>
      <w:tr>
        <w:tc>
          <w:tcPr>
            <w:tcW w:type="dxa" w:w="5112"/>
            <w:vAlign w:val="center"/>
          </w:tcPr>
          <w:p>
            <w:r>
              <w:t>Inspection</w:t>
            </w:r>
          </w:p>
        </w:tc>
        <w:tc>
          <w:tcPr>
            <w:tcW w:type="dxa" w:w="5112"/>
            <w:vAlign w:val="center"/>
          </w:tcPr>
          <w:p>
            <w:r>
              <w:t>Mechanical/body/interior/tyre/electrical inspection; photograph condition; disclose material findings.</w:t>
            </w:r>
          </w:p>
        </w:tc>
      </w:tr>
      <w:tr>
        <w:tc>
          <w:tcPr>
            <w:tcW w:type="dxa" w:w="5112"/>
            <w:vAlign w:val="center"/>
          </w:tcPr>
          <w:p>
            <w:r>
              <w:t>Refurbishment</w:t>
            </w:r>
          </w:p>
        </w:tc>
        <w:tc>
          <w:tcPr>
            <w:tcW w:type="dxa" w:w="5112"/>
            <w:vAlign w:val="center"/>
          </w:tcPr>
          <w:p>
            <w:r>
              <w:t>Estimate → approval → work order → QC → cost capture.</w:t>
            </w:r>
          </w:p>
        </w:tc>
      </w:tr>
      <w:tr>
        <w:tc>
          <w:tcPr>
            <w:tcW w:type="dxa" w:w="5112"/>
            <w:vAlign w:val="center"/>
          </w:tcPr>
          <w:p>
            <w:r>
              <w:t>Retail</w:t>
            </w:r>
          </w:p>
        </w:tc>
        <w:tc>
          <w:tcPr>
            <w:tcW w:type="dxa" w:w="5112"/>
            <w:vAlign w:val="center"/>
          </w:tcPr>
          <w:p>
            <w:r>
              <w:t>Accurate vehicle description, price, warranty/coverage terms, finance/insurance options and transfer documentation.</w:t>
            </w:r>
          </w:p>
        </w:tc>
      </w:tr>
      <w:tr>
        <w:tc>
          <w:tcPr>
            <w:tcW w:type="dxa" w:w="5112"/>
            <w:vAlign w:val="center"/>
          </w:tcPr>
          <w:p>
            <w:r>
              <w:t>Aging</w:t>
            </w:r>
          </w:p>
        </w:tc>
        <w:tc>
          <w:tcPr>
            <w:tcW w:type="dxa" w:w="5112"/>
            <w:vAlign w:val="center"/>
          </w:tcPr>
          <w:p>
            <w:r>
              <w:t>Track 0–30, 31–60, 61–90, 90+ days; escalation and pricing action for aged stock.</w:t>
            </w:r>
          </w:p>
        </w:tc>
      </w:tr>
      <w:tr>
        <w:tc>
          <w:tcPr>
            <w:tcW w:type="dxa" w:w="5112"/>
            <w:vAlign w:val="center"/>
          </w:tcPr>
          <w:p>
            <w:r>
              <w:t>Profit</w:t>
            </w:r>
          </w:p>
        </w:tc>
        <w:tc>
          <w:tcPr>
            <w:tcW w:type="dxa" w:w="5112"/>
            <w:vAlign w:val="center"/>
          </w:tcPr>
          <w:p>
            <w:r>
              <w:t>Track acquisition + refurbishment + holding/other costs versus realized margin.</w:t>
            </w:r>
          </w:p>
        </w:tc>
      </w:tr>
    </w:tbl>
    <w:p>
      <w:pPr>
        <w:pStyle w:val="Heading1"/>
      </w:pPr>
      <w:r>
        <w:t>14. EV Department SOP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Sales</w:t>
            </w:r>
          </w:p>
        </w:tc>
        <w:tc>
          <w:tcPr>
            <w:tcW w:type="dxa" w:w="5112"/>
            <w:vAlign w:val="center"/>
          </w:tcPr>
          <w:p>
            <w:r>
              <w:t>Train staff on range, charging, warranty, battery care, software/features and total cost of ownership using approved OEM material.</w:t>
            </w:r>
          </w:p>
        </w:tc>
      </w:tr>
      <w:tr>
        <w:tc>
          <w:tcPr>
            <w:tcW w:type="dxa" w:w="5112"/>
            <w:vAlign w:val="center"/>
          </w:tcPr>
          <w:p>
            <w:r>
              <w:t>Test drive</w:t>
            </w:r>
          </w:p>
        </w:tc>
        <w:tc>
          <w:tcPr>
            <w:tcW w:type="dxa" w:w="5112"/>
            <w:vAlign w:val="center"/>
          </w:tcPr>
          <w:p>
            <w:r>
              <w:t>Use EV-specific safety checks, charging level, route and customer briefing.</w:t>
            </w:r>
          </w:p>
        </w:tc>
      </w:tr>
      <w:tr>
        <w:tc>
          <w:tcPr>
            <w:tcW w:type="dxa" w:w="5112"/>
            <w:vAlign w:val="center"/>
          </w:tcPr>
          <w:p>
            <w:r>
              <w:t>Workshop</w:t>
            </w:r>
          </w:p>
        </w:tc>
        <w:tc>
          <w:tcPr>
            <w:tcW w:type="dxa" w:w="5112"/>
            <w:vAlign w:val="center"/>
          </w:tcPr>
          <w:p>
            <w:r>
              <w:t>Only trained/authorized personnel handle high-voltage systems; follow isolation/lockout and OEM procedures.</w:t>
            </w:r>
          </w:p>
        </w:tc>
      </w:tr>
      <w:tr>
        <w:tc>
          <w:tcPr>
            <w:tcW w:type="dxa" w:w="5112"/>
            <w:vAlign w:val="center"/>
          </w:tcPr>
          <w:p>
            <w:r>
              <w:t>Charging</w:t>
            </w:r>
          </w:p>
        </w:tc>
        <w:tc>
          <w:tcPr>
            <w:tcW w:type="dxa" w:w="5112"/>
            <w:vAlign w:val="center"/>
          </w:tcPr>
          <w:p>
            <w:r>
              <w:t>Daily charger inspection, access control, cable condition, energy/usage log and emergency procedure.</w:t>
            </w:r>
          </w:p>
        </w:tc>
      </w:tr>
      <w:tr>
        <w:tc>
          <w:tcPr>
            <w:tcW w:type="dxa" w:w="5112"/>
            <w:vAlign w:val="center"/>
          </w:tcPr>
          <w:p>
            <w:r>
              <w:t>Battery</w:t>
            </w:r>
          </w:p>
        </w:tc>
        <w:tc>
          <w:tcPr>
            <w:tcW w:type="dxa" w:w="5112"/>
            <w:vAlign w:val="center"/>
          </w:tcPr>
          <w:p>
            <w:r>
              <w:t>No unauthorized opening, repair or handling; follow OEM diagnosis, quarantine and transport rules.</w:t>
            </w:r>
          </w:p>
        </w:tc>
      </w:tr>
      <w:tr>
        <w:tc>
          <w:tcPr>
            <w:tcW w:type="dxa" w:w="5112"/>
            <w:vAlign w:val="center"/>
          </w:tcPr>
          <w:p>
            <w:r>
              <w:t>Customer</w:t>
            </w:r>
          </w:p>
        </w:tc>
        <w:tc>
          <w:tcPr>
            <w:tcW w:type="dxa" w:w="5112"/>
            <w:vAlign w:val="center"/>
          </w:tcPr>
          <w:p>
            <w:r>
              <w:t>Explain normal EV operating characteristics, charging options and service schedule without making unsupported battery/range claims.</w:t>
            </w:r>
          </w:p>
        </w:tc>
      </w:tr>
    </w:tbl>
    <w:p>
      <w:pPr>
        <w:pStyle w:val="Heading1"/>
      </w:pPr>
      <w:r>
        <w:t>15. HR / Workforce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Manpower</w:t>
            </w:r>
          </w:p>
        </w:tc>
        <w:tc>
          <w:tcPr>
            <w:tcW w:type="dxa" w:w="5112"/>
            <w:vAlign w:val="center"/>
          </w:tcPr>
          <w:p>
            <w:r>
              <w:t>Maintain sanctioned headcount by department and shift; track vacancy, recruitment pipeline and critical roles.</w:t>
            </w:r>
          </w:p>
        </w:tc>
      </w:tr>
      <w:tr>
        <w:tc>
          <w:tcPr>
            <w:tcW w:type="dxa" w:w="5112"/>
            <w:vAlign w:val="center"/>
          </w:tcPr>
          <w:p>
            <w:r>
              <w:t>Attendance</w:t>
            </w:r>
          </w:p>
        </w:tc>
        <w:tc>
          <w:tcPr>
            <w:tcW w:type="dxa" w:w="5112"/>
            <w:vAlign w:val="center"/>
          </w:tcPr>
          <w:p>
            <w:r>
              <w:t>Daily attendance, leave, overtime and absenteeism reconciliation.</w:t>
            </w:r>
          </w:p>
        </w:tc>
      </w:tr>
      <w:tr>
        <w:tc>
          <w:tcPr>
            <w:tcW w:type="dxa" w:w="5112"/>
            <w:vAlign w:val="center"/>
          </w:tcPr>
          <w:p>
            <w:r>
              <w:t>Training</w:t>
            </w:r>
          </w:p>
        </w:tc>
        <w:tc>
          <w:tcPr>
            <w:tcW w:type="dxa" w:w="5112"/>
            <w:vAlign w:val="center"/>
          </w:tcPr>
          <w:p>
            <w:r>
              <w:t>Induction + role certification + OEM technical/product training + safety + customer handling + periodic refreshers.</w:t>
            </w:r>
          </w:p>
        </w:tc>
      </w:tr>
      <w:tr>
        <w:tc>
          <w:tcPr>
            <w:tcW w:type="dxa" w:w="5112"/>
            <w:vAlign w:val="center"/>
          </w:tcPr>
          <w:p>
            <w:r>
              <w:t>Performance</w:t>
            </w:r>
          </w:p>
        </w:tc>
        <w:tc>
          <w:tcPr>
            <w:tcW w:type="dxa" w:w="5112"/>
            <w:vAlign w:val="center"/>
          </w:tcPr>
          <w:p>
            <w:r>
              <w:t>Role scorecard, monthly coaching, quarterly appraisal and documented improvement plans.</w:t>
            </w:r>
          </w:p>
        </w:tc>
      </w:tr>
      <w:tr>
        <w:tc>
          <w:tcPr>
            <w:tcW w:type="dxa" w:w="5112"/>
            <w:vAlign w:val="center"/>
          </w:tcPr>
          <w:p>
            <w:r>
              <w:t>Retention</w:t>
            </w:r>
          </w:p>
        </w:tc>
        <w:tc>
          <w:tcPr>
            <w:tcW w:type="dxa" w:w="5112"/>
            <w:vAlign w:val="center"/>
          </w:tcPr>
          <w:p>
            <w:r>
              <w:t>Monitor attrition, exit reasons, critical-role coverage and internal career progression.</w:t>
            </w:r>
          </w:p>
        </w:tc>
      </w:tr>
      <w:tr>
        <w:tc>
          <w:tcPr>
            <w:tcW w:type="dxa" w:w="5112"/>
            <w:vAlign w:val="center"/>
          </w:tcPr>
          <w:p>
            <w:r>
              <w:t>Compliance</w:t>
            </w:r>
          </w:p>
        </w:tc>
        <w:tc>
          <w:tcPr>
            <w:tcW w:type="dxa" w:w="5112"/>
            <w:vAlign w:val="center"/>
          </w:tcPr>
          <w:p>
            <w:r>
              <w:t>Follow applicable labour, wage, working-time, safety, POSH, privacy and statutory requirements with HR/legal guidance.</w:t>
            </w:r>
          </w:p>
        </w:tc>
      </w:tr>
    </w:tbl>
    <w:p>
      <w:pPr>
        <w:pStyle w:val="Heading1"/>
      </w:pPr>
      <w:r>
        <w:t>16. Daily MIS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Sales</w:t>
            </w:r>
          </w:p>
        </w:tc>
        <w:tc>
          <w:tcPr>
            <w:tcW w:type="dxa" w:w="5112"/>
            <w:vAlign w:val="center"/>
          </w:tcPr>
          <w:p>
            <w:r>
              <w:t>Enquiries, contact %, appointments, test drives, bookings, retail, cancellations, finance %, insurance %, exchange %, accessories.</w:t>
            </w:r>
          </w:p>
        </w:tc>
      </w:tr>
      <w:tr>
        <w:tc>
          <w:tcPr>
            <w:tcW w:type="dxa" w:w="5112"/>
            <w:vAlign w:val="center"/>
          </w:tcPr>
          <w:p>
            <w:r>
              <w:t>Service</w:t>
            </w:r>
          </w:p>
        </w:tc>
        <w:tc>
          <w:tcPr>
            <w:tcW w:type="dxa" w:w="5112"/>
            <w:vAlign w:val="center"/>
          </w:tcPr>
          <w:p>
            <w:r>
              <w:t>Appointments, RO, open WIP, labour, parts, average RO, promised delivery, pending approval, parts-pending, comebacks, CSI.</w:t>
            </w:r>
          </w:p>
        </w:tc>
      </w:tr>
      <w:tr>
        <w:tc>
          <w:tcPr>
            <w:tcW w:type="dxa" w:w="5112"/>
            <w:vAlign w:val="center"/>
          </w:tcPr>
          <w:p>
            <w:r>
              <w:t>Parts</w:t>
            </w:r>
          </w:p>
        </w:tc>
        <w:tc>
          <w:tcPr>
            <w:tcW w:type="dxa" w:w="5112"/>
            <w:vAlign w:val="center"/>
          </w:tcPr>
          <w:p>
            <w:r>
              <w:t>Receipts, issues, returns, backorders, stock variance and critical parts.</w:t>
            </w:r>
          </w:p>
        </w:tc>
      </w:tr>
      <w:tr>
        <w:tc>
          <w:tcPr>
            <w:tcW w:type="dxa" w:w="5112"/>
            <w:vAlign w:val="center"/>
          </w:tcPr>
          <w:p>
            <w:r>
              <w:t>F&amp;I</w:t>
            </w:r>
          </w:p>
        </w:tc>
        <w:tc>
          <w:tcPr>
            <w:tcW w:type="dxa" w:w="5112"/>
            <w:vAlign w:val="center"/>
          </w:tcPr>
          <w:p>
            <w:r>
              <w:t>Applications, approvals, sanctions, disbursements, pending docs.</w:t>
            </w:r>
          </w:p>
        </w:tc>
      </w:tr>
      <w:tr>
        <w:tc>
          <w:tcPr>
            <w:tcW w:type="dxa" w:w="5112"/>
            <w:vAlign w:val="center"/>
          </w:tcPr>
          <w:p>
            <w:r>
              <w:t>Insurance</w:t>
            </w:r>
          </w:p>
        </w:tc>
        <w:tc>
          <w:tcPr>
            <w:tcW w:type="dxa" w:w="5112"/>
            <w:vAlign w:val="center"/>
          </w:tcPr>
          <w:p>
            <w:r>
              <w:t>Policies, renewals, claims, pending settlements.</w:t>
            </w:r>
          </w:p>
        </w:tc>
      </w:tr>
      <w:tr>
        <w:tc>
          <w:tcPr>
            <w:tcW w:type="dxa" w:w="5112"/>
            <w:vAlign w:val="center"/>
          </w:tcPr>
          <w:p>
            <w:r>
              <w:t>Used Cars</w:t>
            </w:r>
          </w:p>
        </w:tc>
        <w:tc>
          <w:tcPr>
            <w:tcW w:type="dxa" w:w="5112"/>
            <w:vAlign w:val="center"/>
          </w:tcPr>
          <w:p>
            <w:r>
              <w:t>Purchases, sales, stock, aging, refurbishment and gross margin.</w:t>
            </w:r>
          </w:p>
        </w:tc>
      </w:tr>
      <w:tr>
        <w:tc>
          <w:tcPr>
            <w:tcW w:type="dxa" w:w="5112"/>
            <w:vAlign w:val="center"/>
          </w:tcPr>
          <w:p>
            <w:r>
              <w:t>People</w:t>
            </w:r>
          </w:p>
        </w:tc>
        <w:tc>
          <w:tcPr>
            <w:tcW w:type="dxa" w:w="5112"/>
            <w:vAlign w:val="center"/>
          </w:tcPr>
          <w:p>
            <w:r>
              <w:t>Present/absent, vacancies, safety incidents, training.</w:t>
            </w:r>
          </w:p>
        </w:tc>
      </w:tr>
      <w:tr>
        <w:tc>
          <w:tcPr>
            <w:tcW w:type="dxa" w:w="5112"/>
            <w:vAlign w:val="center"/>
          </w:tcPr>
          <w:p>
            <w:r>
              <w:t>Management</w:t>
            </w:r>
          </w:p>
        </w:tc>
        <w:tc>
          <w:tcPr>
            <w:tcW w:type="dxa" w:w="5112"/>
            <w:vAlign w:val="center"/>
          </w:tcPr>
          <w:p>
            <w:r>
              <w:t>Target vs actual, top 5 gaps, red issues, owner and due date.</w:t>
            </w:r>
          </w:p>
        </w:tc>
      </w:tr>
    </w:tbl>
    <w:p>
      <w:pPr>
        <w:pStyle w:val="Heading1"/>
      </w:pPr>
      <w:r>
        <w:t>17. Weekly MIS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Commercial</w:t>
            </w:r>
          </w:p>
        </w:tc>
        <w:tc>
          <w:tcPr>
            <w:tcW w:type="dxa" w:w="5112"/>
            <w:vAlign w:val="center"/>
          </w:tcPr>
          <w:p>
            <w:r>
              <w:t>Pipeline by salesperson/source, forecast, model mix, stock aging, finance/insurance/accessories/exchange performance.</w:t>
            </w:r>
          </w:p>
        </w:tc>
      </w:tr>
      <w:tr>
        <w:tc>
          <w:tcPr>
            <w:tcW w:type="dxa" w:w="5112"/>
            <w:vAlign w:val="center"/>
          </w:tcPr>
          <w:p>
            <w:r>
              <w:t>Service</w:t>
            </w:r>
          </w:p>
        </w:tc>
        <w:tc>
          <w:tcPr>
            <w:tcW w:type="dxa" w:w="5112"/>
            <w:vAlign w:val="center"/>
          </w:tcPr>
          <w:p>
            <w:r>
              <w:t>RO/revenue trend, technician productivity, bay utilization, comebacks, CSI, retention and parts fill rate.</w:t>
            </w:r>
          </w:p>
        </w:tc>
      </w:tr>
      <w:tr>
        <w:tc>
          <w:tcPr>
            <w:tcW w:type="dxa" w:w="5112"/>
            <w:vAlign w:val="center"/>
          </w:tcPr>
          <w:p>
            <w:r>
              <w:t>Inventory</w:t>
            </w:r>
          </w:p>
        </w:tc>
        <w:tc>
          <w:tcPr>
            <w:tcW w:type="dxa" w:w="5112"/>
            <w:vAlign w:val="center"/>
          </w:tcPr>
          <w:p>
            <w:r>
              <w:t>New-car aging, used-car aging, parts aging, stock variance and working capital.</w:t>
            </w:r>
          </w:p>
        </w:tc>
      </w:tr>
      <w:tr>
        <w:tc>
          <w:tcPr>
            <w:tcW w:type="dxa" w:w="5112"/>
            <w:vAlign w:val="center"/>
          </w:tcPr>
          <w:p>
            <w:r>
              <w:t>Customer</w:t>
            </w:r>
          </w:p>
        </w:tc>
        <w:tc>
          <w:tcPr>
            <w:tcW w:type="dxa" w:w="5112"/>
            <w:vAlign w:val="center"/>
          </w:tcPr>
          <w:p>
            <w:r>
              <w:t>Complaints by severity, closure TAT, repeat complaints, CSI/NPS where used.</w:t>
            </w:r>
          </w:p>
        </w:tc>
      </w:tr>
      <w:tr>
        <w:tc>
          <w:tcPr>
            <w:tcW w:type="dxa" w:w="5112"/>
            <w:vAlign w:val="center"/>
          </w:tcPr>
          <w:p>
            <w:r>
              <w:t>People</w:t>
            </w:r>
          </w:p>
        </w:tc>
        <w:tc>
          <w:tcPr>
            <w:tcW w:type="dxa" w:w="5112"/>
            <w:vAlign w:val="center"/>
          </w:tcPr>
          <w:p>
            <w:r>
              <w:t>Attendance, overtime, vacancies, attrition, training completion.</w:t>
            </w:r>
          </w:p>
        </w:tc>
      </w:tr>
      <w:tr>
        <w:tc>
          <w:tcPr>
            <w:tcW w:type="dxa" w:w="5112"/>
            <w:vAlign w:val="center"/>
          </w:tcPr>
          <w:p>
            <w:r>
              <w:t>Action review</w:t>
            </w:r>
          </w:p>
        </w:tc>
        <w:tc>
          <w:tcPr>
            <w:tcW w:type="dxa" w:w="5112"/>
            <w:vAlign w:val="center"/>
          </w:tcPr>
          <w:p>
            <w:r>
              <w:t>Last week's actions: closed / overdue / carried forward with revised due date.</w:t>
            </w:r>
          </w:p>
        </w:tc>
      </w:tr>
    </w:tbl>
    <w:p>
      <w:pPr>
        <w:pStyle w:val="Heading1"/>
      </w:pPr>
      <w:r>
        <w:t>18. Monthly MIS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P&amp;L</w:t>
            </w:r>
          </w:p>
        </w:tc>
        <w:tc>
          <w:tcPr>
            <w:tcW w:type="dxa" w:w="5112"/>
            <w:vAlign w:val="center"/>
          </w:tcPr>
          <w:p>
            <w:r>
              <w:t>Revenue and gross contribution by department; controllable expenses; operating profit.</w:t>
            </w:r>
          </w:p>
        </w:tc>
      </w:tr>
      <w:tr>
        <w:tc>
          <w:tcPr>
            <w:tcW w:type="dxa" w:w="5112"/>
            <w:vAlign w:val="center"/>
          </w:tcPr>
          <w:p>
            <w:r>
              <w:t>Sales</w:t>
            </w:r>
          </w:p>
        </w:tc>
        <w:tc>
          <w:tcPr>
            <w:tcW w:type="dxa" w:w="5112"/>
            <w:vAlign w:val="center"/>
          </w:tcPr>
          <w:p>
            <w:r>
              <w:t>Retail, market share if available, model/variant mix, funnel conversion and inventory.</w:t>
            </w:r>
          </w:p>
        </w:tc>
      </w:tr>
      <w:tr>
        <w:tc>
          <w:tcPr>
            <w:tcW w:type="dxa" w:w="5112"/>
            <w:vAlign w:val="center"/>
          </w:tcPr>
          <w:p>
            <w:r>
              <w:t>After-sales</w:t>
            </w:r>
          </w:p>
        </w:tc>
        <w:tc>
          <w:tcPr>
            <w:tcW w:type="dxa" w:w="5112"/>
            <w:vAlign w:val="center"/>
          </w:tcPr>
          <w:p>
            <w:r>
              <w:t>RO, labour/parts, average RO, technician/bay productivity, retention and CSI.</w:t>
            </w:r>
          </w:p>
        </w:tc>
      </w:tr>
      <w:tr>
        <w:tc>
          <w:tcPr>
            <w:tcW w:type="dxa" w:w="5112"/>
            <w:vAlign w:val="center"/>
          </w:tcPr>
          <w:p>
            <w:r>
              <w:t>F&amp;I/Insurance</w:t>
            </w:r>
          </w:p>
        </w:tc>
        <w:tc>
          <w:tcPr>
            <w:tcW w:type="dxa" w:w="5112"/>
            <w:vAlign w:val="center"/>
          </w:tcPr>
          <w:p>
            <w:r>
              <w:t>Penetration, approvals, disbursements, renewals and income.</w:t>
            </w:r>
          </w:p>
        </w:tc>
      </w:tr>
      <w:tr>
        <w:tc>
          <w:tcPr>
            <w:tcW w:type="dxa" w:w="5112"/>
            <w:vAlign w:val="center"/>
          </w:tcPr>
          <w:p>
            <w:r>
              <w:t>Used Cars</w:t>
            </w:r>
          </w:p>
        </w:tc>
        <w:tc>
          <w:tcPr>
            <w:tcW w:type="dxa" w:w="5112"/>
            <w:vAlign w:val="center"/>
          </w:tcPr>
          <w:p>
            <w:r>
              <w:t>Turnover, aging, gross margin, refurbishment and stock loss.</w:t>
            </w:r>
          </w:p>
        </w:tc>
      </w:tr>
      <w:tr>
        <w:tc>
          <w:tcPr>
            <w:tcW w:type="dxa" w:w="5112"/>
            <w:vAlign w:val="center"/>
          </w:tcPr>
          <w:p>
            <w:r>
              <w:t>HR</w:t>
            </w:r>
          </w:p>
        </w:tc>
        <w:tc>
          <w:tcPr>
            <w:tcW w:type="dxa" w:w="5112"/>
            <w:vAlign w:val="center"/>
          </w:tcPr>
          <w:p>
            <w:r>
              <w:t>Headcount, productivity, absenteeism, attrition, hiring and training.</w:t>
            </w:r>
          </w:p>
        </w:tc>
      </w:tr>
      <w:tr>
        <w:tc>
          <w:tcPr>
            <w:tcW w:type="dxa" w:w="5112"/>
            <w:vAlign w:val="center"/>
          </w:tcPr>
          <w:p>
            <w:r>
              <w:t>Compliance</w:t>
            </w:r>
          </w:p>
        </w:tc>
        <w:tc>
          <w:tcPr>
            <w:tcW w:type="dxa" w:w="5112"/>
            <w:vAlign w:val="center"/>
          </w:tcPr>
          <w:p>
            <w:r>
              <w:t>Audit findings, cash/stock variances, statutory/OEM observations and closure status.</w:t>
            </w:r>
          </w:p>
        </w:tc>
      </w:tr>
    </w:tbl>
    <w:p>
      <w:pPr>
        <w:pStyle w:val="Heading1"/>
      </w:pPr>
      <w:r>
        <w:t>19. KPI Dashboard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Sales</w:t>
            </w:r>
          </w:p>
        </w:tc>
        <w:tc>
          <w:tcPr>
            <w:tcW w:type="dxa" w:w="5112"/>
            <w:vAlign w:val="center"/>
          </w:tcPr>
          <w:p>
            <w:r>
              <w:t>Lead response time; lead→TD; TD→booking; booking→retail; cancellation; finance penetration; insurance penetration; accessories/exchange.</w:t>
            </w:r>
          </w:p>
        </w:tc>
      </w:tr>
      <w:tr>
        <w:tc>
          <w:tcPr>
            <w:tcW w:type="dxa" w:w="5112"/>
            <w:vAlign w:val="center"/>
          </w:tcPr>
          <w:p>
            <w:r>
              <w:t>Service</w:t>
            </w:r>
          </w:p>
        </w:tc>
        <w:tc>
          <w:tcPr>
            <w:tcW w:type="dxa" w:w="5112"/>
            <w:vAlign w:val="center"/>
          </w:tcPr>
          <w:p>
            <w:r>
              <w:t>RO/day; revenue/RO; labour hours; productivity; efficiency; utilization; first-time fix; comeback; CSI; retention.</w:t>
            </w:r>
          </w:p>
        </w:tc>
      </w:tr>
      <w:tr>
        <w:tc>
          <w:tcPr>
            <w:tcW w:type="dxa" w:w="5112"/>
            <w:vAlign w:val="center"/>
          </w:tcPr>
          <w:p>
            <w:r>
              <w:t>Parts</w:t>
            </w:r>
          </w:p>
        </w:tc>
        <w:tc>
          <w:tcPr>
            <w:tcW w:type="dxa" w:w="5112"/>
            <w:vAlign w:val="center"/>
          </w:tcPr>
          <w:p>
            <w:r>
              <w:t>Fill rate; lost sales; inventory turns; aging; variance; warranty/return pending.</w:t>
            </w:r>
          </w:p>
        </w:tc>
      </w:tr>
      <w:tr>
        <w:tc>
          <w:tcPr>
            <w:tcW w:type="dxa" w:w="5112"/>
            <w:vAlign w:val="center"/>
          </w:tcPr>
          <w:p>
            <w:r>
              <w:t>F&amp;I</w:t>
            </w:r>
          </w:p>
        </w:tc>
        <w:tc>
          <w:tcPr>
            <w:tcW w:type="dxa" w:w="5112"/>
            <w:vAlign w:val="center"/>
          </w:tcPr>
          <w:p>
            <w:r>
              <w:t>Finance penetration; approval rate; sanction→disbursement TAT; pending documents.</w:t>
            </w:r>
          </w:p>
        </w:tc>
      </w:tr>
      <w:tr>
        <w:tc>
          <w:tcPr>
            <w:tcW w:type="dxa" w:w="5112"/>
            <w:vAlign w:val="center"/>
          </w:tcPr>
          <w:p>
            <w:r>
              <w:t>Insurance</w:t>
            </w:r>
          </w:p>
        </w:tc>
        <w:tc>
          <w:tcPr>
            <w:tcW w:type="dxa" w:w="5112"/>
            <w:vAlign w:val="center"/>
          </w:tcPr>
          <w:p>
            <w:r>
              <w:t>New penetration; renewal rate; claim TAT; pending claims.</w:t>
            </w:r>
          </w:p>
        </w:tc>
      </w:tr>
      <w:tr>
        <w:tc>
          <w:tcPr>
            <w:tcW w:type="dxa" w:w="5112"/>
            <w:vAlign w:val="center"/>
          </w:tcPr>
          <w:p>
            <w:r>
              <w:t>Used Cars</w:t>
            </w:r>
          </w:p>
        </w:tc>
        <w:tc>
          <w:tcPr>
            <w:tcW w:type="dxa" w:w="5112"/>
            <w:vAlign w:val="center"/>
          </w:tcPr>
          <w:p>
            <w:r>
              <w:t>Units bought/sold; days in stock; gross margin/unit; refurbishment variance.</w:t>
            </w:r>
          </w:p>
        </w:tc>
      </w:tr>
      <w:tr>
        <w:tc>
          <w:tcPr>
            <w:tcW w:type="dxa" w:w="5112"/>
            <w:vAlign w:val="center"/>
          </w:tcPr>
          <w:p>
            <w:r>
              <w:t>People</w:t>
            </w:r>
          </w:p>
        </w:tc>
        <w:tc>
          <w:tcPr>
            <w:tcW w:type="dxa" w:w="5112"/>
            <w:vAlign w:val="center"/>
          </w:tcPr>
          <w:p>
            <w:r>
              <w:t>Attendance; absenteeism; attrition; training completion; productivity.</w:t>
            </w:r>
          </w:p>
        </w:tc>
      </w:tr>
      <w:tr>
        <w:tc>
          <w:tcPr>
            <w:tcW w:type="dxa" w:w="5112"/>
            <w:vAlign w:val="center"/>
          </w:tcPr>
          <w:p>
            <w:r>
              <w:t>Customer</w:t>
            </w:r>
          </w:p>
        </w:tc>
        <w:tc>
          <w:tcPr>
            <w:tcW w:type="dxa" w:w="5112"/>
            <w:vAlign w:val="center"/>
          </w:tcPr>
          <w:p>
            <w:r>
              <w:t>CSI/NPS; complaint closure TAT; repeat complaint rate; referral rate.</w:t>
            </w:r>
          </w:p>
        </w:tc>
      </w:tr>
    </w:tbl>
    <w:p>
      <w:pPr>
        <w:pStyle w:val="Heading1"/>
      </w:pPr>
      <w:r>
        <w:t>20. Target vs Achievement System</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Planning</w:t>
            </w:r>
          </w:p>
        </w:tc>
        <w:tc>
          <w:tcPr>
            <w:tcW w:type="dxa" w:w="5112"/>
            <w:vAlign w:val="center"/>
          </w:tcPr>
          <w:p>
            <w:r>
              <w:t>Annual target → monthly target → weekly run-rate → daily requirement.</w:t>
            </w:r>
          </w:p>
        </w:tc>
      </w:tr>
      <w:tr>
        <w:tc>
          <w:tcPr>
            <w:tcW w:type="dxa" w:w="5112"/>
            <w:vAlign w:val="center"/>
          </w:tcPr>
          <w:p>
            <w:r>
              <w:t>Forecast</w:t>
            </w:r>
          </w:p>
        </w:tc>
        <w:tc>
          <w:tcPr>
            <w:tcW w:type="dxa" w:w="5112"/>
            <w:vAlign w:val="center"/>
          </w:tcPr>
          <w:p>
            <w:r>
              <w:t>Actual MTD + realistic pipeline + confirmed deliveries; show best/base/worst case.</w:t>
            </w:r>
          </w:p>
        </w:tc>
      </w:tr>
      <w:tr>
        <w:tc>
          <w:tcPr>
            <w:tcW w:type="dxa" w:w="5112"/>
            <w:vAlign w:val="center"/>
          </w:tcPr>
          <w:p>
            <w:r>
              <w:t>Gap</w:t>
            </w:r>
          </w:p>
        </w:tc>
        <w:tc>
          <w:tcPr>
            <w:tcW w:type="dxa" w:w="5112"/>
            <w:vAlign w:val="center"/>
          </w:tcPr>
          <w:p>
            <w:r>
              <w:t>Gap = target − achievement. Assign every material gap to a department/person and action.</w:t>
            </w:r>
          </w:p>
        </w:tc>
      </w:tr>
      <w:tr>
        <w:tc>
          <w:tcPr>
            <w:tcW w:type="dxa" w:w="5112"/>
            <w:vAlign w:val="center"/>
          </w:tcPr>
          <w:p>
            <w:r>
              <w:t>RAG</w:t>
            </w:r>
          </w:p>
        </w:tc>
        <w:tc>
          <w:tcPr>
            <w:tcW w:type="dxa" w:w="5112"/>
            <w:vAlign w:val="center"/>
          </w:tcPr>
          <w:p>
            <w:r>
              <w:t>Green = on/above plan; Amber = recoverable gap; Red = material risk requiring manager action.</w:t>
            </w:r>
          </w:p>
        </w:tc>
      </w:tr>
      <w:tr>
        <w:tc>
          <w:tcPr>
            <w:tcW w:type="dxa" w:w="5112"/>
            <w:vAlign w:val="center"/>
          </w:tcPr>
          <w:p>
            <w:r>
              <w:t>Review</w:t>
            </w:r>
          </w:p>
        </w:tc>
        <w:tc>
          <w:tcPr>
            <w:tcW w:type="dxa" w:w="5112"/>
            <w:vAlign w:val="center"/>
          </w:tcPr>
          <w:p>
            <w:r>
              <w:t>Daily operational review; weekly recovery plan; monthly reforecast.</w:t>
            </w:r>
          </w:p>
        </w:tc>
      </w:tr>
      <w:tr>
        <w:tc>
          <w:tcPr>
            <w:tcW w:type="dxa" w:w="5112"/>
            <w:vAlign w:val="center"/>
          </w:tcPr>
          <w:p>
            <w:r>
              <w:t>Integrity</w:t>
            </w:r>
          </w:p>
        </w:tc>
        <w:tc>
          <w:tcPr>
            <w:tcW w:type="dxa" w:w="5112"/>
            <w:vAlign w:val="center"/>
          </w:tcPr>
          <w:p>
            <w:r>
              <w:t>Never inflate bookings, retail, test drives, leads or pipeline to meet target.</w:t>
            </w:r>
          </w:p>
        </w:tc>
      </w:tr>
    </w:tbl>
    <w:p>
      <w:pPr>
        <w:pStyle w:val="Heading1"/>
      </w:pPr>
      <w:r>
        <w:t>21. Incentive Calculation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Design</w:t>
            </w:r>
          </w:p>
        </w:tc>
        <w:tc>
          <w:tcPr>
            <w:tcW w:type="dxa" w:w="5112"/>
            <w:vAlign w:val="center"/>
          </w:tcPr>
          <w:p>
            <w:r>
              <w:t>Use approved dealership/OEM scheme. Keep rules simple, documented and auditable.</w:t>
            </w:r>
          </w:p>
        </w:tc>
      </w:tr>
      <w:tr>
        <w:tc>
          <w:tcPr>
            <w:tcW w:type="dxa" w:w="5112"/>
            <w:vAlign w:val="center"/>
          </w:tcPr>
          <w:p>
            <w:r>
              <w:t>Example</w:t>
            </w:r>
          </w:p>
        </w:tc>
        <w:tc>
          <w:tcPr>
            <w:tcW w:type="dxa" w:w="5112"/>
            <w:vAlign w:val="center"/>
          </w:tcPr>
          <w:p>
            <w:r>
              <w:t>Illustrative only: Incentive = eligible units × unit rate + eligible quality/CSI bonus + approved product bonus − documented reversals/penalties.</w:t>
            </w:r>
          </w:p>
        </w:tc>
      </w:tr>
      <w:tr>
        <w:tc>
          <w:tcPr>
            <w:tcW w:type="dxa" w:w="5112"/>
            <w:vAlign w:val="center"/>
          </w:tcPr>
          <w:p>
            <w:r>
              <w:t>Eligibility</w:t>
            </w:r>
          </w:p>
        </w:tc>
        <w:tc>
          <w:tcPr>
            <w:tcW w:type="dxa" w:w="5112"/>
            <w:vAlign w:val="center"/>
          </w:tcPr>
          <w:p>
            <w:r>
              <w:t>Define attendance, minimum productivity, CSI/quality gate, cancellation/reversal treatment and compliance gate before the month starts.</w:t>
            </w:r>
          </w:p>
        </w:tc>
      </w:tr>
      <w:tr>
        <w:tc>
          <w:tcPr>
            <w:tcW w:type="dxa" w:w="5112"/>
            <w:vAlign w:val="center"/>
          </w:tcPr>
          <w:p>
            <w:r>
              <w:t>Controls</w:t>
            </w:r>
          </w:p>
        </w:tc>
        <w:tc>
          <w:tcPr>
            <w:tcW w:type="dxa" w:w="5112"/>
            <w:vAlign w:val="center"/>
          </w:tcPr>
          <w:p>
            <w:r>
              <w:t>HR + Finance validate source data; employee acknowledgement; payout report retained.</w:t>
            </w:r>
          </w:p>
        </w:tc>
      </w:tr>
      <w:tr>
        <w:tc>
          <w:tcPr>
            <w:tcW w:type="dxa" w:w="5112"/>
            <w:vAlign w:val="center"/>
          </w:tcPr>
          <w:p>
            <w:r>
              <w:t>Important</w:t>
            </w:r>
          </w:p>
        </w:tc>
        <w:tc>
          <w:tcPr>
            <w:tcW w:type="dxa" w:w="5112"/>
            <w:vAlign w:val="center"/>
          </w:tcPr>
          <w:p>
            <w:r>
              <w:t>Do not use this example as the actual Capital Honda/Honda incentive plan; actual schemes are confidential/variable and must come from authorized management.</w:t>
            </w:r>
          </w:p>
        </w:tc>
      </w:tr>
    </w:tbl>
    <w:p>
      <w:pPr>
        <w:pStyle w:val="Heading1"/>
      </w:pPr>
      <w:r>
        <w:t>22. Customer Complaint Escalation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L1</w:t>
            </w:r>
          </w:p>
        </w:tc>
        <w:tc>
          <w:tcPr>
            <w:tcW w:type="dxa" w:w="5112"/>
            <w:vAlign w:val="center"/>
          </w:tcPr>
          <w:p>
            <w:r>
              <w:t>Frontline owns first response: acknowledge, understand, log, resolve within authority.</w:t>
            </w:r>
          </w:p>
        </w:tc>
      </w:tr>
      <w:tr>
        <w:tc>
          <w:tcPr>
            <w:tcW w:type="dxa" w:w="5112"/>
            <w:vAlign w:val="center"/>
          </w:tcPr>
          <w:p>
            <w:r>
              <w:t>L2</w:t>
            </w:r>
          </w:p>
        </w:tc>
        <w:tc>
          <w:tcPr>
            <w:tcW w:type="dxa" w:w="5112"/>
            <w:vAlign w:val="center"/>
          </w:tcPr>
          <w:p>
            <w:r>
              <w:t>Department Manager for delay, disputed estimate, repeat issue, dissatisfaction or compensation request.</w:t>
            </w:r>
          </w:p>
        </w:tc>
      </w:tr>
      <w:tr>
        <w:tc>
          <w:tcPr>
            <w:tcW w:type="dxa" w:w="5112"/>
            <w:vAlign w:val="center"/>
          </w:tcPr>
          <w:p>
            <w:r>
              <w:t>L3</w:t>
            </w:r>
          </w:p>
        </w:tc>
        <w:tc>
          <w:tcPr>
            <w:tcW w:type="dxa" w:w="5112"/>
            <w:vAlign w:val="center"/>
          </w:tcPr>
          <w:p>
            <w:r>
              <w:t>Branch/Dealership Manager for serious unresolved cases, high-value disputes, safety concerns or social escalation.</w:t>
            </w:r>
          </w:p>
        </w:tc>
      </w:tr>
      <w:tr>
        <w:tc>
          <w:tcPr>
            <w:tcW w:type="dxa" w:w="5112"/>
            <w:vAlign w:val="center"/>
          </w:tcPr>
          <w:p>
            <w:r>
              <w:t>L4</w:t>
            </w:r>
          </w:p>
        </w:tc>
        <w:tc>
          <w:tcPr>
            <w:tcW w:type="dxa" w:w="5112"/>
            <w:vAlign w:val="center"/>
          </w:tcPr>
          <w:p>
            <w:r>
              <w:t>OEM/Legal/Compliance/Principal as applicable for safety, regulatory, fraud, privacy or unresolved critical cases.</w:t>
            </w:r>
          </w:p>
        </w:tc>
      </w:tr>
      <w:tr>
        <w:tc>
          <w:tcPr>
            <w:tcW w:type="dxa" w:w="5112"/>
            <w:vAlign w:val="center"/>
          </w:tcPr>
          <w:p>
            <w:r>
              <w:t>Severity</w:t>
            </w:r>
          </w:p>
        </w:tc>
        <w:tc>
          <w:tcPr>
            <w:tcW w:type="dxa" w:w="5112"/>
            <w:vAlign w:val="center"/>
          </w:tcPr>
          <w:p>
            <w:r>
              <w:t>Critical: safety/injury, fraud, major privacy issue, vehicle damage or legal notice → immediate escalation. High: breakdown/repeat repair/major delay → same day. Normal: routine service/communication → defined TAT.</w:t>
            </w:r>
          </w:p>
        </w:tc>
      </w:tr>
      <w:tr>
        <w:tc>
          <w:tcPr>
            <w:tcW w:type="dxa" w:w="5112"/>
            <w:vAlign w:val="center"/>
          </w:tcPr>
          <w:p>
            <w:r>
              <w:t>Closure</w:t>
            </w:r>
          </w:p>
        </w:tc>
        <w:tc>
          <w:tcPr>
            <w:tcW w:type="dxa" w:w="5112"/>
            <w:vAlign w:val="center"/>
          </w:tcPr>
          <w:p>
            <w:r>
              <w:t>Document root cause, corrective action, customer confirmation and prevention action; trend monthly.</w:t>
            </w:r>
          </w:p>
        </w:tc>
      </w:tr>
    </w:tbl>
    <w:p>
      <w:pPr>
        <w:pStyle w:val="Heading1"/>
      </w:pPr>
      <w:r>
        <w:t>23. Audit Checklist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Cash</w:t>
            </w:r>
          </w:p>
        </w:tc>
        <w:tc>
          <w:tcPr>
            <w:tcW w:type="dxa" w:w="5112"/>
            <w:vAlign w:val="center"/>
          </w:tcPr>
          <w:p>
            <w:r>
              <w:t>Daily collection-to-receipt/bank reconciliation; petty cash; authorization.</w:t>
            </w:r>
          </w:p>
        </w:tc>
      </w:tr>
      <w:tr>
        <w:tc>
          <w:tcPr>
            <w:tcW w:type="dxa" w:w="5112"/>
            <w:vAlign w:val="center"/>
          </w:tcPr>
          <w:p>
            <w:r>
              <w:t>Sales</w:t>
            </w:r>
          </w:p>
        </w:tc>
        <w:tc>
          <w:tcPr>
            <w:tcW w:type="dxa" w:w="5112"/>
            <w:vAlign w:val="center"/>
          </w:tcPr>
          <w:p>
            <w:r>
              <w:t>Quotation/discount approvals; booking receipts; PDI; invoice; delivery file; registration.</w:t>
            </w:r>
          </w:p>
        </w:tc>
      </w:tr>
      <w:tr>
        <w:tc>
          <w:tcPr>
            <w:tcW w:type="dxa" w:w="5112"/>
            <w:vAlign w:val="center"/>
          </w:tcPr>
          <w:p>
            <w:r>
              <w:t>Service</w:t>
            </w:r>
          </w:p>
        </w:tc>
        <w:tc>
          <w:tcPr>
            <w:tcW w:type="dxa" w:w="5112"/>
            <w:vAlign w:val="center"/>
          </w:tcPr>
          <w:p>
            <w:r>
              <w:t>Job card; estimate approval; parts issue; technician time; QC; invoice; warranty documentation.</w:t>
            </w:r>
          </w:p>
        </w:tc>
      </w:tr>
      <w:tr>
        <w:tc>
          <w:tcPr>
            <w:tcW w:type="dxa" w:w="5112"/>
            <w:vAlign w:val="center"/>
          </w:tcPr>
          <w:p>
            <w:r>
              <w:t>Parts</w:t>
            </w:r>
          </w:p>
        </w:tc>
        <w:tc>
          <w:tcPr>
            <w:tcW w:type="dxa" w:w="5112"/>
            <w:vAlign w:val="center"/>
          </w:tcPr>
          <w:p>
            <w:r>
              <w:t>Receiving; bin; issue/return; physical count; variance; obsolete stock.</w:t>
            </w:r>
          </w:p>
        </w:tc>
      </w:tr>
      <w:tr>
        <w:tc>
          <w:tcPr>
            <w:tcW w:type="dxa" w:w="5112"/>
            <w:vAlign w:val="center"/>
          </w:tcPr>
          <w:p>
            <w:r>
              <w:t>F&amp;I/Insurance</w:t>
            </w:r>
          </w:p>
        </w:tc>
        <w:tc>
          <w:tcPr>
            <w:tcW w:type="dxa" w:w="5112"/>
            <w:vAlign w:val="center"/>
          </w:tcPr>
          <w:p>
            <w:r>
              <w:t>Consent, documentation, policy, lender/insurer reconciliation and data access.</w:t>
            </w:r>
          </w:p>
        </w:tc>
      </w:tr>
      <w:tr>
        <w:tc>
          <w:tcPr>
            <w:tcW w:type="dxa" w:w="5112"/>
            <w:vAlign w:val="center"/>
          </w:tcPr>
          <w:p>
            <w:r>
              <w:t>Used Cars</w:t>
            </w:r>
          </w:p>
        </w:tc>
        <w:tc>
          <w:tcPr>
            <w:tcW w:type="dxa" w:w="5112"/>
            <w:vAlign w:val="center"/>
          </w:tcPr>
          <w:p>
            <w:r>
              <w:t>Title/RC/hypothecation/challan checks; valuation; inspection; refurbishment; disclosure.</w:t>
            </w:r>
          </w:p>
        </w:tc>
      </w:tr>
      <w:tr>
        <w:tc>
          <w:tcPr>
            <w:tcW w:type="dxa" w:w="5112"/>
            <w:vAlign w:val="center"/>
          </w:tcPr>
          <w:p>
            <w:r>
              <w:t>EV</w:t>
            </w:r>
          </w:p>
        </w:tc>
        <w:tc>
          <w:tcPr>
            <w:tcW w:type="dxa" w:w="5112"/>
            <w:vAlign w:val="center"/>
          </w:tcPr>
          <w:p>
            <w:r>
              <w:t>Training authorization; HV PPE; isolation procedure; charger safety; incident records.</w:t>
            </w:r>
          </w:p>
        </w:tc>
      </w:tr>
      <w:tr>
        <w:tc>
          <w:tcPr>
            <w:tcW w:type="dxa" w:w="5112"/>
            <w:vAlign w:val="center"/>
          </w:tcPr>
          <w:p>
            <w:r>
              <w:t>HR</w:t>
            </w:r>
          </w:p>
        </w:tc>
        <w:tc>
          <w:tcPr>
            <w:tcW w:type="dxa" w:w="5112"/>
            <w:vAlign w:val="center"/>
          </w:tcPr>
          <w:p>
            <w:r>
              <w:t>Attendance, training, statutory records, safety incidents and access controls.</w:t>
            </w:r>
          </w:p>
        </w:tc>
      </w:tr>
      <w:tr>
        <w:tc>
          <w:tcPr>
            <w:tcW w:type="dxa" w:w="5112"/>
            <w:vAlign w:val="center"/>
          </w:tcPr>
          <w:p>
            <w:r>
              <w:t>IT/Data</w:t>
            </w:r>
          </w:p>
        </w:tc>
        <w:tc>
          <w:tcPr>
            <w:tcW w:type="dxa" w:w="5112"/>
            <w:vAlign w:val="center"/>
          </w:tcPr>
          <w:p>
            <w:r>
              <w:t>Role-based access, password/security policy, customer-data privacy and backup/recovery controls.</w:t>
            </w:r>
          </w:p>
        </w:tc>
      </w:tr>
      <w:tr>
        <w:tc>
          <w:tcPr>
            <w:tcW w:type="dxa" w:w="5112"/>
            <w:vAlign w:val="center"/>
          </w:tcPr>
          <w:p>
            <w:r>
              <w:t>Facility</w:t>
            </w:r>
          </w:p>
        </w:tc>
        <w:tc>
          <w:tcPr>
            <w:tcW w:type="dxa" w:w="5112"/>
            <w:vAlign w:val="center"/>
          </w:tcPr>
          <w:p>
            <w:r>
              <w:t>Fire, electrical, lifts, compressors, waste, housekeeping, emergency exits and CCTV.</w:t>
            </w:r>
          </w:p>
        </w:tc>
      </w:tr>
    </w:tbl>
    <w:p>
      <w:pPr>
        <w:pStyle w:val="Heading1"/>
      </w:pPr>
      <w:r>
        <w:t>24. Annual Business Plan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Market</w:t>
            </w:r>
          </w:p>
        </w:tc>
        <w:tc>
          <w:tcPr>
            <w:tcW w:type="dxa" w:w="5112"/>
            <w:vAlign w:val="center"/>
          </w:tcPr>
          <w:p>
            <w:r>
              <w:t>Review territory, competition, model launches, customer trends, fleet/corporate opportunities and EV adoption.</w:t>
            </w:r>
          </w:p>
        </w:tc>
      </w:tr>
      <w:tr>
        <w:tc>
          <w:tcPr>
            <w:tcW w:type="dxa" w:w="5112"/>
            <w:vAlign w:val="center"/>
          </w:tcPr>
          <w:p>
            <w:r>
              <w:t>Volume</w:t>
            </w:r>
          </w:p>
        </w:tc>
        <w:tc>
          <w:tcPr>
            <w:tcW w:type="dxa" w:w="5112"/>
            <w:vAlign w:val="center"/>
          </w:tcPr>
          <w:p>
            <w:r>
              <w:t>Set annual/monthly targets for new cars, service RO, parts, used cars, finance, insurance and accessories.</w:t>
            </w:r>
          </w:p>
        </w:tc>
      </w:tr>
      <w:tr>
        <w:tc>
          <w:tcPr>
            <w:tcW w:type="dxa" w:w="5112"/>
            <w:vAlign w:val="center"/>
          </w:tcPr>
          <w:p>
            <w:r>
              <w:t>Capacity</w:t>
            </w:r>
          </w:p>
        </w:tc>
        <w:tc>
          <w:tcPr>
            <w:tcW w:type="dxa" w:w="5112"/>
            <w:vAlign w:val="center"/>
          </w:tcPr>
          <w:p>
            <w:r>
              <w:t>Calculate showroom leads capacity, test-drive fleet, workshop bays, technician capacity, parts inventory and charging infrastructure.</w:t>
            </w:r>
          </w:p>
        </w:tc>
      </w:tr>
      <w:tr>
        <w:tc>
          <w:tcPr>
            <w:tcW w:type="dxa" w:w="5112"/>
            <w:vAlign w:val="center"/>
          </w:tcPr>
          <w:p>
            <w:r>
              <w:t>Financial</w:t>
            </w:r>
          </w:p>
        </w:tc>
        <w:tc>
          <w:tcPr>
            <w:tcW w:type="dxa" w:w="5112"/>
            <w:vAlign w:val="center"/>
          </w:tcPr>
          <w:p>
            <w:r>
              <w:t>Revenue, gross contribution, payroll, marketing, capex, working capital, inventory and profit plan.</w:t>
            </w:r>
          </w:p>
        </w:tc>
      </w:tr>
      <w:tr>
        <w:tc>
          <w:tcPr>
            <w:tcW w:type="dxa" w:w="5112"/>
            <w:vAlign w:val="center"/>
          </w:tcPr>
          <w:p>
            <w:r>
              <w:t>People</w:t>
            </w:r>
          </w:p>
        </w:tc>
        <w:tc>
          <w:tcPr>
            <w:tcW w:type="dxa" w:w="5112"/>
            <w:vAlign w:val="center"/>
          </w:tcPr>
          <w:p>
            <w:r>
              <w:t>Headcount plan, hiring, training, succession and retention.</w:t>
            </w:r>
          </w:p>
        </w:tc>
      </w:tr>
      <w:tr>
        <w:tc>
          <w:tcPr>
            <w:tcW w:type="dxa" w:w="5112"/>
            <w:vAlign w:val="center"/>
          </w:tcPr>
          <w:p>
            <w:r>
              <w:t>Customer</w:t>
            </w:r>
          </w:p>
        </w:tc>
        <w:tc>
          <w:tcPr>
            <w:tcW w:type="dxa" w:w="5112"/>
            <w:vAlign w:val="center"/>
          </w:tcPr>
          <w:p>
            <w:r>
              <w:t>Retention, CSI, complaint reduction and digital engagement goals.</w:t>
            </w:r>
          </w:p>
        </w:tc>
      </w:tr>
      <w:tr>
        <w:tc>
          <w:tcPr>
            <w:tcW w:type="dxa" w:w="5112"/>
            <w:vAlign w:val="center"/>
          </w:tcPr>
          <w:p>
            <w:r>
              <w:t>Risk</w:t>
            </w:r>
          </w:p>
        </w:tc>
        <w:tc>
          <w:tcPr>
            <w:tcW w:type="dxa" w:w="5112"/>
            <w:vAlign w:val="center"/>
          </w:tcPr>
          <w:p>
            <w:r>
              <w:t>Business continuity, safety, cyber/privacy, fraud, supply interruptions and regulatory/OEM risks.</w:t>
            </w:r>
          </w:p>
        </w:tc>
      </w:tr>
      <w:tr>
        <w:tc>
          <w:tcPr>
            <w:tcW w:type="dxa" w:w="5112"/>
            <w:vAlign w:val="center"/>
          </w:tcPr>
          <w:p>
            <w:r>
              <w:t>Governance</w:t>
            </w:r>
          </w:p>
        </w:tc>
        <w:tc>
          <w:tcPr>
            <w:tcW w:type="dxa" w:w="5112"/>
            <w:vAlign w:val="center"/>
          </w:tcPr>
          <w:p>
            <w:r>
              <w:t>Quarterly business review; monthly forecast; annual policy/SOP review.</w:t>
            </w:r>
          </w:p>
        </w:tc>
      </w:tr>
    </w:tbl>
    <w:p>
      <w:pPr>
        <w:pStyle w:val="Heading1"/>
      </w:pPr>
      <w:r>
        <w:t>25. Branch/Dealership Manager — Daily Timetable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Standard operating requirement</w:t>
            </w:r>
          </w:p>
        </w:tc>
      </w:tr>
      <w:tr>
        <w:tc>
          <w:tcPr>
            <w:tcW w:type="dxa" w:w="5112"/>
            <w:vAlign w:val="center"/>
          </w:tcPr>
          <w:p>
            <w:r>
              <w:t>08:30–09:00</w:t>
            </w:r>
          </w:p>
        </w:tc>
        <w:tc>
          <w:tcPr>
            <w:tcW w:type="dxa" w:w="5112"/>
            <w:vAlign w:val="center"/>
          </w:tcPr>
          <w:p>
            <w:r>
              <w:t>Facility/safety walk; dashboard and exception review.</w:t>
            </w:r>
          </w:p>
        </w:tc>
      </w:tr>
      <w:tr>
        <w:tc>
          <w:tcPr>
            <w:tcW w:type="dxa" w:w="5112"/>
            <w:vAlign w:val="center"/>
          </w:tcPr>
          <w:p>
            <w:r>
              <w:t>09:00–09:20</w:t>
            </w:r>
          </w:p>
        </w:tc>
        <w:tc>
          <w:tcPr>
            <w:tcW w:type="dxa" w:w="5112"/>
            <w:vAlign w:val="center"/>
          </w:tcPr>
          <w:p>
            <w:r>
              <w:t>All-department morning huddle; targets, priorities, risks.</w:t>
            </w:r>
          </w:p>
        </w:tc>
      </w:tr>
      <w:tr>
        <w:tc>
          <w:tcPr>
            <w:tcW w:type="dxa" w:w="5112"/>
            <w:vAlign w:val="center"/>
          </w:tcPr>
          <w:p>
            <w:r>
              <w:t>09:20–10:30</w:t>
            </w:r>
          </w:p>
        </w:tc>
        <w:tc>
          <w:tcPr>
            <w:tcW w:type="dxa" w:w="5112"/>
            <w:vAlign w:val="center"/>
          </w:tcPr>
          <w:p>
            <w:r>
              <w:t>Sales pipeline + today's deliveries; service WIP and customer-risk review.</w:t>
            </w:r>
          </w:p>
        </w:tc>
      </w:tr>
      <w:tr>
        <w:tc>
          <w:tcPr>
            <w:tcW w:type="dxa" w:w="5112"/>
            <w:vAlign w:val="center"/>
          </w:tcPr>
          <w:p>
            <w:r>
              <w:t>10:30–11:30</w:t>
            </w:r>
          </w:p>
        </w:tc>
        <w:tc>
          <w:tcPr>
            <w:tcW w:type="dxa" w:w="5112"/>
            <w:vAlign w:val="center"/>
          </w:tcPr>
          <w:p>
            <w:r>
              <w:t>Floor/workshop walk; meet customers; remove operational blockers.</w:t>
            </w:r>
          </w:p>
        </w:tc>
      </w:tr>
      <w:tr>
        <w:tc>
          <w:tcPr>
            <w:tcW w:type="dxa" w:w="5112"/>
            <w:vAlign w:val="center"/>
          </w:tcPr>
          <w:p>
            <w:r>
              <w:t>11:30–13:00</w:t>
            </w:r>
          </w:p>
        </w:tc>
        <w:tc>
          <w:tcPr>
            <w:tcW w:type="dxa" w:w="5112"/>
            <w:vAlign w:val="center"/>
          </w:tcPr>
          <w:p>
            <w:r>
              <w:t>F&amp;I/insurance/used-car/inventory review; approvals within authority.</w:t>
            </w:r>
          </w:p>
        </w:tc>
      </w:tr>
      <w:tr>
        <w:tc>
          <w:tcPr>
            <w:tcW w:type="dxa" w:w="5112"/>
            <w:vAlign w:val="center"/>
          </w:tcPr>
          <w:p>
            <w:r>
              <w:t>13:00–14:00</w:t>
            </w:r>
          </w:p>
        </w:tc>
        <w:tc>
          <w:tcPr>
            <w:tcW w:type="dxa" w:w="5112"/>
            <w:vAlign w:val="center"/>
          </w:tcPr>
          <w:p>
            <w:r>
              <w:t>Lunch/availability; monitor peak customer flow.</w:t>
            </w:r>
          </w:p>
        </w:tc>
      </w:tr>
      <w:tr>
        <w:tc>
          <w:tcPr>
            <w:tcW w:type="dxa" w:w="5112"/>
            <w:vAlign w:val="center"/>
          </w:tcPr>
          <w:p>
            <w:r>
              <w:t>14:00–15:30</w:t>
            </w:r>
          </w:p>
        </w:tc>
        <w:tc>
          <w:tcPr>
            <w:tcW w:type="dxa" w:w="5112"/>
            <w:vAlign w:val="center"/>
          </w:tcPr>
          <w:p>
            <w:r>
              <w:t>Performance coaching; high-value cases; supplier/OEM follow-ups.</w:t>
            </w:r>
          </w:p>
        </w:tc>
      </w:tr>
      <w:tr>
        <w:tc>
          <w:tcPr>
            <w:tcW w:type="dxa" w:w="5112"/>
            <w:vAlign w:val="center"/>
          </w:tcPr>
          <w:p>
            <w:r>
              <w:t>15:30–16:30</w:t>
            </w:r>
          </w:p>
        </w:tc>
        <w:tc>
          <w:tcPr>
            <w:tcW w:type="dxa" w:w="5112"/>
            <w:vAlign w:val="center"/>
          </w:tcPr>
          <w:p>
            <w:r>
              <w:t>Service quality/WIP review; parts and stock exceptions; EV safety/charging check.</w:t>
            </w:r>
          </w:p>
        </w:tc>
      </w:tr>
      <w:tr>
        <w:tc>
          <w:tcPr>
            <w:tcW w:type="dxa" w:w="5112"/>
            <w:vAlign w:val="center"/>
          </w:tcPr>
          <w:p>
            <w:r>
              <w:t>16:30–17:30</w:t>
            </w:r>
          </w:p>
        </w:tc>
        <w:tc>
          <w:tcPr>
            <w:tcW w:type="dxa" w:w="5112"/>
            <w:vAlign w:val="center"/>
          </w:tcPr>
          <w:p>
            <w:r>
              <w:t>Forecast vs target; recovery actions; next-day delivery readiness.</w:t>
            </w:r>
          </w:p>
        </w:tc>
      </w:tr>
      <w:tr>
        <w:tc>
          <w:tcPr>
            <w:tcW w:type="dxa" w:w="5112"/>
            <w:vAlign w:val="center"/>
          </w:tcPr>
          <w:p>
            <w:r>
              <w:t>17:30–18:30</w:t>
            </w:r>
          </w:p>
        </w:tc>
        <w:tc>
          <w:tcPr>
            <w:tcW w:type="dxa" w:w="5112"/>
            <w:vAlign w:val="center"/>
          </w:tcPr>
          <w:p>
            <w:r>
              <w:t>Customer/CSI/complaint review; finance/insurance pending closure.</w:t>
            </w:r>
          </w:p>
        </w:tc>
      </w:tr>
      <w:tr>
        <w:tc>
          <w:tcPr>
            <w:tcW w:type="dxa" w:w="5112"/>
            <w:vAlign w:val="center"/>
          </w:tcPr>
          <w:p>
            <w:r>
              <w:t>18:30–19:00</w:t>
            </w:r>
          </w:p>
        </w:tc>
        <w:tc>
          <w:tcPr>
            <w:tcW w:type="dxa" w:w="5112"/>
            <w:vAlign w:val="center"/>
          </w:tcPr>
          <w:p>
            <w:r>
              <w:t>Closing MIS, cash/stock exceptions, tomorrow's priorities and escalation log.</w:t>
            </w:r>
          </w:p>
        </w:tc>
      </w:tr>
    </w:tbl>
    <w:p>
      <w:pPr>
        <w:pStyle w:val="Heading1"/>
      </w:pPr>
      <w:r>
        <w:t>Management control sheets — recommended formats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Sheet</w:t>
            </w:r>
          </w:p>
        </w:tc>
        <w:tc>
          <w:tcPr>
            <w:tcW w:type="dxa" w:w="5112"/>
            <w:shd w:fill="D9EAF7"/>
          </w:tcPr>
          <w:p>
            <w:r>
              <w:rPr>
                <w:b/>
              </w:rPr>
              <w:t>Minimum columns</w:t>
            </w:r>
          </w:p>
        </w:tc>
      </w:tr>
      <w:tr>
        <w:tc>
          <w:tcPr>
            <w:tcW w:type="dxa" w:w="5112"/>
            <w:vAlign w:val="center"/>
          </w:tcPr>
          <w:p>
            <w:r>
              <w:t>Sales Pipeline</w:t>
            </w:r>
          </w:p>
        </w:tc>
        <w:tc>
          <w:tcPr>
            <w:tcW w:type="dxa" w:w="5112"/>
            <w:vAlign w:val="center"/>
          </w:tcPr>
          <w:p>
            <w:r>
              <w:t>Date | Lead ID | Source | Customer | Model | Salesperson | Stage | Next Action | Next Action Date | Expected Retail | Lost Reason</w:t>
            </w:r>
          </w:p>
        </w:tc>
      </w:tr>
      <w:tr>
        <w:tc>
          <w:tcPr>
            <w:tcW w:type="dxa" w:w="5112"/>
            <w:vAlign w:val="center"/>
          </w:tcPr>
          <w:p>
            <w:r>
              <w:t>Service WIP</w:t>
            </w:r>
          </w:p>
        </w:tc>
        <w:tc>
          <w:tcPr>
            <w:tcW w:type="dxa" w:w="5112"/>
            <w:vAlign w:val="center"/>
          </w:tcPr>
          <w:p>
            <w:r>
              <w:t>RO | Regn | Advisor | Technician | Job Type | Promise Time | Approval | Parts Status | WIP Stage | Est. Value | Risk</w:t>
            </w:r>
          </w:p>
        </w:tc>
      </w:tr>
      <w:tr>
        <w:tc>
          <w:tcPr>
            <w:tcW w:type="dxa" w:w="5112"/>
            <w:vAlign w:val="center"/>
          </w:tcPr>
          <w:p>
            <w:r>
              <w:t>F&amp;I Tracker</w:t>
            </w:r>
          </w:p>
        </w:tc>
        <w:tc>
          <w:tcPr>
            <w:tcW w:type="dxa" w:w="5112"/>
            <w:vAlign w:val="center"/>
          </w:tcPr>
          <w:p>
            <w:r>
              <w:t>Customer | Model | Lender | Application | Sanction | Docs | Disbursement | Invoice | Delivery Date | Exception</w:t>
            </w:r>
          </w:p>
        </w:tc>
      </w:tr>
      <w:tr>
        <w:tc>
          <w:tcPr>
            <w:tcW w:type="dxa" w:w="5112"/>
            <w:vAlign w:val="center"/>
          </w:tcPr>
          <w:p>
            <w:r>
              <w:t>Insurance Tracker</w:t>
            </w:r>
          </w:p>
        </w:tc>
        <w:tc>
          <w:tcPr>
            <w:tcW w:type="dxa" w:w="5112"/>
            <w:vAlign w:val="center"/>
          </w:tcPr>
          <w:p>
            <w:r>
              <w:t>Customer | Vehicle | New/Renewal | Insurer | Quote | Payment | Policy No. | Expiry | Claim Status</w:t>
            </w:r>
          </w:p>
        </w:tc>
      </w:tr>
      <w:tr>
        <w:tc>
          <w:tcPr>
            <w:tcW w:type="dxa" w:w="5112"/>
            <w:vAlign w:val="center"/>
          </w:tcPr>
          <w:p>
            <w:r>
              <w:t>Used-Car Stock</w:t>
            </w:r>
          </w:p>
        </w:tc>
        <w:tc>
          <w:tcPr>
            <w:tcW w:type="dxa" w:w="5112"/>
            <w:vAlign w:val="center"/>
          </w:tcPr>
          <w:p>
            <w:r>
              <w:t>Stock ID | VIN/Regn | Buy Date | Buy Cost | Refurb Cost | Total Cost | Asking Price | Days | Status | Margin</w:t>
            </w:r>
          </w:p>
        </w:tc>
      </w:tr>
      <w:tr>
        <w:tc>
          <w:tcPr>
            <w:tcW w:type="dxa" w:w="5112"/>
            <w:vAlign w:val="center"/>
          </w:tcPr>
          <w:p>
            <w:r>
              <w:t>Complaint Log</w:t>
            </w:r>
          </w:p>
        </w:tc>
        <w:tc>
          <w:tcPr>
            <w:tcW w:type="dxa" w:w="5112"/>
            <w:vAlign w:val="center"/>
          </w:tcPr>
          <w:p>
            <w:r>
              <w:t>Case ID | Date | Customer | Vehicle | Severity | Department | Owner | Promised Callback | Root Cause | Action | Closure</w:t>
            </w:r>
          </w:p>
        </w:tc>
      </w:tr>
      <w:tr>
        <w:tc>
          <w:tcPr>
            <w:tcW w:type="dxa" w:w="5112"/>
            <w:vAlign w:val="center"/>
          </w:tcPr>
          <w:p>
            <w:r>
              <w:t>Daily Action Log</w:t>
            </w:r>
          </w:p>
        </w:tc>
        <w:tc>
          <w:tcPr>
            <w:tcW w:type="dxa" w:w="5112"/>
            <w:vAlign w:val="center"/>
          </w:tcPr>
          <w:p>
            <w:r>
              <w:t>Issue | Owner | Due Date | RAG | Action | Status | Escalation</w:t>
            </w:r>
          </w:p>
        </w:tc>
      </w:tr>
    </w:tbl>
    <w:p>
      <w:pPr>
        <w:pStyle w:val="Heading1"/>
      </w:pPr>
      <w:r>
        <w:t>30-day implementation plan</w:t>
      </w:r>
    </w:p>
    <w:p>
      <w:pPr>
        <w:pStyle w:val="ListBullet"/>
      </w:pPr>
      <w:r>
        <w:t>Days 1–5: confirm organization chart, authority matrix, DMS/CRM fields, OEM-required controls and KPI definitions.</w:t>
      </w:r>
    </w:p>
    <w:p>
      <w:pPr>
        <w:pStyle w:val="ListBullet"/>
      </w:pPr>
      <w:r>
        <w:t>Days 6–10: launch opening/closing checklists, daily huddles and WIP boards.</w:t>
      </w:r>
    </w:p>
    <w:p>
      <w:pPr>
        <w:pStyle w:val="ListBullet"/>
      </w:pPr>
      <w:r>
        <w:t>Days 11–15: clean sales/service pipelines; standardize lost reasons, complaint severity and escalation.</w:t>
      </w:r>
    </w:p>
    <w:p>
      <w:pPr>
        <w:pStyle w:val="ListBullet"/>
      </w:pPr>
      <w:r>
        <w:t>Days 16–20: launch department scorecards and weekly review.</w:t>
      </w:r>
    </w:p>
    <w:p>
      <w:pPr>
        <w:pStyle w:val="ListBullet"/>
      </w:pPr>
      <w:r>
        <w:t>Days 21–25: reconcile stock/cash/F&amp;I/insurance controls; run internal audit.</w:t>
      </w:r>
    </w:p>
    <w:p>
      <w:pPr>
        <w:pStyle w:val="ListBullet"/>
      </w:pPr>
      <w:r>
        <w:t>Days 26–30: finalize targets, incentives, training calendar and monthly business review.</w:t>
      </w:r>
    </w:p>
    <w:p>
      <w:pPr>
        <w:pStyle w:val="Heading1"/>
      </w:pPr>
      <w:r>
        <w:t>Authority &amp; governance matrix — minimum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Decision</w:t>
            </w:r>
          </w:p>
        </w:tc>
        <w:tc>
          <w:tcPr>
            <w:tcW w:type="dxa" w:w="3408"/>
            <w:shd w:fill="D9EAF7"/>
          </w:tcPr>
          <w:p>
            <w:r>
              <w:rPr>
                <w:b/>
              </w:rPr>
              <w:t>Primary owner</w:t>
            </w:r>
          </w:p>
        </w:tc>
        <w:tc>
          <w:tcPr>
            <w:tcW w:type="dxa" w:w="3408"/>
            <w:shd w:fill="D9EAF7"/>
          </w:tcPr>
          <w:p>
            <w:r>
              <w:rPr>
                <w:b/>
              </w:rPr>
              <w:t>Escalate to</w:t>
            </w:r>
          </w:p>
        </w:tc>
      </w:tr>
      <w:tr>
        <w:tc>
          <w:tcPr>
            <w:tcW w:type="dxa" w:w="3408"/>
            <w:vAlign w:val="center"/>
          </w:tcPr>
          <w:p>
            <w:r>
              <w:t>Standard customer quotation</w:t>
            </w:r>
          </w:p>
        </w:tc>
        <w:tc>
          <w:tcPr>
            <w:tcW w:type="dxa" w:w="3408"/>
            <w:vAlign w:val="center"/>
          </w:tcPr>
          <w:p>
            <w:r>
              <w:t>Sales Executive</w:t>
            </w:r>
          </w:p>
        </w:tc>
        <w:tc>
          <w:tcPr>
            <w:tcW w:type="dxa" w:w="3408"/>
            <w:vAlign w:val="center"/>
          </w:tcPr>
          <w:p>
            <w:r>
              <w:t>Sales Manager if exception</w:t>
            </w:r>
          </w:p>
        </w:tc>
      </w:tr>
      <w:tr>
        <w:tc>
          <w:tcPr>
            <w:tcW w:type="dxa" w:w="3408"/>
            <w:vAlign w:val="center"/>
          </w:tcPr>
          <w:p>
            <w:r>
              <w:t>Discount/price exception</w:t>
            </w:r>
          </w:p>
        </w:tc>
        <w:tc>
          <w:tcPr>
            <w:tcW w:type="dxa" w:w="3408"/>
            <w:vAlign w:val="center"/>
          </w:tcPr>
          <w:p>
            <w:r>
              <w:t>Sales Manager</w:t>
            </w:r>
          </w:p>
        </w:tc>
        <w:tc>
          <w:tcPr>
            <w:tcW w:type="dxa" w:w="3408"/>
            <w:vAlign w:val="center"/>
          </w:tcPr>
          <w:p>
            <w:r>
              <w:t>Dealership Manager per authority</w:t>
            </w:r>
          </w:p>
        </w:tc>
      </w:tr>
      <w:tr>
        <w:tc>
          <w:tcPr>
            <w:tcW w:type="dxa" w:w="3408"/>
            <w:vAlign w:val="center"/>
          </w:tcPr>
          <w:p>
            <w:r>
              <w:t>Major service estimate</w:t>
            </w:r>
          </w:p>
        </w:tc>
        <w:tc>
          <w:tcPr>
            <w:tcW w:type="dxa" w:w="3408"/>
            <w:vAlign w:val="center"/>
          </w:tcPr>
          <w:p>
            <w:r>
              <w:t>Service Advisor</w:t>
            </w:r>
          </w:p>
        </w:tc>
        <w:tc>
          <w:tcPr>
            <w:tcW w:type="dxa" w:w="3408"/>
            <w:vAlign w:val="center"/>
          </w:tcPr>
          <w:p>
            <w:r>
              <w:t>Service Manager</w:t>
            </w:r>
          </w:p>
        </w:tc>
      </w:tr>
      <w:tr>
        <w:tc>
          <w:tcPr>
            <w:tcW w:type="dxa" w:w="3408"/>
            <w:vAlign w:val="center"/>
          </w:tcPr>
          <w:p>
            <w:r>
              <w:t>Warranty exception</w:t>
            </w:r>
          </w:p>
        </w:tc>
        <w:tc>
          <w:tcPr>
            <w:tcW w:type="dxa" w:w="3408"/>
            <w:vAlign w:val="center"/>
          </w:tcPr>
          <w:p>
            <w:r>
              <w:t>Service Manager</w:t>
            </w:r>
          </w:p>
        </w:tc>
        <w:tc>
          <w:tcPr>
            <w:tcW w:type="dxa" w:w="3408"/>
            <w:vAlign w:val="center"/>
          </w:tcPr>
          <w:p>
            <w:r>
              <w:t>OEM/authorized warranty authority</w:t>
            </w:r>
          </w:p>
        </w:tc>
      </w:tr>
      <w:tr>
        <w:tc>
          <w:tcPr>
            <w:tcW w:type="dxa" w:w="3408"/>
            <w:vAlign w:val="center"/>
          </w:tcPr>
          <w:p>
            <w:r>
              <w:t>Stock adjustment</w:t>
            </w:r>
          </w:p>
        </w:tc>
        <w:tc>
          <w:tcPr>
            <w:tcW w:type="dxa" w:w="3408"/>
            <w:vAlign w:val="center"/>
          </w:tcPr>
          <w:p>
            <w:r>
              <w:t>Parts/Inventory Manager</w:t>
            </w:r>
          </w:p>
        </w:tc>
        <w:tc>
          <w:tcPr>
            <w:tcW w:type="dxa" w:w="3408"/>
            <w:vAlign w:val="center"/>
          </w:tcPr>
          <w:p>
            <w:r>
              <w:t>Finance + Dealership Manager</w:t>
            </w:r>
          </w:p>
        </w:tc>
      </w:tr>
      <w:tr>
        <w:tc>
          <w:tcPr>
            <w:tcW w:type="dxa" w:w="3408"/>
            <w:vAlign w:val="center"/>
          </w:tcPr>
          <w:p>
            <w:r>
              <w:t>Used-car purchase price</w:t>
            </w:r>
          </w:p>
        </w:tc>
        <w:tc>
          <w:tcPr>
            <w:tcW w:type="dxa" w:w="3408"/>
            <w:vAlign w:val="center"/>
          </w:tcPr>
          <w:p>
            <w:r>
              <w:t>Used-Car Manager</w:t>
            </w:r>
          </w:p>
        </w:tc>
        <w:tc>
          <w:tcPr>
            <w:tcW w:type="dxa" w:w="3408"/>
            <w:vAlign w:val="center"/>
          </w:tcPr>
          <w:p>
            <w:r>
              <w:t>Dealership Manager per authority</w:t>
            </w:r>
          </w:p>
        </w:tc>
      </w:tr>
      <w:tr>
        <w:tc>
          <w:tcPr>
            <w:tcW w:type="dxa" w:w="3408"/>
            <w:vAlign w:val="center"/>
          </w:tcPr>
          <w:p>
            <w:r>
              <w:t>Finance documentation exception</w:t>
            </w:r>
          </w:p>
        </w:tc>
        <w:tc>
          <w:tcPr>
            <w:tcW w:type="dxa" w:w="3408"/>
            <w:vAlign w:val="center"/>
          </w:tcPr>
          <w:p>
            <w:r>
              <w:t>Finance Manager</w:t>
            </w:r>
          </w:p>
        </w:tc>
        <w:tc>
          <w:tcPr>
            <w:tcW w:type="dxa" w:w="3408"/>
            <w:vAlign w:val="center"/>
          </w:tcPr>
          <w:p>
            <w:r>
              <w:t>Dealership Manager/Compliance</w:t>
            </w:r>
          </w:p>
        </w:tc>
      </w:tr>
      <w:tr>
        <w:tc>
          <w:tcPr>
            <w:tcW w:type="dxa" w:w="3408"/>
            <w:vAlign w:val="center"/>
          </w:tcPr>
          <w:p>
            <w:r>
              <w:t>Critical complaint</w:t>
            </w:r>
          </w:p>
        </w:tc>
        <w:tc>
          <w:tcPr>
            <w:tcW w:type="dxa" w:w="3408"/>
            <w:vAlign w:val="center"/>
          </w:tcPr>
          <w:p>
            <w:r>
              <w:t>Department Manager</w:t>
            </w:r>
          </w:p>
        </w:tc>
        <w:tc>
          <w:tcPr>
            <w:tcW w:type="dxa" w:w="3408"/>
            <w:vAlign w:val="center"/>
          </w:tcPr>
          <w:p>
            <w:r>
              <w:t>Dealership Manager + OEM/Legal as applicable</w:t>
            </w:r>
          </w:p>
        </w:tc>
      </w:tr>
      <w:tr>
        <w:tc>
          <w:tcPr>
            <w:tcW w:type="dxa" w:w="3408"/>
            <w:vAlign w:val="center"/>
          </w:tcPr>
          <w:p>
            <w:r>
              <w:t>Safety/HV incident</w:t>
            </w:r>
          </w:p>
        </w:tc>
        <w:tc>
          <w:tcPr>
            <w:tcW w:type="dxa" w:w="3408"/>
            <w:vAlign w:val="center"/>
          </w:tcPr>
          <w:p>
            <w:r>
              <w:t>Workshop/EV Manager</w:t>
            </w:r>
          </w:p>
        </w:tc>
        <w:tc>
          <w:tcPr>
            <w:tcW w:type="dxa" w:w="3408"/>
            <w:vAlign w:val="center"/>
          </w:tcPr>
          <w:p>
            <w:r>
              <w:t>Dealership Manager + authorized safety/OEM channel immediately</w:t>
            </w:r>
          </w:p>
        </w:tc>
      </w:tr>
    </w:tbl>
    <w:p>
      <w:pPr>
        <w:pStyle w:val="Heading1"/>
      </w:pPr>
      <w:r>
        <w:t>Final note</w:t>
      </w:r>
    </w:p>
    <w:p>
      <w:r>
        <w:t>This manual is a management framework, not an official Honda or Capital Honda internal policy document. For actual implementation, map each SOP to the dealership's DMS, OEM portals, Honda standards, current circulars, statutory requirements, approved price/discount authority, insurer/lender agreements and HR policies. Keep controlled copies of the current official procedures at department level.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