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280"/>
              <w:left w:type="dxa" w:w="360"/>
              <w:bottom w:type="dxa" w:w="280"/>
              <w:right w:type="dxa" w:w="360"/>
            </w:tcMar>
          </w:tcPr>
          <w:p>
            <w:pPr>
              <w:spacing w:after="60" w:before="0"/>
              <w:jc w:val="center"/>
            </w:pPr>
            <w:r>
              <w:rPr>
                <w:rFonts w:ascii="Calibri" w:cs="Calibri" w:eastAsia="Calibri" w:hAnsi="Calibri"/>
                <w:b/>
                <w:bCs/>
                <w:i w:val="false"/>
                <w:iCs w:val="false"/>
                <w:color w:val="CC4500"/>
                <w:sz w:val="64"/>
                <w:szCs w:val="64"/>
              </w:rPr>
              <w:t xml:space="preserve">GLOBAL FOUNDER</w:t>
            </w:r>
          </w:p>
          <w:p>
            <w:pPr>
              <w:spacing w:after="60" w:before="0"/>
              <w:jc w:val="center"/>
            </w:pPr>
            <w:r>
              <w:rPr>
                <w:rFonts w:ascii="Calibri" w:cs="Calibri" w:eastAsia="Calibri" w:hAnsi="Calibri"/>
                <w:b/>
                <w:bCs/>
                <w:i w:val="false"/>
                <w:iCs w:val="false"/>
                <w:color w:val="FFFFFF"/>
                <w:sz w:val="50"/>
                <w:szCs w:val="50"/>
              </w:rPr>
              <w:t xml:space="preserve">CEO &amp; WEALTH BUILDER</w:t>
            </w:r>
          </w:p>
          <w:p>
            <w:pPr>
              <w:spacing w:after="280" w:before="0"/>
              <w:jc w:val="center"/>
            </w:pPr>
            <w:r>
              <w:rPr>
                <w:rFonts w:ascii="Calibri" w:cs="Calibri" w:eastAsia="Calibri" w:hAnsi="Calibri"/>
                <w:b/>
                <w:bCs/>
                <w:i w:val="false"/>
                <w:iCs w:val="false"/>
                <w:color w:val="CC4500"/>
                <w:sz w:val="64"/>
                <w:szCs w:val="64"/>
              </w:rPr>
              <w:t xml:space="preserve">PLAYBOOK</w:t>
            </w:r>
          </w:p>
          <w:p>
            <w:pPr>
              <w:spacing w:after="240" w:before="0"/>
              <w:jc w:val="center"/>
            </w:pPr>
            <w:r>
              <w:rPr>
                <w:rFonts w:ascii="Calibri" w:cs="Calibri" w:eastAsia="Calibri" w:hAnsi="Calibri"/>
                <w:b w:val="false"/>
                <w:bCs w:val="false"/>
                <w:i w:val="false"/>
                <w:iCs w:val="false"/>
                <w:color w:val="CC4500"/>
                <w:sz w:val="22"/>
                <w:szCs w:val="22"/>
              </w:rPr>
              <w:t xml:space="preserve">─────────────────────────────────────</w:t>
            </w:r>
          </w:p>
          <w:p>
            <w:pPr>
              <w:spacing w:after="80" w:before="0"/>
              <w:jc w:val="center"/>
            </w:pPr>
            <w:r>
              <w:rPr>
                <w:rFonts w:ascii="Calibri" w:cs="Calibri" w:eastAsia="Calibri" w:hAnsi="Calibri"/>
                <w:b w:val="false"/>
                <w:bCs w:val="false"/>
                <w:i/>
                <w:iCs/>
                <w:color w:val="AABBCC"/>
                <w:sz w:val="22"/>
                <w:szCs w:val="22"/>
              </w:rPr>
              <w:t xml:space="preserve">The Ultimate 20-Year Operating Manual for World-Class Entrepreneurs</w:t>
            </w:r>
          </w:p>
          <w:p>
            <w:pPr>
              <w:spacing w:after="60" w:before="0"/>
              <w:jc w:val="center"/>
            </w:pPr>
            <w:r>
              <w:rPr>
                <w:rFonts w:ascii="Calibri" w:cs="Calibri" w:eastAsia="Calibri" w:hAnsi="Calibri"/>
                <w:b w:val="false"/>
                <w:bCs w:val="false"/>
                <w:i w:val="false"/>
                <w:iCs w:val="false"/>
                <w:color w:val="AABBCC"/>
                <w:sz w:val="19"/>
                <w:szCs w:val="19"/>
              </w:rPr>
              <w:t xml:space="preserve">15 Comprehensive Playbooks · Founder OS · Leadership · Sales · Corporate Finance</w:t>
            </w:r>
          </w:p>
          <w:p>
            <w:pPr>
              <w:spacing w:after="240" w:before="0"/>
              <w:jc w:val="center"/>
            </w:pPr>
            <w:r>
              <w:rPr>
                <w:rFonts w:ascii="Calibri" w:cs="Calibri" w:eastAsia="Calibri" w:hAnsi="Calibri"/>
                <w:b w:val="false"/>
                <w:bCs w:val="false"/>
                <w:i w:val="false"/>
                <w:iCs w:val="false"/>
                <w:color w:val="AABBCC"/>
                <w:sz w:val="19"/>
                <w:szCs w:val="19"/>
              </w:rPr>
              <w:t xml:space="preserve">Global Expansion · Tax &amp; Wealth · Luxury Asset Framework · 20-Year Roadmap</w:t>
            </w:r>
          </w:p>
          <w:p>
            <w:pPr>
              <w:spacing w:after="140" w:before="0"/>
              <w:jc w:val="center"/>
            </w:pPr>
            <w:r>
              <w:rPr>
                <w:rFonts w:ascii="Calibri" w:cs="Calibri" w:eastAsia="Calibri" w:hAnsi="Calibri"/>
                <w:b w:val="false"/>
                <w:bCs w:val="false"/>
                <w:i w:val="false"/>
                <w:iCs w:val="false"/>
                <w:color w:val="CC4500"/>
                <w:sz w:val="18"/>
                <w:szCs w:val="18"/>
              </w:rPr>
              <w:t xml:space="preserve">Prepared for AutoEra AI Solutions  |  Founder: SJ (Santhosh Jecob)  |  Version 1.0 — 2026</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40" w:before="0"/>
              <w:jc w:val="center"/>
            </w:pPr>
            <w:r>
              <w:rPr>
                <w:rFonts w:ascii="Calibri" w:cs="Calibri" w:eastAsia="Calibri" w:hAnsi="Calibri"/>
                <w:b/>
                <w:bCs/>
                <w:i w:val="false"/>
                <w:iCs w:val="false"/>
                <w:color w:val="FFFFFF"/>
                <w:sz w:val="26"/>
                <w:szCs w:val="26"/>
              </w:rPr>
              <w:t xml:space="preserve">PART 1</w:t>
            </w:r>
          </w:p>
        </w:tc>
        <w:tc>
          <w:tcPr>
            <w:tcW w:type="dxa" w:w="8260"/>
            <w:tcBorders>
              <w:top w:val="none" w:color="FFFFFF" w:sz="0"/>
              <w:left w:val="none" w:color="FFFFFF" w:sz="0"/>
              <w:bottom w:val="none" w:color="FFFFFF" w:sz="0"/>
              <w:right w:val="none" w:color="FFFFFF" w:sz="0"/>
            </w:tcBorders>
            <w:shd w:fill="0A1628" w:val="clear"/>
            <w:tcMar>
              <w:top w:type="dxa" w:w="60"/>
              <w:left w:type="dxa" w:w="200"/>
              <w:bottom w:type="dxa" w:w="60"/>
              <w:right w:type="dxa" w:w="120"/>
            </w:tcMar>
            <w:vAlign w:val="center"/>
          </w:tcPr>
          <w:p>
            <w:pPr>
              <w:spacing w:after="40" w:before="0"/>
              <w:jc w:val="left"/>
            </w:pPr>
            <w:r>
              <w:rPr>
                <w:rFonts w:ascii="Calibri" w:cs="Calibri" w:eastAsia="Calibri" w:hAnsi="Calibri"/>
                <w:b/>
                <w:bCs/>
                <w:i w:val="false"/>
                <w:iCs w:val="false"/>
                <w:color w:val="FFFFFF"/>
                <w:sz w:val="26"/>
                <w:szCs w:val="26"/>
              </w:rPr>
              <w:t xml:space="preserve">THE FOUNDER OPERATING SYSTEM</w:t>
            </w:r>
          </w:p>
          <w:p>
            <w:pPr>
              <w:spacing w:after="140" w:before="0"/>
              <w:jc w:val="left"/>
            </w:pPr>
            <w:r>
              <w:rPr>
                <w:rFonts w:ascii="Calibri" w:cs="Calibri" w:eastAsia="Calibri" w:hAnsi="Calibri"/>
                <w:b w:val="false"/>
                <w:bCs w:val="false"/>
                <w:i w:val="false"/>
                <w:iCs w:val="false"/>
                <w:color w:val="AABBCC"/>
                <w:sz w:val="17"/>
                <w:szCs w:val="17"/>
              </w:rPr>
              <w:t xml:space="preserve">How elite founders, CEOs, investors, and billionaires think about decisions</w:t>
            </w:r>
          </w:p>
        </w:tc>
      </w:tr>
    </w:tbl>
    <w:p>
      <w:pPr>
        <w:spacing w:after="1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200"/>
              <w:left w:type="dxa" w:w="360"/>
              <w:bottom w:type="dxa" w:w="200"/>
              <w:right w:type="dxa" w:w="360"/>
            </w:tcMar>
          </w:tcPr>
          <w:p>
            <w:pPr>
              <w:spacing w:after="100" w:before="0"/>
              <w:jc w:val="center"/>
            </w:pPr>
            <w:r>
              <w:rPr>
                <w:rFonts w:ascii="Calibri" w:cs="Calibri" w:eastAsia="Calibri" w:hAnsi="Calibri"/>
                <w:b w:val="false"/>
                <w:bCs w:val="false"/>
                <w:i/>
                <w:iCs/>
                <w:color w:val="FFFFFF"/>
                <w:sz w:val="24"/>
                <w:szCs w:val="24"/>
              </w:rPr>
              <w:t xml:space="preserve">“The most important single thing is to focus obsessively on the customer. Our goal is to be earth's most customer-centric company.”</w:t>
            </w:r>
          </w:p>
          <w:p>
            <w:pPr>
              <w:spacing w:after="140" w:before="0"/>
              <w:jc w:val="center"/>
            </w:pPr>
            <w:r>
              <w:rPr>
                <w:rFonts w:ascii="Calibri" w:cs="Calibri" w:eastAsia="Calibri" w:hAnsi="Calibri"/>
                <w:b/>
                <w:bCs/>
                <w:i w:val="false"/>
                <w:iCs w:val="false"/>
                <w:color w:val="CC4500"/>
                <w:sz w:val="18"/>
                <w:szCs w:val="18"/>
              </w:rPr>
              <w:t xml:space="preserve">— Jeff Bezos, Amazon</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1.1 — The Four Thinking Systems</w:t>
      </w:r>
    </w:p>
    <w:p>
      <w:pPr>
        <w:spacing w:after="160" w:before="0"/>
        <w:jc w:val="left"/>
      </w:pPr>
      <w:r>
        <w:rPr>
          <w:rFonts w:ascii="Calibri" w:cs="Calibri" w:eastAsia="Calibri" w:hAnsi="Calibri"/>
          <w:b w:val="false"/>
          <w:bCs w:val="false"/>
          <w:i w:val="false"/>
          <w:iCs w:val="false"/>
          <w:color w:val="1F2937"/>
          <w:sz w:val="22"/>
          <w:szCs w:val="22"/>
        </w:rPr>
        <w:t xml:space="preserve">Elite business builders operate from four distinct mental frameworks depending on the decision they face. Understanding when to apply each is the operating system upgrade most founders never receive.</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Thinking System</w:t>
            </w:r>
          </w:p>
        </w:tc>
        <w:tc>
          <w:tcPr>
            <w:tcW w:type="dxa" w:w="18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What It Is</w:t>
            </w:r>
          </w:p>
        </w:tc>
        <w:tc>
          <w:tcPr>
            <w:tcW w:type="dxa" w:w="18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When To Use It</w:t>
            </w:r>
          </w:p>
        </w:tc>
        <w:tc>
          <w:tcPr>
            <w:tcW w:type="dxa" w:w="39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Founder Example</w:t>
            </w:r>
          </w:p>
        </w:tc>
      </w:tr>
      <w:tr>
        <w:tc>
          <w:tcPr>
            <w:tcW w:type="dxa" w:w="1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First Principles Thinking</w:t>
            </w:r>
          </w:p>
        </w:tc>
        <w:tc>
          <w:tcPr>
            <w:tcW w:type="dxa" w:w="1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Break any problem down to its fundamental truths, then build up from there — ignoring existing assumptions</w:t>
            </w:r>
          </w:p>
        </w:tc>
        <w:tc>
          <w:tcPr>
            <w:tcW w:type="dxa" w:w="1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When the industry convention is wrong or when everyone else is doing the same thing</w:t>
            </w:r>
          </w:p>
        </w:tc>
        <w:tc>
          <w:tcPr>
            <w:tcW w:type="dxa" w:w="39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Elon Musk: 'Why does a rocket cost $65M? What are the raw materials actually worth? Carbon fibre, aluminium, titanium, copper, electronics — maybe $2M. We can build it ourselves.' SpaceX reduced launch costs by 90%.</w:t>
            </w:r>
          </w:p>
        </w:tc>
      </w:tr>
      <w:tr>
        <w:tc>
          <w:tcPr>
            <w:tcW w:type="dxa" w:w="1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Second-Order Thinking</w:t>
            </w:r>
          </w:p>
        </w:tc>
        <w:tc>
          <w:tcPr>
            <w:tcW w:type="dxa" w:w="1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Ask: and then what? Think beyond the immediate effect to the downstream consequences</w:t>
            </w:r>
          </w:p>
        </w:tc>
        <w:tc>
          <w:tcPr>
            <w:tcW w:type="dxa" w:w="1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Before any major decision: hiring, pricing, product launch, fundraising</w:t>
            </w:r>
          </w:p>
        </w:tc>
        <w:tc>
          <w:tcPr>
            <w:tcW w:type="dxa" w:w="3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Jeff Bezos ran a newspaper classified ad experiment as a proxy for whether the internet would change commerce before funding Amazon. He thought 3 steps ahead before most saw step 1.</w:t>
            </w:r>
          </w:p>
        </w:tc>
      </w:tr>
      <w:tr>
        <w:tc>
          <w:tcPr>
            <w:tcW w:type="dxa" w:w="1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Inversion Thinking</w:t>
            </w:r>
          </w:p>
        </w:tc>
        <w:tc>
          <w:tcPr>
            <w:tcW w:type="dxa" w:w="1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Instead of asking 'how do I succeed?', ask 'what would guarantee I fail?' Then avoid those things</w:t>
            </w:r>
          </w:p>
        </w:tc>
        <w:tc>
          <w:tcPr>
            <w:tcW w:type="dxa" w:w="1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Building risk frameworks, hiring, compliance, market strategy</w:t>
            </w:r>
          </w:p>
        </w:tc>
        <w:tc>
          <w:tcPr>
            <w:tcW w:type="dxa" w:w="39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Charlie Munger: 'Invert, always invert. Tell me where I'm going to die, so I never go there.' Most startup failures are predictable in advance when you ask the inverted question.</w:t>
            </w:r>
          </w:p>
        </w:tc>
      </w:tr>
      <w:tr>
        <w:tc>
          <w:tcPr>
            <w:tcW w:type="dxa" w:w="1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Long-Game Thinking</w:t>
            </w:r>
          </w:p>
        </w:tc>
        <w:tc>
          <w:tcPr>
            <w:tcW w:type="dxa" w:w="1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Evaluate every decision through its 5-year and 10-year lens, not just its immediate impact</w:t>
            </w:r>
          </w:p>
        </w:tc>
        <w:tc>
          <w:tcPr>
            <w:tcW w:type="dxa" w:w="1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Fundraising terms, hiring key people, product architecture, market selection</w:t>
            </w:r>
          </w:p>
        </w:tc>
        <w:tc>
          <w:tcPr>
            <w:tcW w:type="dxa" w:w="3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Jeff Bezos famously said: if the 5-year investment case is right, short-term quarterly thinking is irrelevant. Amazon reported losses for 7 consecutive years while building the infrastructure that made it a $1 trillion company.</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1.2 — How Billionaires Allocate Capital</w:t>
      </w:r>
    </w:p>
    <w:p>
      <w:pPr>
        <w:spacing w:after="160" w:before="0"/>
        <w:jc w:val="left"/>
      </w:pPr>
      <w:r>
        <w:rPr>
          <w:rFonts w:ascii="Calibri" w:cs="Calibri" w:eastAsia="Calibri" w:hAnsi="Calibri"/>
          <w:b w:val="false"/>
          <w:bCs w:val="false"/>
          <w:i w:val="false"/>
          <w:iCs w:val="false"/>
          <w:color w:val="1F2937"/>
          <w:sz w:val="22"/>
          <w:szCs w:val="22"/>
        </w:rPr>
        <w:t xml:space="preserve">The single greatest differentiator between good founders and great ones is capital allocation. This skill — deciding where to deploy money, time, and attention — is the CEO's highest-leverage function.</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Capital Allocation Principle</w:t>
            </w:r>
          </w:p>
        </w:tc>
        <w:tc>
          <w:tcPr>
            <w:tcW w:type="dxa" w:w="28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What Great CEOs Do</w:t>
            </w:r>
          </w:p>
        </w:tc>
        <w:tc>
          <w:tcPr>
            <w:tcW w:type="dxa" w:w="41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Common Mistake</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Return on Invested Capital (ROIC)</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Deploy capital into the highest-ROIC opportunity available. Warren Buffett evaluates every investment by asking: what is the return on capital, and is it sustainable?</w:t>
            </w:r>
          </w:p>
        </w:tc>
        <w:tc>
          <w:tcPr>
            <w:tcW w:type="dxa" w:w="4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Deploying capital into the most urgent problem rather than the highest-return opportunity</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Opportunity Cost is Always Real</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Every rupee spent on B is a rupee NOT spent on A. Great CEOs quantify what they are NOT doing with every allocation decision.</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Optimising sub-categories without asking if the entire category is worth the capital</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Concentration in Conviction</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Once you have product-market fit, concentrate investment in what works. Bezos called this: 'bet the company' moments.</w:t>
            </w:r>
          </w:p>
        </w:tc>
        <w:tc>
          <w:tcPr>
            <w:tcW w:type="dxa" w:w="4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Diversifying too early — spreading capital across too many bets before any single bet is proven</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Time is Capital</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 CEO's time allocation is more important than their capital allocation. What you choose to focus on each day is the real capital allocation decision.</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Spending founder time on tasks that a ₹40K/month person could do equally well</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Patient Deployment</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Buffett holds cash until the 'fat pitch' arrives — the obvious, asymmetric opportunity. He does not swing at every ball.</w:t>
            </w:r>
          </w:p>
        </w:tc>
        <w:tc>
          <w:tcPr>
            <w:tcW w:type="dxa" w:w="4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Spending investment capital quickly because sitting on cash 'feels unproductive'</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1.3 — The CEO vs Founder Mindset Shift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0"/>
              <w:left w:val="single" w:color="1A3A5C" w:sz="18"/>
              <w:bottom w:val="single" w:color="D1D5DB" w:sz="4"/>
              <w:right w:val="single" w:color="D1D5DB" w:sz="4"/>
            </w:tcBorders>
            <w:shd w:fill="EBF4FF" w:val="clear"/>
            <w:tcMar>
              <w:top w:type="dxa" w:w="140"/>
              <w:left w:type="dxa" w:w="220"/>
              <w:bottom w:type="dxa" w:w="140"/>
              <w:right w:type="dxa" w:w="140"/>
            </w:tcMar>
          </w:tcPr>
          <w:p>
            <w:pPr>
              <w:spacing w:after="70" w:before="0"/>
              <w:jc w:val="left"/>
            </w:pPr>
            <w:r>
              <w:rPr>
                <w:rFonts w:ascii="Calibri" w:cs="Calibri" w:eastAsia="Calibri" w:hAnsi="Calibri"/>
                <w:b/>
                <w:bCs/>
                <w:i w:val="false"/>
                <w:iCs w:val="false"/>
                <w:color w:val="1A3A5C"/>
                <w:sz w:val="18"/>
                <w:szCs w:val="18"/>
              </w:rPr>
              <w:t xml:space="preserve">The Most Important Transition in Building a Company</w:t>
            </w:r>
          </w:p>
          <w:p>
            <w:pPr>
              <w:spacing w:after="140" w:before="0"/>
              <w:jc w:val="left"/>
            </w:pPr>
            <w:r>
              <w:rPr>
                <w:rFonts w:ascii="Calibri" w:cs="Calibri" w:eastAsia="Calibri" w:hAnsi="Calibri"/>
                <w:b w:val="false"/>
                <w:bCs w:val="false"/>
                <w:i w:val="false"/>
                <w:iCs w:val="false"/>
                <w:color w:val="1F2937"/>
                <w:sz w:val="21"/>
                <w:szCs w:val="21"/>
              </w:rPr>
              <w:t xml:space="preserve">As a founder, you build. As a CEO, you build builders. The hardest transition in the founder-to-CEO journey is learning to solve problems through people and systems rather than through your own direct action. Most founders never make this transition fully — and this is why most founder-led companies plateau at 20–50 people.</w:t>
            </w:r>
          </w:p>
        </w:tc>
      </w:tr>
    </w:tbl>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Dimension</w:t>
            </w:r>
          </w:p>
        </w:tc>
        <w:tc>
          <w:tcPr>
            <w:tcW w:type="dxa" w:w="20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Founder Thinking</w:t>
            </w:r>
          </w:p>
        </w:tc>
        <w:tc>
          <w:tcPr>
            <w:tcW w:type="dxa" w:w="20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CEO Thinking</w:t>
            </w:r>
          </w:p>
        </w:tc>
        <w:tc>
          <w:tcPr>
            <w:tcW w:type="dxa" w:w="37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World-Class CEO Thinking</w:t>
            </w:r>
          </w:p>
        </w:tc>
      </w:tr>
      <w:tr>
        <w:tc>
          <w:tcPr>
            <w:tcW w:type="dxa" w:w="16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Problem Solving</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 solve it directly</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 delegate it to someone</w:t>
            </w:r>
          </w:p>
        </w:tc>
        <w:tc>
          <w:tcPr>
            <w:tcW w:type="dxa" w:w="37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 design a system so it never needs my attention again</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Time Horizon</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This week / this month</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This quarter / this year</w:t>
            </w:r>
          </w:p>
        </w:tc>
        <w:tc>
          <w:tcPr>
            <w:tcW w:type="dxa" w:w="3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This decade</w:t>
            </w:r>
          </w:p>
        </w:tc>
      </w:tr>
      <w:tr>
        <w:tc>
          <w:tcPr>
            <w:tcW w:type="dxa" w:w="16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Success Metric</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Is the product built?</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Is the team performing?</w:t>
            </w:r>
          </w:p>
        </w:tc>
        <w:tc>
          <w:tcPr>
            <w:tcW w:type="dxa" w:w="37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Is the company compounding?</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Information</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 know everything happening</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 know the key metrics</w:t>
            </w:r>
          </w:p>
        </w:tc>
        <w:tc>
          <w:tcPr>
            <w:tcW w:type="dxa" w:w="3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 know which signals predict future performance</w:t>
            </w:r>
          </w:p>
        </w:tc>
      </w:tr>
      <w:tr>
        <w:tc>
          <w:tcPr>
            <w:tcW w:type="dxa" w:w="16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Hiring</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 hire people I know</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 hire the best available</w:t>
            </w:r>
          </w:p>
        </w:tc>
        <w:tc>
          <w:tcPr>
            <w:tcW w:type="dxa" w:w="37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 create a talent magnet — the best come to me</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Decisions</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 make all decisions</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 make strategic decisions</w:t>
            </w:r>
          </w:p>
        </w:tc>
        <w:tc>
          <w:tcPr>
            <w:tcW w:type="dxa" w:w="3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 design the decision-making system and intervene rarely</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40" w:before="0"/>
              <w:jc w:val="center"/>
            </w:pPr>
            <w:r>
              <w:rPr>
                <w:rFonts w:ascii="Calibri" w:cs="Calibri" w:eastAsia="Calibri" w:hAnsi="Calibri"/>
                <w:b/>
                <w:bCs/>
                <w:i w:val="false"/>
                <w:iCs w:val="false"/>
                <w:color w:val="FFFFFF"/>
                <w:sz w:val="26"/>
                <w:szCs w:val="26"/>
              </w:rPr>
              <w:t xml:space="preserve">PART 2</w:t>
            </w:r>
          </w:p>
        </w:tc>
        <w:tc>
          <w:tcPr>
            <w:tcW w:type="dxa" w:w="8260"/>
            <w:tcBorders>
              <w:top w:val="none" w:color="FFFFFF" w:sz="0"/>
              <w:left w:val="none" w:color="FFFFFF" w:sz="0"/>
              <w:bottom w:val="none" w:color="FFFFFF" w:sz="0"/>
              <w:right w:val="none" w:color="FFFFFF" w:sz="0"/>
            </w:tcBorders>
            <w:shd w:fill="0A1628" w:val="clear"/>
            <w:tcMar>
              <w:top w:type="dxa" w:w="60"/>
              <w:left w:type="dxa" w:w="200"/>
              <w:bottom w:type="dxa" w:w="60"/>
              <w:right w:type="dxa" w:w="120"/>
            </w:tcMar>
            <w:vAlign w:val="center"/>
          </w:tcPr>
          <w:p>
            <w:pPr>
              <w:spacing w:after="40" w:before="0"/>
              <w:jc w:val="left"/>
            </w:pPr>
            <w:r>
              <w:rPr>
                <w:rFonts w:ascii="Calibri" w:cs="Calibri" w:eastAsia="Calibri" w:hAnsi="Calibri"/>
                <w:b/>
                <w:bCs/>
                <w:i w:val="false"/>
                <w:iCs w:val="false"/>
                <w:color w:val="FFFFFF"/>
                <w:sz w:val="26"/>
                <w:szCs w:val="26"/>
              </w:rPr>
              <w:t xml:space="preserve">HOW TO RUN A WORLD-CLASS COMPANY</w:t>
            </w:r>
          </w:p>
          <w:p>
            <w:pPr>
              <w:spacing w:after="140" w:before="0"/>
              <w:jc w:val="left"/>
            </w:pPr>
            <w:r>
              <w:rPr>
                <w:rFonts w:ascii="Calibri" w:cs="Calibri" w:eastAsia="Calibri" w:hAnsi="Calibri"/>
                <w:b w:val="false"/>
                <w:bCs w:val="false"/>
                <w:i w:val="false"/>
                <w:iCs w:val="false"/>
                <w:color w:val="AABBCC"/>
                <w:sz w:val="17"/>
                <w:szCs w:val="17"/>
              </w:rPr>
              <w:t xml:space="preserve">Vision, mission, culture, hiring, scaling, and the CEO operating framework</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2.1 — Vision and Mission: The Foundation of Everything</w:t>
      </w:r>
    </w:p>
    <w:p>
      <w:pPr>
        <w:spacing w:after="160" w:before="0"/>
        <w:jc w:val="left"/>
      </w:pPr>
      <w:r>
        <w:rPr>
          <w:rFonts w:ascii="Calibri" w:cs="Calibri" w:eastAsia="Calibri" w:hAnsi="Calibri"/>
          <w:b w:val="false"/>
          <w:bCs w:val="false"/>
          <w:i w:val="false"/>
          <w:iCs w:val="false"/>
          <w:color w:val="1F2937"/>
          <w:sz w:val="22"/>
          <w:szCs w:val="22"/>
        </w:rPr>
        <w:t xml:space="preserve">A great vision is not a sentence on a website. It is the single most important management tool you have. When the vision is crystal clear and universally understood, thousands of daily decisions self-correct toward the right answer without your involvement.</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3960"/>
      </w:tblGrid>
      <w:tr>
        <w:tc>
          <w:tcPr>
            <w:tcW w:type="dxa" w:w="1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Element</w:t>
            </w:r>
          </w:p>
        </w:tc>
        <w:tc>
          <w:tcPr>
            <w:tcW w:type="dxa" w:w="20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Definition</w:t>
            </w:r>
          </w:p>
        </w:tc>
        <w:tc>
          <w:tcPr>
            <w:tcW w:type="dxa" w:w="20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Weak Example</w:t>
            </w:r>
          </w:p>
        </w:tc>
        <w:tc>
          <w:tcPr>
            <w:tcW w:type="dxa" w:w="39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Strong Example</w:t>
            </w:r>
          </w:p>
        </w:tc>
      </w:tr>
      <w:tr>
        <w:tc>
          <w:tcPr>
            <w:tcW w:type="dxa" w:w="1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Vision</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The world as it exists if your company achieves its full potential — an aspirational, long-horizon statement</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'To be the best automotive software company'</w:t>
            </w:r>
          </w:p>
        </w:tc>
        <w:tc>
          <w:tcPr>
            <w:tcW w:type="dxa" w:w="39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'The day any automotive business in the world opens, AutoEra AI is the operating system they use from Day 1'</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Mission</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What you do every day to move toward the vision — specific, actionable, and grounded</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'We provide AI-powered tools for dealers'</w:t>
            </w:r>
          </w:p>
        </w:tc>
        <w:tc>
          <w:tcPr>
            <w:tcW w:type="dxa" w:w="3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'We eliminate the 40% operational waste that exists in every Indian dealership by replacing manual processes with AI that thinks, decides, and communicates faster than any human team'</w:t>
            </w:r>
          </w:p>
        </w:tc>
      </w:tr>
      <w:tr>
        <w:tc>
          <w:tcPr>
            <w:tcW w:type="dxa" w:w="1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Values</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The non-negotiable behaviours that are true regardless of business conditions — few, specific, tested by hard decisions</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'Integrity, Innovation, Excellence' (meaningless)</w:t>
            </w:r>
          </w:p>
        </w:tc>
        <w:tc>
          <w:tcPr>
            <w:tcW w:type="dxa" w:w="39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'Customer data is sacred. We never compromise privacy for convenience. We tell customers bad news the same day we discover it. Every product decision starts with the question: is this better for the dealer?'</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Strategy</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The set of choices that define where you will compete and how you will win — not a list of goals</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'We will grow to 1,000 dealers in 3 years'</w:t>
            </w:r>
          </w:p>
        </w:tc>
        <w:tc>
          <w:tcPr>
            <w:tcW w:type="dxa" w:w="3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'We will own Tamil Nadu's multi-brand workshop segment first. Win a vertical before expanding horizontally. Use the data moat from 500 Tamil Nadu workshops to make our AI product better than any competitor that tries to enter.'</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2.2 — Organizational Design by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800"/>
        <w:gridCol w:w="2960"/>
      </w:tblGrid>
      <w:tr>
        <w:tc>
          <w:tcPr>
            <w:tcW w:type="dxa" w:w="1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Company Stage</w:t>
            </w:r>
          </w:p>
        </w:tc>
        <w:tc>
          <w:tcPr>
            <w:tcW w:type="dxa" w:w="16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Org Structure</w:t>
            </w:r>
          </w:p>
        </w:tc>
        <w:tc>
          <w:tcPr>
            <w:tcW w:type="dxa" w:w="16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CEO Focus</w:t>
            </w:r>
          </w:p>
        </w:tc>
        <w:tc>
          <w:tcPr>
            <w:tcW w:type="dxa" w:w="18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Critical Hire</w:t>
            </w:r>
          </w:p>
        </w:tc>
        <w:tc>
          <w:tcPr>
            <w:tcW w:type="dxa" w:w="29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Common Error</w:t>
            </w:r>
          </w:p>
        </w:tc>
      </w:tr>
      <w:tr>
        <w:tc>
          <w:tcPr>
            <w:tcW w:type="dxa" w:w="1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0–10 people</w:t>
            </w:r>
          </w:p>
        </w:tc>
        <w:tc>
          <w:tcPr>
            <w:tcW w:type="dxa" w:w="16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Flat. Everyone reports to founder. No management layer.</w:t>
            </w:r>
          </w:p>
        </w:tc>
        <w:tc>
          <w:tcPr>
            <w:tcW w:type="dxa" w:w="16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Building product + first customers</w:t>
            </w:r>
          </w:p>
        </w:tc>
        <w:tc>
          <w:tcPr>
            <w:tcW w:type="dxa" w:w="1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Engineer #1 — most important hire in company history</w:t>
            </w:r>
          </w:p>
        </w:tc>
        <w:tc>
          <w:tcPr>
            <w:tcW w:type="dxa" w:w="29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Building hierarchy before the product works</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10–30 people</w:t>
            </w:r>
          </w:p>
        </w:tc>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Two layers max. Functional leads emerge. No formal departments.</w:t>
            </w:r>
          </w:p>
        </w:tc>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Product-market fit + fundraise</w:t>
            </w:r>
          </w:p>
        </w:tc>
        <w:tc>
          <w:tcPr>
            <w:tcW w:type="dxa" w:w="1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Domain Expert / first Sales person</w:t>
            </w:r>
          </w:p>
        </w:tc>
        <w:tc>
          <w:tcPr>
            <w:tcW w:type="dxa" w:w="2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Creating bureaucracy — approval chains, HR systems, job descriptions — before revenue proves the model</w:t>
            </w:r>
          </w:p>
        </w:tc>
      </w:tr>
      <w:tr>
        <w:tc>
          <w:tcPr>
            <w:tcW w:type="dxa" w:w="1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30–80 people</w:t>
            </w:r>
          </w:p>
        </w:tc>
        <w:tc>
          <w:tcPr>
            <w:tcW w:type="dxa" w:w="16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Three layers. Functional departments. First managers. OKR system needed.</w:t>
            </w:r>
          </w:p>
        </w:tc>
        <w:tc>
          <w:tcPr>
            <w:tcW w:type="dxa" w:w="16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Hiring managers + culture + Series A</w:t>
            </w:r>
          </w:p>
        </w:tc>
        <w:tc>
          <w:tcPr>
            <w:tcW w:type="dxa" w:w="1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VP Engineering or CTO — product now needs architecture</w:t>
            </w:r>
          </w:p>
        </w:tc>
        <w:tc>
          <w:tcPr>
            <w:tcW w:type="dxa" w:w="29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Promoting top individual contributors into management without checking if they want to manage</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80–200 people</w:t>
            </w:r>
          </w:p>
        </w:tc>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Four layers. Cross-functional teams. L1-L4 management levels. Formal performance system.</w:t>
            </w:r>
          </w:p>
        </w:tc>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Strategic direction + board + second-line leadership</w:t>
            </w:r>
          </w:p>
        </w:tc>
        <w:tc>
          <w:tcPr>
            <w:tcW w:type="dxa" w:w="1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Head of People / CHRO — culture and attrition risk escalates</w:t>
            </w:r>
          </w:p>
        </w:tc>
        <w:tc>
          <w:tcPr>
            <w:tcW w:type="dxa" w:w="2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Communication breakdown — what CEO says reaches front line distorted or not at all</w:t>
            </w:r>
          </w:p>
        </w:tc>
      </w:tr>
      <w:tr>
        <w:tc>
          <w:tcPr>
            <w:tcW w:type="dxa" w:w="1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200–1000 people</w:t>
            </w:r>
          </w:p>
        </w:tc>
        <w:tc>
          <w:tcPr>
            <w:tcW w:type="dxa" w:w="16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Five+ layers. Business units forming. P&amp;L accountability per unit. Independent product lines.</w:t>
            </w:r>
          </w:p>
        </w:tc>
        <w:tc>
          <w:tcPr>
            <w:tcW w:type="dxa" w:w="16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Board governance + capital allocation + CEO of CEOs</w:t>
            </w:r>
          </w:p>
        </w:tc>
        <w:tc>
          <w:tcPr>
            <w:tcW w:type="dxa" w:w="1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COO — CEO must be freed from operational decisions entirely</w:t>
            </w:r>
          </w:p>
        </w:tc>
        <w:tc>
          <w:tcPr>
            <w:tcW w:type="dxa" w:w="29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Founder cannot let go — micromanagement at scale kills the company's best performers</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2.3 — The OKR System: The Operating Rhythm of Great Companies</w:t>
      </w:r>
    </w:p>
    <w:p>
      <w:pPr>
        <w:spacing w:after="160" w:before="0"/>
        <w:jc w:val="left"/>
      </w:pPr>
      <w:r>
        <w:rPr>
          <w:rFonts w:ascii="Calibri" w:cs="Calibri" w:eastAsia="Calibri" w:hAnsi="Calibri"/>
          <w:b w:val="false"/>
          <w:bCs w:val="false"/>
          <w:i w:val="false"/>
          <w:iCs w:val="false"/>
          <w:color w:val="1F2937"/>
          <w:sz w:val="22"/>
          <w:szCs w:val="22"/>
        </w:rPr>
        <w:t xml:space="preserve">Objectives and Key Results (OKRs) are the management system used by Google, Intel, LinkedIn, and most great technology companies. They align every person in the company toward the same outcomes without micromanagement.</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0"/>
              <w:left w:val="single" w:color="1A3A5C" w:sz="18"/>
              <w:bottom w:val="single" w:color="D1D5DB" w:sz="4"/>
              <w:right w:val="single" w:color="D1D5DB" w:sz="4"/>
            </w:tcBorders>
            <w:shd w:fill="EBF4FF" w:val="clear"/>
            <w:tcMar>
              <w:top w:type="dxa" w:w="140"/>
              <w:left w:type="dxa" w:w="220"/>
              <w:bottom w:type="dxa" w:w="140"/>
              <w:right w:type="dxa" w:w="140"/>
            </w:tcMar>
          </w:tcPr>
          <w:p>
            <w:pPr>
              <w:spacing w:after="70" w:before="0"/>
              <w:jc w:val="left"/>
            </w:pPr>
            <w:r>
              <w:rPr>
                <w:rFonts w:ascii="Calibri" w:cs="Calibri" w:eastAsia="Calibri" w:hAnsi="Calibri"/>
                <w:b/>
                <w:bCs/>
                <w:i w:val="false"/>
                <w:iCs w:val="false"/>
                <w:color w:val="1A3A5C"/>
                <w:sz w:val="18"/>
                <w:szCs w:val="18"/>
              </w:rPr>
              <w:t xml:space="preserve">OKR Formula</w:t>
            </w:r>
          </w:p>
          <w:p>
            <w:pPr>
              <w:spacing w:after="140" w:before="0"/>
              <w:jc w:val="left"/>
            </w:pPr>
            <w:r>
              <w:rPr>
                <w:rFonts w:ascii="Calibri" w:cs="Calibri" w:eastAsia="Calibri" w:hAnsi="Calibri"/>
                <w:b w:val="false"/>
                <w:bCs w:val="false"/>
                <w:i w:val="false"/>
                <w:iCs w:val="false"/>
                <w:color w:val="1F2937"/>
                <w:sz w:val="21"/>
                <w:szCs w:val="21"/>
              </w:rPr>
              <w:t xml:space="preserve">OBJECTIVE: Qualitative, ambitious, directional — what you want to achieve. KEY RESULTS: Quantitative, measurable, time-bound — how you know you achieved the objective. 3 objectives maximum per team. 3 key results per objective. Set quarterly. Reviewed weekly. Graded monthly. 70% achievement is ideal — 100% means the targets were not ambitious enough.</w:t>
            </w:r>
          </w:p>
        </w:tc>
      </w:tr>
    </w:tbl>
    <w:p>
      <w:pPr>
        <w:spacing w:after="80" w:before="0"/>
      </w:pPr>
      <w:r>
        <w:rPr>
          <w:rFonts w:ascii="Calibri" w:cs="Calibri" w:eastAsia="Calibri" w:hAnsi="Calibri"/>
          <w:b w:val="false"/>
          <w:bCs w:val="false"/>
          <w:i w:val="false"/>
          <w:iCs w:val="false"/>
          <w:color w:val="1F2937"/>
          <w:sz w:val="22"/>
          <w:szCs w:val="22"/>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400"/>
        <w:gridCol w:w="2400"/>
        <w:gridCol w:w="1560"/>
      </w:tblGrid>
      <w:tr>
        <w:tc>
          <w:tcPr>
            <w:tcW w:type="dxa" w:w="12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Level</w:t>
            </w:r>
          </w:p>
        </w:tc>
        <w:tc>
          <w:tcPr>
            <w:tcW w:type="dxa" w:w="20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Objective</w:t>
            </w:r>
          </w:p>
        </w:tc>
        <w:tc>
          <w:tcPr>
            <w:tcW w:type="dxa" w:w="2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Key Result 1</w:t>
            </w:r>
          </w:p>
        </w:tc>
        <w:tc>
          <w:tcPr>
            <w:tcW w:type="dxa" w:w="2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Key Result 2</w:t>
            </w:r>
          </w:p>
        </w:tc>
        <w:tc>
          <w:tcPr>
            <w:tcW w:type="dxa" w:w="15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Key Result 3</w:t>
            </w:r>
          </w:p>
        </w:tc>
      </w:tr>
      <w:tr>
        <w:tc>
          <w:tcPr>
            <w:tcW w:type="dxa" w:w="1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Company (Q3 2026)</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Prove product-market fit in Tamil Nadu</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10 paying dealers, all on platform for 60+ days</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NPS score &gt; 40 from at least 8 dealers</w:t>
            </w:r>
          </w:p>
        </w:tc>
        <w:tc>
          <w:tcPr>
            <w:tcW w:type="dxa" w:w="15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3 unprompted referrals received from existing customers</w:t>
            </w:r>
          </w:p>
        </w:tc>
      </w:tr>
      <w:tr>
        <w:tc>
          <w:tcPr>
            <w:tcW w:type="dxa" w:w="1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Engineering (Q3 2026)</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Ship ServicePulse v1 that dealers love</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Job card creation time: &lt; 90 seconds for 95% of cases</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Zero critical bugs open for more than 24 hours</w:t>
            </w:r>
          </w:p>
        </w:tc>
        <w:tc>
          <w:tcPr>
            <w:tcW w:type="dxa" w:w="15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WhatsApp automation sends correct message at correct stage for 98% of jobs</w:t>
            </w:r>
          </w:p>
        </w:tc>
      </w:tr>
      <w:tr>
        <w:tc>
          <w:tcPr>
            <w:tcW w:type="dxa" w:w="1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Sales (Q3 2026)</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Build a replicable dealer acquisition process</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Demo 30 new dealers this quarter</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Convert 10 to paying customers at ₹15K+/month</w:t>
            </w:r>
          </w:p>
        </w:tc>
        <w:tc>
          <w:tcPr>
            <w:tcW w:type="dxa" w:w="15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Document the winning pitch and objection-handling playbook</w:t>
            </w:r>
          </w:p>
        </w:tc>
      </w:tr>
      <w:tr>
        <w:tc>
          <w:tcPr>
            <w:tcW w:type="dxa" w:w="1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CS (Q3 2026)</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Make every pilot dealer a reference customer</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All 10 dealers active (DAU/MAU &gt; 60%) by Day 30</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Complete 14-day onboarding sprint for all new dealers in &lt; 14 days</w:t>
            </w:r>
          </w:p>
        </w:tc>
        <w:tc>
          <w:tcPr>
            <w:tcW w:type="dxa" w:w="15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Zero unresolved support tickets over 48 hours</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2.4 — Building a Culture That Scales</w:t>
      </w:r>
    </w:p>
    <w:p>
      <w:pPr>
        <w:spacing w:after="160" w:before="0"/>
        <w:jc w:val="left"/>
      </w:pPr>
      <w:r>
        <w:rPr>
          <w:rFonts w:ascii="Calibri" w:cs="Calibri" w:eastAsia="Calibri" w:hAnsi="Calibri"/>
          <w:b w:val="false"/>
          <w:bCs w:val="false"/>
          <w:i w:val="false"/>
          <w:iCs w:val="false"/>
          <w:color w:val="1F2937"/>
          <w:sz w:val="22"/>
          <w:szCs w:val="22"/>
        </w:rPr>
        <w:t xml:space="preserve">Culture is not what you say. It is what you tolerate. The culture of your company is defined by the behaviours you reward, the behaviours you ignore, and the behaviours you act against. Every great company culture was created intentionally by the founder in the first 15 people.</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10"/>
              <w:left w:val="single" w:color="15803D" w:sz="18"/>
              <w:bottom w:val="single" w:color="D1D5DB" w:sz="4"/>
              <w:right w:val="single" w:color="D1D5DB" w:sz="4"/>
            </w:tcBorders>
            <w:shd w:fill="DCFCE7" w:val="clear"/>
            <w:tcMar>
              <w:top w:type="dxa" w:w="120"/>
              <w:left w:type="dxa" w:w="200"/>
              <w:bottom w:type="dxa" w:w="120"/>
              <w:right w:type="dxa" w:w="120"/>
            </w:tcMar>
          </w:tcPr>
          <w:p>
            <w:pPr>
              <w:spacing w:after="140" w:before="0"/>
              <w:jc w:val="left"/>
            </w:pPr>
            <w:r>
              <w:rPr>
                <w:rFonts w:ascii="Calibri" w:cs="Calibri" w:eastAsia="Calibri" w:hAnsi="Calibri"/>
                <w:b/>
                <w:bCs/>
                <w:i w:val="false"/>
                <w:iCs w:val="false"/>
                <w:color w:val="15803D"/>
                <w:sz w:val="20"/>
                <w:szCs w:val="20"/>
              </w:rPr>
              <w:t xml:space="preserve">✔  WORLD-CLASS MOVE: Hire for culture and values first. Skills can be taught; character cannot be changed. When you hire someone who is technically brilliant but violates your values — and you keep them because they are too valuable to lose — you send a message to every other employee that your values are negotiable. They are not.</w:t>
            </w:r>
          </w:p>
        </w:tc>
      </w:tr>
    </w:tbl>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F4F7FB" w:val="clear"/>
            <w:tcMar>
              <w:top w:type="dxa" w:w="90"/>
              <w:left w:type="dxa" w:w="120"/>
              <w:bottom w:type="dxa" w:w="90"/>
              <w:right w:type="dxa" w:w="80"/>
            </w:tcMar>
          </w:tcPr>
          <w:p>
            <w:pPr>
              <w:spacing w:after="140" w:before="0"/>
              <w:jc w:val="left"/>
            </w:pPr>
            <w:r>
              <w:rPr>
                <w:rFonts w:ascii="Calibri" w:cs="Calibri" w:eastAsia="Calibri" w:hAnsi="Calibri"/>
                <w:b/>
                <w:bCs/>
                <w:i w:val="false"/>
                <w:iCs w:val="false"/>
                <w:color w:val="1A3A5C"/>
                <w:sz w:val="20"/>
                <w:szCs w:val="20"/>
              </w:rPr>
              <w:t xml:space="preserve">Reed Hastings / Netflix</w:t>
            </w:r>
          </w:p>
        </w:tc>
        <w:tc>
          <w:tcPr>
            <w:tcW w:type="dxa" w:w="6560"/>
            <w:tcBorders>
              <w:top w:val="single" w:color="D1D5DB" w:sz="4"/>
              <w:left w:val="single" w:color="D1D5DB" w:sz="4"/>
              <w:bottom w:val="single" w:color="D1D5DB" w:sz="4"/>
              <w:right w:val="single" w:color="D1D5DB" w:sz="4"/>
            </w:tcBorders>
            <w:shd w:fill="F4F7FB" w:val="clear"/>
            <w:tcMar>
              <w:top w:type="dxa" w:w="90"/>
              <w:left w:type="dxa" w:w="120"/>
              <w:bottom w:type="dxa" w:w="90"/>
              <w:right w:type="dxa" w:w="80"/>
            </w:tcMar>
          </w:tcPr>
          <w:p>
            <w:pPr>
              <w:spacing w:after="140" w:before="0"/>
              <w:jc w:val="left"/>
            </w:pPr>
            <w:r>
              <w:rPr>
                <w:rFonts w:ascii="Calibri" w:cs="Calibri" w:eastAsia="Calibri" w:hAnsi="Calibri"/>
                <w:b w:val="false"/>
                <w:bCs w:val="false"/>
                <w:i w:val="false"/>
                <w:iCs w:val="false"/>
                <w:color w:val="374151"/>
                <w:sz w:val="20"/>
                <w:szCs w:val="20"/>
              </w:rPr>
              <w:t xml:space="preserve">Netflix's famous 'Keeper Test': would you fight to keep this person if they told you they were leaving? If not, they should go now. This brutal standard keeps every team at elite performance and sends a message that mediocrity is not tolerated — regardless of tenure or likability.</w:t>
            </w:r>
          </w:p>
        </w:tc>
      </w:tr>
      <w:tr>
        <w:tc>
          <w:tcPr>
            <w:tcW w:type="dxa" w:w="280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80"/>
            </w:tcMar>
          </w:tcPr>
          <w:p>
            <w:pPr>
              <w:spacing w:after="140" w:before="0"/>
              <w:jc w:val="left"/>
            </w:pPr>
            <w:r>
              <w:rPr>
                <w:rFonts w:ascii="Calibri" w:cs="Calibri" w:eastAsia="Calibri" w:hAnsi="Calibri"/>
                <w:b/>
                <w:bCs/>
                <w:i w:val="false"/>
                <w:iCs w:val="false"/>
                <w:color w:val="1A3A5C"/>
                <w:sz w:val="20"/>
                <w:szCs w:val="20"/>
              </w:rPr>
              <w:t xml:space="preserve">Steve Jobs / Apple</w:t>
            </w:r>
          </w:p>
        </w:tc>
        <w:tc>
          <w:tcPr>
            <w:tcW w:type="dxa" w:w="656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80"/>
            </w:tcMar>
          </w:tcPr>
          <w:p>
            <w:pPr>
              <w:spacing w:after="140" w:before="0"/>
              <w:jc w:val="left"/>
            </w:pPr>
            <w:r>
              <w:rPr>
                <w:rFonts w:ascii="Calibri" w:cs="Calibri" w:eastAsia="Calibri" w:hAnsi="Calibri"/>
                <w:b w:val="false"/>
                <w:bCs w:val="false"/>
                <w:i w:val="false"/>
                <w:iCs w:val="false"/>
                <w:color w:val="374151"/>
                <w:sz w:val="20"/>
                <w:szCs w:val="20"/>
              </w:rPr>
              <w:t xml:space="preserve">Jobs was famous for firing people who disagreed with his vision — until he realised that the best people pushed back and made his ideas better. The second time he ran Apple, he created a culture where 'the best idea wins' regardless of who had it. Title did not determine truth.</w:t>
            </w:r>
          </w:p>
        </w:tc>
      </w:tr>
      <w:tr>
        <w:tc>
          <w:tcPr>
            <w:tcW w:type="dxa" w:w="2800"/>
            <w:tcBorders>
              <w:top w:val="single" w:color="D1D5DB" w:sz="4"/>
              <w:left w:val="single" w:color="D1D5DB" w:sz="4"/>
              <w:bottom w:val="single" w:color="D1D5DB" w:sz="4"/>
              <w:right w:val="single" w:color="D1D5DB" w:sz="4"/>
            </w:tcBorders>
            <w:shd w:fill="F4F7FB" w:val="clear"/>
            <w:tcMar>
              <w:top w:type="dxa" w:w="90"/>
              <w:left w:type="dxa" w:w="120"/>
              <w:bottom w:type="dxa" w:w="90"/>
              <w:right w:type="dxa" w:w="80"/>
            </w:tcMar>
          </w:tcPr>
          <w:p>
            <w:pPr>
              <w:spacing w:after="140" w:before="0"/>
              <w:jc w:val="left"/>
            </w:pPr>
            <w:r>
              <w:rPr>
                <w:rFonts w:ascii="Calibri" w:cs="Calibri" w:eastAsia="Calibri" w:hAnsi="Calibri"/>
                <w:b/>
                <w:bCs/>
                <w:i w:val="false"/>
                <w:iCs w:val="false"/>
                <w:color w:val="1A3A5C"/>
                <w:sz w:val="20"/>
                <w:szCs w:val="20"/>
              </w:rPr>
              <w:t xml:space="preserve">Satya Nadella / Microsoft</w:t>
            </w:r>
          </w:p>
        </w:tc>
        <w:tc>
          <w:tcPr>
            <w:tcW w:type="dxa" w:w="6560"/>
            <w:tcBorders>
              <w:top w:val="single" w:color="D1D5DB" w:sz="4"/>
              <w:left w:val="single" w:color="D1D5DB" w:sz="4"/>
              <w:bottom w:val="single" w:color="D1D5DB" w:sz="4"/>
              <w:right w:val="single" w:color="D1D5DB" w:sz="4"/>
            </w:tcBorders>
            <w:shd w:fill="F4F7FB" w:val="clear"/>
            <w:tcMar>
              <w:top w:type="dxa" w:w="90"/>
              <w:left w:type="dxa" w:w="120"/>
              <w:bottom w:type="dxa" w:w="90"/>
              <w:right w:type="dxa" w:w="80"/>
            </w:tcMar>
          </w:tcPr>
          <w:p>
            <w:pPr>
              <w:spacing w:after="140" w:before="0"/>
              <w:jc w:val="left"/>
            </w:pPr>
            <w:r>
              <w:rPr>
                <w:rFonts w:ascii="Calibri" w:cs="Calibri" w:eastAsia="Calibri" w:hAnsi="Calibri"/>
                <w:b w:val="false"/>
                <w:bCs w:val="false"/>
                <w:i w:val="false"/>
                <w:iCs w:val="false"/>
                <w:color w:val="374151"/>
                <w:sz w:val="20"/>
                <w:szCs w:val="20"/>
              </w:rPr>
              <w:t xml:space="preserve">Nadella inherited a culture of 'know-it-alls' and transformed it into 'learn-it-alls'. He changed the performance review system from a forced ranking (rank-and-yank) that destroyed collaboration, to a growth mindset model. Microsoft's market cap grew from $300B to $3T under this cultural transformation.</w:t>
            </w:r>
          </w:p>
        </w:tc>
      </w:tr>
      <w:tr>
        <w:tc>
          <w:tcPr>
            <w:tcW w:type="dxa" w:w="280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80"/>
            </w:tcMar>
          </w:tcPr>
          <w:p>
            <w:pPr>
              <w:spacing w:after="140" w:before="0"/>
              <w:jc w:val="left"/>
            </w:pPr>
            <w:r>
              <w:rPr>
                <w:rFonts w:ascii="Calibri" w:cs="Calibri" w:eastAsia="Calibri" w:hAnsi="Calibri"/>
                <w:b/>
                <w:bCs/>
                <w:i w:val="false"/>
                <w:iCs w:val="false"/>
                <w:color w:val="1A3A5C"/>
                <w:sz w:val="20"/>
                <w:szCs w:val="20"/>
              </w:rPr>
              <w:t xml:space="preserve">Building Your Culture</w:t>
            </w:r>
          </w:p>
        </w:tc>
        <w:tc>
          <w:tcPr>
            <w:tcW w:type="dxa" w:w="656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80"/>
            </w:tcMar>
          </w:tcPr>
          <w:p>
            <w:pPr>
              <w:spacing w:after="140" w:before="0"/>
              <w:jc w:val="left"/>
            </w:pPr>
            <w:r>
              <w:rPr>
                <w:rFonts w:ascii="Calibri" w:cs="Calibri" w:eastAsia="Calibri" w:hAnsi="Calibri"/>
                <w:b w:val="false"/>
                <w:bCs w:val="false"/>
                <w:i w:val="false"/>
                <w:iCs w:val="false"/>
                <w:color w:val="374151"/>
                <w:sz w:val="20"/>
                <w:szCs w:val="20"/>
              </w:rPr>
              <w:t xml:space="preserve">Write your values. Test them against hard decisions. Share them in the hiring process. Grade yourself against them monthly. When you violate them, say so publicly and correct course. Values that are never violated are not values — they are wallpaper.</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40" w:before="0"/>
              <w:jc w:val="center"/>
            </w:pPr>
            <w:r>
              <w:rPr>
                <w:rFonts w:ascii="Calibri" w:cs="Calibri" w:eastAsia="Calibri" w:hAnsi="Calibri"/>
                <w:b/>
                <w:bCs/>
                <w:i w:val="false"/>
                <w:iCs w:val="false"/>
                <w:color w:val="FFFFFF"/>
                <w:sz w:val="26"/>
                <w:szCs w:val="26"/>
              </w:rPr>
              <w:t xml:space="preserve">PART 3</w:t>
            </w:r>
          </w:p>
        </w:tc>
        <w:tc>
          <w:tcPr>
            <w:tcW w:type="dxa" w:w="8260"/>
            <w:tcBorders>
              <w:top w:val="none" w:color="FFFFFF" w:sz="0"/>
              <w:left w:val="none" w:color="FFFFFF" w:sz="0"/>
              <w:bottom w:val="none" w:color="FFFFFF" w:sz="0"/>
              <w:right w:val="none" w:color="FFFFFF" w:sz="0"/>
            </w:tcBorders>
            <w:shd w:fill="0A1628" w:val="clear"/>
            <w:tcMar>
              <w:top w:type="dxa" w:w="60"/>
              <w:left w:type="dxa" w:w="200"/>
              <w:bottom w:type="dxa" w:w="60"/>
              <w:right w:type="dxa" w:w="120"/>
            </w:tcMar>
            <w:vAlign w:val="center"/>
          </w:tcPr>
          <w:p>
            <w:pPr>
              <w:spacing w:after="40" w:before="0"/>
              <w:jc w:val="left"/>
            </w:pPr>
            <w:r>
              <w:rPr>
                <w:rFonts w:ascii="Calibri" w:cs="Calibri" w:eastAsia="Calibri" w:hAnsi="Calibri"/>
                <w:b/>
                <w:bCs/>
                <w:i w:val="false"/>
                <w:iCs w:val="false"/>
                <w:color w:val="FFFFFF"/>
                <w:sz w:val="26"/>
                <w:szCs w:val="26"/>
              </w:rPr>
              <w:t xml:space="preserve">LEADERSHIP MASTERCLASS</w:t>
            </w:r>
          </w:p>
          <w:p>
            <w:pPr>
              <w:spacing w:after="140" w:before="0"/>
              <w:jc w:val="left"/>
            </w:pPr>
            <w:r>
              <w:rPr>
                <w:rFonts w:ascii="Calibri" w:cs="Calibri" w:eastAsia="Calibri" w:hAnsi="Calibri"/>
                <w:b w:val="false"/>
                <w:bCs w:val="false"/>
                <w:i w:val="false"/>
                <w:iCs w:val="false"/>
                <w:color w:val="AABBCC"/>
                <w:sz w:val="17"/>
                <w:szCs w:val="17"/>
              </w:rPr>
              <w:t xml:space="preserve">Influence, executive presence, conflict resolution, and crisis management</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3.1 — The 5 Levels of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c>
          <w:tcPr>
            <w:tcW w:type="dxa" w:w="12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Level</w:t>
            </w:r>
          </w:p>
        </w:tc>
        <w:tc>
          <w:tcPr>
            <w:tcW w:type="dxa" w:w="2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Description</w:t>
            </w:r>
          </w:p>
        </w:tc>
        <w:tc>
          <w:tcPr>
            <w:tcW w:type="dxa" w:w="2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How to Get There</w:t>
            </w:r>
          </w:p>
        </w:tc>
        <w:tc>
          <w:tcPr>
            <w:tcW w:type="dxa" w:w="33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What It Unlocks</w:t>
            </w:r>
          </w:p>
        </w:tc>
      </w:tr>
      <w:tr>
        <w:tc>
          <w:tcPr>
            <w:tcW w:type="dxa" w:w="1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Level 1: Position</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People follow you because they have to — you have the title</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Get the title by demonstrating competence in your domain</w:t>
            </w:r>
          </w:p>
        </w:tc>
        <w:tc>
          <w:tcPr>
            <w:tcW w:type="dxa" w:w="33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Authority but not influence — the weakest form of leadership</w:t>
            </w:r>
          </w:p>
        </w:tc>
      </w:tr>
      <w:tr>
        <w:tc>
          <w:tcPr>
            <w:tcW w:type="dxa" w:w="1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Level 2: Permission</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People follow you because they want to — you have a relationship</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Invest time in knowing people as individuals: their goals, fears, families, ambitions</w:t>
            </w:r>
          </w:p>
        </w:tc>
        <w:tc>
          <w:tcPr>
            <w:tcW w:type="dxa" w:w="33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Trust — people work harder for leaders they have a relationship with</w:t>
            </w:r>
          </w:p>
        </w:tc>
      </w:tr>
      <w:tr>
        <w:tc>
          <w:tcPr>
            <w:tcW w:type="dxa" w:w="1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Level 3: Production</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People follow you because of what you produce — you create results</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Deliver measurable results. Be the most capable person in the room.</w:t>
            </w:r>
          </w:p>
        </w:tc>
        <w:tc>
          <w:tcPr>
            <w:tcW w:type="dxa" w:w="33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Respect — people follow result-producers even without formal authority</w:t>
            </w:r>
          </w:p>
        </w:tc>
      </w:tr>
      <w:tr>
        <w:tc>
          <w:tcPr>
            <w:tcW w:type="dxa" w:w="1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Level 4: Development</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People follow you because of what you do for them — you grow them</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Invest in developing the people around you. Your success becomes their success.</w:t>
            </w:r>
          </w:p>
        </w:tc>
        <w:tc>
          <w:tcPr>
            <w:tcW w:type="dxa" w:w="33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Loyalty — developed people become your greatest champions</w:t>
            </w:r>
          </w:p>
        </w:tc>
      </w:tr>
      <w:tr>
        <w:tc>
          <w:tcPr>
            <w:tcW w:type="dxa" w:w="1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Level 5: Pinnacle</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People follow you because of who you are — you represent something larger</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Spend decades at Level 4. Let your legacy of developed leaders speak for you.</w:t>
            </w:r>
          </w:p>
        </w:tc>
        <w:tc>
          <w:tcPr>
            <w:tcW w:type="dxa" w:w="33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Legacy — the highest form of leadership. Rare. Earned over decades.</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3.2 — Executive Presence: The Ability to Command a Room</w:t>
      </w:r>
    </w:p>
    <w:p>
      <w:pPr>
        <w:spacing w:after="160" w:before="0"/>
        <w:jc w:val="left"/>
      </w:pPr>
      <w:r>
        <w:rPr>
          <w:rFonts w:ascii="Calibri" w:cs="Calibri" w:eastAsia="Calibri" w:hAnsi="Calibri"/>
          <w:b w:val="false"/>
          <w:bCs w:val="false"/>
          <w:i w:val="false"/>
          <w:iCs w:val="false"/>
          <w:color w:val="1F2937"/>
          <w:sz w:val="22"/>
          <w:szCs w:val="22"/>
        </w:rPr>
        <w:t xml:space="preserve">Executive presence is the ability to inspire confidence, communicate authority, and attract talent and capital through how you show up — not just what you know. It is teachable. It requires deliberate practice.</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Presence Element</w:t>
            </w:r>
          </w:p>
        </w:tc>
        <w:tc>
          <w:tcPr>
            <w:tcW w:type="dxa" w:w="20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What It Is</w:t>
            </w:r>
          </w:p>
        </w:tc>
        <w:tc>
          <w:tcPr>
            <w:tcW w:type="dxa" w:w="20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How to Build It</w:t>
            </w:r>
          </w:p>
        </w:tc>
        <w:tc>
          <w:tcPr>
            <w:tcW w:type="dxa" w:w="37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Example</w:t>
            </w:r>
          </w:p>
        </w:tc>
      </w:tr>
      <w:tr>
        <w:tc>
          <w:tcPr>
            <w:tcW w:type="dxa" w:w="16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Gravitas</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The sense that this person is worth listening to — they have thought deeply about this</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Slow down. Pause before answering. Never fill silence with noise. Say less.</w:t>
            </w:r>
          </w:p>
        </w:tc>
        <w:tc>
          <w:tcPr>
            <w:tcW w:type="dxa" w:w="37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When asked a hard investor question, great founders pause 3–5 seconds before answering. This signals thinking, not uncertainty.</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Communication</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Clarity, brevity, and precision in spoken and written communication</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Eliminate filler words (um, like, you know). Write one-page memos, not bullet decks. Practice out loud.</w:t>
            </w:r>
          </w:p>
        </w:tc>
        <w:tc>
          <w:tcPr>
            <w:tcW w:type="dxa" w:w="3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Jeff Bezos banned PowerPoint in Amazon. Every meeting starts with reading a 6-page memo. Forces precision.</w:t>
            </w:r>
          </w:p>
        </w:tc>
      </w:tr>
      <w:tr>
        <w:tc>
          <w:tcPr>
            <w:tcW w:type="dxa" w:w="16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Appearance</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Visual signals of competence, taste, and seriousness</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Dress one level above the room you are entering. Invest in quality over quantity.</w:t>
            </w:r>
          </w:p>
        </w:tc>
        <w:tc>
          <w:tcPr>
            <w:tcW w:type="dxa" w:w="37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The founder who arrives at a Series A pitch in a wrinkled shirt is already losing before the first slide.</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Composure</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Remaining calm and decisive under pressure — the quality investors most watch for</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Practice difficult scenarios. Know your worst-case number. Train your nervous system through exposure.</w:t>
            </w:r>
          </w:p>
        </w:tc>
        <w:tc>
          <w:tcPr>
            <w:tcW w:type="dxa" w:w="3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How a founder responds to an unexpectedly hostile investor question reveals more character than their entire pitch deck.</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3.3 — Difficult Conversations: The Framework Most Founders Avoid</w:t>
      </w:r>
    </w:p>
    <w:p>
      <w:pPr>
        <w:spacing w:after="160" w:before="0"/>
        <w:jc w:val="left"/>
      </w:pPr>
      <w:r>
        <w:rPr>
          <w:rFonts w:ascii="Calibri" w:cs="Calibri" w:eastAsia="Calibri" w:hAnsi="Calibri"/>
          <w:b w:val="false"/>
          <w:bCs w:val="false"/>
          <w:i w:val="false"/>
          <w:iCs w:val="false"/>
          <w:color w:val="1F2937"/>
          <w:sz w:val="22"/>
          <w:szCs w:val="22"/>
        </w:rPr>
        <w:t xml:space="preserve">The single most common leadership failure in early-stage companies is the failure to have difficult conversations early. Waiting never makes it easier. The conversation you avoid today costs you 10× more in time, money, and culture damage when it finally becomes unavoidable.</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CC4500" w:val="clear"/>
            <w:tcMar>
              <w:top w:type="dxa" w:w="120"/>
              <w:left w:type="dxa" w:w="80"/>
              <w:bottom w:type="dxa" w:w="120"/>
              <w:right w:type="dxa" w:w="80"/>
            </w:tcMar>
            <w:vAlign w:val="top"/>
          </w:tcPr>
          <w:p>
            <w:pPr>
              <w:spacing w:after="140" w:before="0"/>
              <w:jc w:val="center"/>
            </w:pPr>
            <w:r>
              <w:rPr>
                <w:rFonts w:ascii="Calibri" w:cs="Calibri" w:eastAsia="Calibri" w:hAnsi="Calibri"/>
                <w:b/>
                <w:bCs/>
                <w:i w:val="false"/>
                <w:iCs w:val="false"/>
                <w:color w:val="FFFFFF"/>
                <w:sz w:val="24"/>
                <w:szCs w:val="24"/>
              </w:rPr>
              <w:t xml:space="preserve">1</w:t>
            </w:r>
          </w:p>
        </w:tc>
        <w:tc>
          <w:tcPr>
            <w:tcW w:type="dxa" w:w="8760"/>
            <w:tcBorders>
              <w:top w:val="single" w:color="D1D5DB" w:sz="4"/>
              <w:left w:val="single" w:color="D1D5DB" w:sz="4"/>
              <w:bottom w:val="single" w:color="D1D5DB" w:sz="4"/>
              <w:right w:val="single" w:color="D1D5DB" w:sz="4"/>
            </w:tcBorders>
            <w:shd w:fill="F4F7FB" w:val="clear"/>
            <w:tcMar>
              <w:top w:type="dxa" w:w="120"/>
              <w:left w:type="dxa" w:w="180"/>
              <w:bottom w:type="dxa" w:w="120"/>
              <w:right w:type="dxa" w:w="120"/>
            </w:tcMar>
          </w:tcPr>
          <w:p>
            <w:pPr>
              <w:spacing w:after="80" w:before="0"/>
              <w:jc w:val="left"/>
            </w:pPr>
            <w:r>
              <w:rPr>
                <w:rFonts w:ascii="Calibri" w:cs="Calibri" w:eastAsia="Calibri" w:hAnsi="Calibri"/>
                <w:b/>
                <w:bCs/>
                <w:i w:val="false"/>
                <w:iCs w:val="false"/>
                <w:color w:val="0A1628"/>
                <w:sz w:val="22"/>
                <w:szCs w:val="22"/>
              </w:rPr>
              <w:t xml:space="preserve">Prepare the Facts, Not the Argument</w:t>
            </w:r>
          </w:p>
          <w:p>
            <w:pPr>
              <w:spacing w:after="60" w:before="0"/>
              <w:jc w:val="left"/>
            </w:pPr>
            <w:r>
              <w:rPr>
                <w:rFonts w:ascii="Calibri" w:cs="Calibri" w:eastAsia="Calibri" w:hAnsi="Calibri"/>
                <w:b w:val="false"/>
                <w:bCs w:val="false"/>
                <w:i w:val="false"/>
                <w:iCs w:val="false"/>
                <w:color w:val="374151"/>
                <w:sz w:val="21"/>
                <w:szCs w:val="21"/>
              </w:rPr>
              <w:t xml:space="preserve">Before a difficult conversation, know: the specific observable behaviour (not personality), the impact of that behaviour on the team or business, and what specific change you are requesting. Write it down. If you cannot state it in one paragraph, you are not ready to have the conversation.</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CC4500" w:val="clear"/>
            <w:tcMar>
              <w:top w:type="dxa" w:w="120"/>
              <w:left w:type="dxa" w:w="80"/>
              <w:bottom w:type="dxa" w:w="120"/>
              <w:right w:type="dxa" w:w="80"/>
            </w:tcMar>
            <w:vAlign w:val="top"/>
          </w:tcPr>
          <w:p>
            <w:pPr>
              <w:spacing w:after="140" w:before="0"/>
              <w:jc w:val="center"/>
            </w:pPr>
            <w:r>
              <w:rPr>
                <w:rFonts w:ascii="Calibri" w:cs="Calibri" w:eastAsia="Calibri" w:hAnsi="Calibri"/>
                <w:b/>
                <w:bCs/>
                <w:i w:val="false"/>
                <w:iCs w:val="false"/>
                <w:color w:val="FFFFFF"/>
                <w:sz w:val="24"/>
                <w:szCs w:val="24"/>
              </w:rPr>
              <w:t xml:space="preserve">2</w:t>
            </w:r>
          </w:p>
        </w:tc>
        <w:tc>
          <w:tcPr>
            <w:tcW w:type="dxa" w:w="8760"/>
            <w:tcBorders>
              <w:top w:val="single" w:color="D1D5DB" w:sz="4"/>
              <w:left w:val="single" w:color="D1D5DB" w:sz="4"/>
              <w:bottom w:val="single" w:color="D1D5DB" w:sz="4"/>
              <w:right w:val="single" w:color="D1D5DB" w:sz="4"/>
            </w:tcBorders>
            <w:shd w:fill="F4F7FB" w:val="clear"/>
            <w:tcMar>
              <w:top w:type="dxa" w:w="120"/>
              <w:left w:type="dxa" w:w="180"/>
              <w:bottom w:type="dxa" w:w="120"/>
              <w:right w:type="dxa" w:w="120"/>
            </w:tcMar>
          </w:tcPr>
          <w:p>
            <w:pPr>
              <w:spacing w:after="80" w:before="0"/>
              <w:jc w:val="left"/>
            </w:pPr>
            <w:r>
              <w:rPr>
                <w:rFonts w:ascii="Calibri" w:cs="Calibri" w:eastAsia="Calibri" w:hAnsi="Calibri"/>
                <w:b/>
                <w:bCs/>
                <w:i w:val="false"/>
                <w:iCs w:val="false"/>
                <w:color w:val="0A1628"/>
                <w:sz w:val="22"/>
                <w:szCs w:val="22"/>
              </w:rPr>
              <w:t xml:space="preserve">Separate the Person from the Problem</w:t>
            </w:r>
          </w:p>
          <w:p>
            <w:pPr>
              <w:spacing w:after="60" w:before="0"/>
              <w:jc w:val="left"/>
            </w:pPr>
            <w:r>
              <w:rPr>
                <w:rFonts w:ascii="Calibri" w:cs="Calibri" w:eastAsia="Calibri" w:hAnsi="Calibri"/>
                <w:b w:val="false"/>
                <w:bCs w:val="false"/>
                <w:i w:val="false"/>
                <w:iCs w:val="false"/>
                <w:color w:val="374151"/>
                <w:sz w:val="21"/>
                <w:szCs w:val="21"/>
              </w:rPr>
              <w:t xml:space="preserve">Open with: 'I want to talk about [specific situation], and I want us to find the right solution together.' Never say 'you always' or 'you never'. Say 'in the last three weeks, I noticed that [specific behaviour]. Help me understand what is happening.'</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CC4500" w:val="clear"/>
            <w:tcMar>
              <w:top w:type="dxa" w:w="120"/>
              <w:left w:type="dxa" w:w="80"/>
              <w:bottom w:type="dxa" w:w="120"/>
              <w:right w:type="dxa" w:w="80"/>
            </w:tcMar>
            <w:vAlign w:val="top"/>
          </w:tcPr>
          <w:p>
            <w:pPr>
              <w:spacing w:after="140" w:before="0"/>
              <w:jc w:val="center"/>
            </w:pPr>
            <w:r>
              <w:rPr>
                <w:rFonts w:ascii="Calibri" w:cs="Calibri" w:eastAsia="Calibri" w:hAnsi="Calibri"/>
                <w:b/>
                <w:bCs/>
                <w:i w:val="false"/>
                <w:iCs w:val="false"/>
                <w:color w:val="FFFFFF"/>
                <w:sz w:val="24"/>
                <w:szCs w:val="24"/>
              </w:rPr>
              <w:t xml:space="preserve">3</w:t>
            </w:r>
          </w:p>
        </w:tc>
        <w:tc>
          <w:tcPr>
            <w:tcW w:type="dxa" w:w="8760"/>
            <w:tcBorders>
              <w:top w:val="single" w:color="D1D5DB" w:sz="4"/>
              <w:left w:val="single" w:color="D1D5DB" w:sz="4"/>
              <w:bottom w:val="single" w:color="D1D5DB" w:sz="4"/>
              <w:right w:val="single" w:color="D1D5DB" w:sz="4"/>
            </w:tcBorders>
            <w:shd w:fill="F4F7FB" w:val="clear"/>
            <w:tcMar>
              <w:top w:type="dxa" w:w="120"/>
              <w:left w:type="dxa" w:w="180"/>
              <w:bottom w:type="dxa" w:w="120"/>
              <w:right w:type="dxa" w:w="120"/>
            </w:tcMar>
          </w:tcPr>
          <w:p>
            <w:pPr>
              <w:spacing w:after="80" w:before="0"/>
              <w:jc w:val="left"/>
            </w:pPr>
            <w:r>
              <w:rPr>
                <w:rFonts w:ascii="Calibri" w:cs="Calibri" w:eastAsia="Calibri" w:hAnsi="Calibri"/>
                <w:b/>
                <w:bCs/>
                <w:i w:val="false"/>
                <w:iCs w:val="false"/>
                <w:color w:val="0A1628"/>
                <w:sz w:val="22"/>
                <w:szCs w:val="22"/>
              </w:rPr>
              <w:t xml:space="preserve">Listen Completely Before Responding</w:t>
            </w:r>
          </w:p>
          <w:p>
            <w:pPr>
              <w:spacing w:after="60" w:before="0"/>
              <w:jc w:val="left"/>
            </w:pPr>
            <w:r>
              <w:rPr>
                <w:rFonts w:ascii="Calibri" w:cs="Calibri" w:eastAsia="Calibri" w:hAnsi="Calibri"/>
                <w:b w:val="false"/>
                <w:bCs w:val="false"/>
                <w:i w:val="false"/>
                <w:iCs w:val="false"/>
                <w:color w:val="374151"/>
                <w:sz w:val="21"/>
                <w:szCs w:val="21"/>
              </w:rPr>
              <w:t xml:space="preserve">After stating the issue, stop talking. The most common mistake is filling the silence. Let the other person respond fully before saying anything else. Often they will surface the real problem — which is different from what you thought it was.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CC4500" w:val="clear"/>
            <w:tcMar>
              <w:top w:type="dxa" w:w="120"/>
              <w:left w:type="dxa" w:w="80"/>
              <w:bottom w:type="dxa" w:w="120"/>
              <w:right w:type="dxa" w:w="80"/>
            </w:tcMar>
            <w:vAlign w:val="top"/>
          </w:tcPr>
          <w:p>
            <w:pPr>
              <w:spacing w:after="140" w:before="0"/>
              <w:jc w:val="center"/>
            </w:pPr>
            <w:r>
              <w:rPr>
                <w:rFonts w:ascii="Calibri" w:cs="Calibri" w:eastAsia="Calibri" w:hAnsi="Calibri"/>
                <w:b/>
                <w:bCs/>
                <w:i w:val="false"/>
                <w:iCs w:val="false"/>
                <w:color w:val="FFFFFF"/>
                <w:sz w:val="24"/>
                <w:szCs w:val="24"/>
              </w:rPr>
              <w:t xml:space="preserve">4</w:t>
            </w:r>
          </w:p>
        </w:tc>
        <w:tc>
          <w:tcPr>
            <w:tcW w:type="dxa" w:w="8760"/>
            <w:tcBorders>
              <w:top w:val="single" w:color="D1D5DB" w:sz="4"/>
              <w:left w:val="single" w:color="D1D5DB" w:sz="4"/>
              <w:bottom w:val="single" w:color="D1D5DB" w:sz="4"/>
              <w:right w:val="single" w:color="D1D5DB" w:sz="4"/>
            </w:tcBorders>
            <w:shd w:fill="F4F7FB" w:val="clear"/>
            <w:tcMar>
              <w:top w:type="dxa" w:w="120"/>
              <w:left w:type="dxa" w:w="180"/>
              <w:bottom w:type="dxa" w:w="120"/>
              <w:right w:type="dxa" w:w="120"/>
            </w:tcMar>
          </w:tcPr>
          <w:p>
            <w:pPr>
              <w:spacing w:after="80" w:before="0"/>
              <w:jc w:val="left"/>
            </w:pPr>
            <w:r>
              <w:rPr>
                <w:rFonts w:ascii="Calibri" w:cs="Calibri" w:eastAsia="Calibri" w:hAnsi="Calibri"/>
                <w:b/>
                <w:bCs/>
                <w:i w:val="false"/>
                <w:iCs w:val="false"/>
                <w:color w:val="0A1628"/>
                <w:sz w:val="22"/>
                <w:szCs w:val="22"/>
              </w:rPr>
              <w:t xml:space="preserve">Agree on a Specific, Measurable Change</w:t>
            </w:r>
          </w:p>
          <w:p>
            <w:pPr>
              <w:spacing w:after="60" w:before="0"/>
              <w:jc w:val="left"/>
            </w:pPr>
            <w:r>
              <w:rPr>
                <w:rFonts w:ascii="Calibri" w:cs="Calibri" w:eastAsia="Calibri" w:hAnsi="Calibri"/>
                <w:b w:val="false"/>
                <w:bCs w:val="false"/>
                <w:i w:val="false"/>
                <w:iCs w:val="false"/>
                <w:color w:val="374151"/>
                <w:sz w:val="21"/>
                <w:szCs w:val="21"/>
              </w:rPr>
              <w:t xml:space="preserve">The conversation must end with a specific commitment: what will change, by when, and how you will both know it has changed. Without specificity, the same conversation will repeat. Write the agreement down and follow up on the agreed date.</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CC4500" w:val="clear"/>
            <w:tcMar>
              <w:top w:type="dxa" w:w="120"/>
              <w:left w:type="dxa" w:w="80"/>
              <w:bottom w:type="dxa" w:w="120"/>
              <w:right w:type="dxa" w:w="80"/>
            </w:tcMar>
            <w:vAlign w:val="top"/>
          </w:tcPr>
          <w:p>
            <w:pPr>
              <w:spacing w:after="140" w:before="0"/>
              <w:jc w:val="center"/>
            </w:pPr>
            <w:r>
              <w:rPr>
                <w:rFonts w:ascii="Calibri" w:cs="Calibri" w:eastAsia="Calibri" w:hAnsi="Calibri"/>
                <w:b/>
                <w:bCs/>
                <w:i w:val="false"/>
                <w:iCs w:val="false"/>
                <w:color w:val="FFFFFF"/>
                <w:sz w:val="24"/>
                <w:szCs w:val="24"/>
              </w:rPr>
              <w:t xml:space="preserve">5</w:t>
            </w:r>
          </w:p>
        </w:tc>
        <w:tc>
          <w:tcPr>
            <w:tcW w:type="dxa" w:w="8760"/>
            <w:tcBorders>
              <w:top w:val="single" w:color="D1D5DB" w:sz="4"/>
              <w:left w:val="single" w:color="D1D5DB" w:sz="4"/>
              <w:bottom w:val="single" w:color="D1D5DB" w:sz="4"/>
              <w:right w:val="single" w:color="D1D5DB" w:sz="4"/>
            </w:tcBorders>
            <w:shd w:fill="F4F7FB" w:val="clear"/>
            <w:tcMar>
              <w:top w:type="dxa" w:w="120"/>
              <w:left w:type="dxa" w:w="180"/>
              <w:bottom w:type="dxa" w:w="120"/>
              <w:right w:type="dxa" w:w="120"/>
            </w:tcMar>
          </w:tcPr>
          <w:p>
            <w:pPr>
              <w:spacing w:after="80" w:before="0"/>
              <w:jc w:val="left"/>
            </w:pPr>
            <w:r>
              <w:rPr>
                <w:rFonts w:ascii="Calibri" w:cs="Calibri" w:eastAsia="Calibri" w:hAnsi="Calibri"/>
                <w:b/>
                <w:bCs/>
                <w:i w:val="false"/>
                <w:iCs w:val="false"/>
                <w:color w:val="0A1628"/>
                <w:sz w:val="22"/>
                <w:szCs w:val="22"/>
              </w:rPr>
              <w:t xml:space="preserve">Follow Through Without Exception</w:t>
            </w:r>
          </w:p>
          <w:p>
            <w:pPr>
              <w:spacing w:after="60" w:before="0"/>
              <w:jc w:val="left"/>
            </w:pPr>
            <w:r>
              <w:rPr>
                <w:rFonts w:ascii="Calibri" w:cs="Calibri" w:eastAsia="Calibri" w:hAnsi="Calibri"/>
                <w:b w:val="false"/>
                <w:bCs w:val="false"/>
                <w:i w:val="false"/>
                <w:iCs w:val="false"/>
                <w:color w:val="374151"/>
                <w:sz w:val="21"/>
                <w:szCs w:val="21"/>
              </w:rPr>
              <w:t xml:space="preserve">If the commitment is met: recognise it publicly. If it is not met: have the next conversation immediately — do not let the miss slide. Every missed commitment you tolerate teaches your entire organisation that commitments are optional.</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3.4 — Crisis Management: Leading When Everything Is Going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0"/>
              <w:left w:val="single" w:color="1A3A5C" w:sz="18"/>
              <w:bottom w:val="single" w:color="D1D5DB" w:sz="4"/>
              <w:right w:val="single" w:color="D1D5DB" w:sz="4"/>
            </w:tcBorders>
            <w:shd w:fill="EBF4FF" w:val="clear"/>
            <w:tcMar>
              <w:top w:type="dxa" w:w="140"/>
              <w:left w:type="dxa" w:w="220"/>
              <w:bottom w:type="dxa" w:w="140"/>
              <w:right w:type="dxa" w:w="140"/>
            </w:tcMar>
          </w:tcPr>
          <w:p>
            <w:pPr>
              <w:spacing w:after="70" w:before="0"/>
              <w:jc w:val="left"/>
            </w:pPr>
            <w:r>
              <w:rPr>
                <w:rFonts w:ascii="Calibri" w:cs="Calibri" w:eastAsia="Calibri" w:hAnsi="Calibri"/>
                <w:b/>
                <w:bCs/>
                <w:i w:val="false"/>
                <w:iCs w:val="false"/>
                <w:color w:val="1A3A5C"/>
                <w:sz w:val="18"/>
                <w:szCs w:val="18"/>
              </w:rPr>
              <w:t xml:space="preserve">The Warren Buffett Test</w:t>
            </w:r>
          </w:p>
          <w:p>
            <w:pPr>
              <w:spacing w:after="140" w:before="0"/>
              <w:jc w:val="left"/>
            </w:pPr>
            <w:r>
              <w:rPr>
                <w:rFonts w:ascii="Calibri" w:cs="Calibri" w:eastAsia="Calibri" w:hAnsi="Calibri"/>
                <w:b w:val="false"/>
                <w:bCs w:val="false"/>
                <w:i w:val="false"/>
                <w:iCs w:val="false"/>
                <w:color w:val="1F2937"/>
                <w:sz w:val="21"/>
                <w:szCs w:val="21"/>
              </w:rPr>
              <w:t xml:space="preserve">Buffett's rule for crisis management: 'If it would be embarrassing to see on the front page of the newspaper — even if it is legal — do not do it. And if a crisis occurs, tell the full truth, immediately, voluntarily. The cover-up is always worse than the crime.' This principle applies to startups: cover up a product failure from investors, and when they find out — and they always find out — the trust is gone permanently.</w:t>
            </w:r>
          </w:p>
        </w:tc>
      </w:tr>
    </w:tbl>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Crisis Type</w:t>
            </w:r>
          </w:p>
        </w:tc>
        <w:tc>
          <w:tcPr>
            <w:tcW w:type="dxa" w:w="2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First 24 Hours</w:t>
            </w:r>
          </w:p>
        </w:tc>
        <w:tc>
          <w:tcPr>
            <w:tcW w:type="dxa" w:w="2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Days 2–7</w:t>
            </w:r>
          </w:p>
        </w:tc>
        <w:tc>
          <w:tcPr>
            <w:tcW w:type="dxa" w:w="23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Week 2+</w:t>
            </w:r>
          </w:p>
        </w:tc>
      </w:tr>
      <w:tr>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Data breach / security incident</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Contain: take systems offline if needed. Notify board and legal counsel. Do NOT communicate externally until scope is known.</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Establish scope. Engage cybersecurity firm. Draft customer notification. Regulatory notification per DPDP (72 hours).</w:t>
            </w:r>
          </w:p>
        </w:tc>
        <w:tc>
          <w:tcPr>
            <w:tcW w:type="dxa" w:w="23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Post-mortem. System fixes. Proactive customer communication. Offer credit or remediation.</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Key customer churns publicly</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Founder personally calls customer within 1 hour. Listen. Do not defend.</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Understand root cause. Fix the problem. Report accurately to board.</w:t>
            </w:r>
          </w:p>
        </w:tc>
        <w:tc>
          <w:tcPr>
            <w:tcW w:type="dxa" w:w="23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Build systematic solution. Share learnings with team. Use in product roadmap.</w:t>
            </w:r>
          </w:p>
        </w:tc>
      </w:tr>
      <w:tr>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Employee misconduct allegation</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Suspend the person under investigation. Engage HR and legal immediately. Do not comment or investigate informally.</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Independent investigation. Document everything. Inform affected parties through proper channels.</w:t>
            </w:r>
          </w:p>
        </w:tc>
        <w:tc>
          <w:tcPr>
            <w:tcW w:type="dxa" w:w="23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Outcome: terminate if substantiated. Rebuild team trust through transparency about what happened and what changed.</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Cash crisis (runway &lt; 3 months)</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Emergency board meeting within 48 hours. Full financial disclosure. No new hires or commitments.</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Options: emergency bridge from existing investors, emergency revenue drive, cost cuts. Execute chosen option simultaneously.</w:t>
            </w:r>
          </w:p>
        </w:tc>
        <w:tc>
          <w:tcPr>
            <w:tcW w:type="dxa" w:w="23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Restructure burn permanently. Monthly board cash review. Fundraise from position of managed crisis, not panic.</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40" w:before="0"/>
              <w:jc w:val="center"/>
            </w:pPr>
            <w:r>
              <w:rPr>
                <w:rFonts w:ascii="Calibri" w:cs="Calibri" w:eastAsia="Calibri" w:hAnsi="Calibri"/>
                <w:b/>
                <w:bCs/>
                <w:i w:val="false"/>
                <w:iCs w:val="false"/>
                <w:color w:val="FFFFFF"/>
                <w:sz w:val="26"/>
                <w:szCs w:val="26"/>
              </w:rPr>
              <w:t xml:space="preserve">PART 4</w:t>
            </w:r>
          </w:p>
        </w:tc>
        <w:tc>
          <w:tcPr>
            <w:tcW w:type="dxa" w:w="8260"/>
            <w:tcBorders>
              <w:top w:val="none" w:color="FFFFFF" w:sz="0"/>
              <w:left w:val="none" w:color="FFFFFF" w:sz="0"/>
              <w:bottom w:val="none" w:color="FFFFFF" w:sz="0"/>
              <w:right w:val="none" w:color="FFFFFF" w:sz="0"/>
            </w:tcBorders>
            <w:shd w:fill="0A1628" w:val="clear"/>
            <w:tcMar>
              <w:top w:type="dxa" w:w="60"/>
              <w:left w:type="dxa" w:w="200"/>
              <w:bottom w:type="dxa" w:w="60"/>
              <w:right w:type="dxa" w:w="120"/>
            </w:tcMar>
            <w:vAlign w:val="center"/>
          </w:tcPr>
          <w:p>
            <w:pPr>
              <w:spacing w:after="40" w:before="0"/>
              <w:jc w:val="left"/>
            </w:pPr>
            <w:r>
              <w:rPr>
                <w:rFonts w:ascii="Calibri" w:cs="Calibri" w:eastAsia="Calibri" w:hAnsi="Calibri"/>
                <w:b/>
                <w:bCs/>
                <w:i w:val="false"/>
                <w:iCs w:val="false"/>
                <w:color w:val="FFFFFF"/>
                <w:sz w:val="26"/>
                <w:szCs w:val="26"/>
              </w:rPr>
              <w:t xml:space="preserve">SALES &amp; NEGOTIATION MASTERCLASS</w:t>
            </w:r>
          </w:p>
          <w:p>
            <w:pPr>
              <w:spacing w:after="140" w:before="0"/>
              <w:jc w:val="left"/>
            </w:pPr>
            <w:r>
              <w:rPr>
                <w:rFonts w:ascii="Calibri" w:cs="Calibri" w:eastAsia="Calibri" w:hAnsi="Calibri"/>
                <w:b w:val="false"/>
                <w:bCs w:val="false"/>
                <w:i w:val="false"/>
                <w:iCs w:val="false"/>
                <w:color w:val="AABBCC"/>
                <w:sz w:val="17"/>
                <w:szCs w:val="17"/>
              </w:rPr>
              <w:t xml:space="preserve">B2B sales, enterprise deals, OEM partnerships, investor pitching, and contract negotiation</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4.1 — The Founder-Led Sales Philosophy</w:t>
      </w:r>
    </w:p>
    <w:p>
      <w:pPr>
        <w:spacing w:after="160" w:before="0"/>
        <w:jc w:val="left"/>
      </w:pPr>
      <w:r>
        <w:rPr>
          <w:rFonts w:ascii="Calibri" w:cs="Calibri" w:eastAsia="Calibri" w:hAnsi="Calibri"/>
          <w:b w:val="false"/>
          <w:bCs w:val="false"/>
          <w:i w:val="false"/>
          <w:iCs w:val="false"/>
          <w:color w:val="1F2937"/>
          <w:sz w:val="22"/>
          <w:szCs w:val="22"/>
        </w:rPr>
        <w:t xml:space="preserve">The founder must be the best salesperson in the company for the first 24 months. Not because you are the most experienced salesperson — you are not. But because you have something no hired salesperson can replicate: the ability to make a binding promise, to change the product in response to a customer's need, and to personally guarantee that the company will deliver.</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200"/>
              <w:left w:type="dxa" w:w="360"/>
              <w:bottom w:type="dxa" w:w="200"/>
              <w:right w:type="dxa" w:w="360"/>
            </w:tcMar>
          </w:tcPr>
          <w:p>
            <w:pPr>
              <w:spacing w:after="100" w:before="0"/>
              <w:jc w:val="center"/>
            </w:pPr>
            <w:r>
              <w:rPr>
                <w:rFonts w:ascii="Calibri" w:cs="Calibri" w:eastAsia="Calibri" w:hAnsi="Calibri"/>
                <w:b w:val="false"/>
                <w:bCs w:val="false"/>
                <w:i/>
                <w:iCs/>
                <w:color w:val="FFFFFF"/>
                <w:sz w:val="24"/>
                <w:szCs w:val="24"/>
              </w:rPr>
              <w:t xml:space="preserve">“Sales is not about selling anymore, but about building trust and educating.”</w:t>
            </w:r>
          </w:p>
          <w:p>
            <w:pPr>
              <w:spacing w:after="140" w:before="0"/>
              <w:jc w:val="center"/>
            </w:pPr>
            <w:r>
              <w:rPr>
                <w:rFonts w:ascii="Calibri" w:cs="Calibri" w:eastAsia="Calibri" w:hAnsi="Calibri"/>
                <w:b/>
                <w:bCs/>
                <w:i w:val="false"/>
                <w:iCs w:val="false"/>
                <w:color w:val="CC4500"/>
                <w:sz w:val="18"/>
                <w:szCs w:val="18"/>
              </w:rPr>
              <w:t xml:space="preserve">— Siva Devaki, MassMailer</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4.2 — The SPIN Selling Framework for B2B Deals</w:t>
      </w:r>
    </w:p>
    <w:p>
      <w:pPr>
        <w:spacing w:after="160" w:before="0"/>
        <w:jc w:val="left"/>
      </w:pPr>
      <w:r>
        <w:rPr>
          <w:rFonts w:ascii="Calibri" w:cs="Calibri" w:eastAsia="Calibri" w:hAnsi="Calibri"/>
          <w:b w:val="false"/>
          <w:bCs w:val="false"/>
          <w:i w:val="false"/>
          <w:iCs w:val="false"/>
          <w:color w:val="1F2937"/>
          <w:sz w:val="22"/>
          <w:szCs w:val="22"/>
        </w:rPr>
        <w:t xml:space="preserve">SPIN Selling (by Neil Rackham) is the most validated B2B sales methodology. It works by asking questions that make the prospect articulate their own pain — rather than the salesperson pitching features.</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SPIN Question Type</w:t>
            </w:r>
          </w:p>
        </w:tc>
        <w:tc>
          <w:tcPr>
            <w:tcW w:type="dxa" w:w="2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Purpose</w:t>
            </w:r>
          </w:p>
        </w:tc>
        <w:tc>
          <w:tcPr>
            <w:tcW w:type="dxa" w:w="51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AutoEra AI Example Questions</w:t>
            </w:r>
          </w:p>
        </w:tc>
      </w:tr>
      <w:tr>
        <w:tc>
          <w:tcPr>
            <w:tcW w:type="dxa" w:w="1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 — Situation</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Understand the current state. Gather facts about the prospect's business.</w:t>
            </w:r>
          </w:p>
        </w:tc>
        <w:tc>
          <w:tcPr>
            <w:tcW w:type="dxa" w:w="5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'How many vehicles does your service center process per day?' / 'What system do you currently use for job cards?'</w:t>
            </w:r>
          </w:p>
        </w:tc>
      </w:tr>
      <w:tr>
        <w:tc>
          <w:tcPr>
            <w:tcW w:type="dxa" w:w="1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 — Problem</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Identify the pain. Get the prospect to name the problem themselves.</w:t>
            </w:r>
          </w:p>
        </w:tc>
        <w:tc>
          <w:tcPr>
            <w:tcW w:type="dxa" w:w="5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'How often do customers call in asking for status updates?' / 'What happens when a part is out of stock mid-repair?'</w:t>
            </w:r>
          </w:p>
        </w:tc>
      </w:tr>
      <w:tr>
        <w:tc>
          <w:tcPr>
            <w:tcW w:type="dxa" w:w="1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 — Implication</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Amplify the pain. Make the prospect feel the cost of the problem.</w:t>
            </w:r>
          </w:p>
        </w:tc>
        <w:tc>
          <w:tcPr>
            <w:tcW w:type="dxa" w:w="5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'If a customer calls 3 times during a repair and leaves unhappy, what is the risk to your repeat service revenue?' / 'How much does a missed part reorder cost you per month in delays?'</w:t>
            </w:r>
          </w:p>
        </w:tc>
      </w:tr>
      <w:tr>
        <w:tc>
          <w:tcPr>
            <w:tcW w:type="dxa" w:w="1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N — Need-Payoff</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Let the prospect articulate the value of the solution themselves.</w:t>
            </w:r>
          </w:p>
        </w:tc>
        <w:tc>
          <w:tcPr>
            <w:tcW w:type="dxa" w:w="5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'If your customers received automatic WhatsApp updates at every stage, how would that change your NPS?' / 'If parts were auto-reordered before stockout, how many days of delay would that eliminate?'</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4.3 — Enterprise Sales and OEM Deal Framework</w:t>
      </w:r>
    </w:p>
    <w:p>
      <w:pPr>
        <w:spacing w:after="160" w:before="0"/>
        <w:jc w:val="left"/>
      </w:pPr>
      <w:r>
        <w:rPr>
          <w:rFonts w:ascii="Calibri" w:cs="Calibri" w:eastAsia="Calibri" w:hAnsi="Calibri"/>
          <w:b w:val="false"/>
          <w:bCs w:val="false"/>
          <w:i w:val="false"/>
          <w:iCs w:val="false"/>
          <w:color w:val="1F2937"/>
          <w:sz w:val="22"/>
          <w:szCs w:val="22"/>
        </w:rPr>
        <w:t xml:space="preserve">Enterprise deals (OEM partnerships, insurance company integrations, fleet contracts) are fundamentally different from dealer SMB sales. They require: a different buyer (C-suite, not Dealer Principal), a longer cycle (6–18 months vs 2–4 weeks), and a different conversation (ROI to the organisation, not ROI to the individual).</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Enterprise Deal Stage</w:t>
            </w:r>
          </w:p>
        </w:tc>
        <w:tc>
          <w:tcPr>
            <w:tcW w:type="dxa" w:w="22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What Happens</w:t>
            </w:r>
          </w:p>
        </w:tc>
        <w:tc>
          <w:tcPr>
            <w:tcW w:type="dxa" w:w="28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Your Action</w:t>
            </w:r>
          </w:p>
        </w:tc>
        <w:tc>
          <w:tcPr>
            <w:tcW w:type="dxa" w:w="25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Timeline</w:t>
            </w:r>
          </w:p>
        </w:tc>
      </w:tr>
      <w:tr>
        <w:tc>
          <w:tcPr>
            <w:tcW w:type="dxa" w:w="1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 Champion Identification</w:t>
            </w:r>
          </w:p>
        </w:tc>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Find an internal person who sees the value and will advocate for you inside the organisation</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Build genuine relationship. Help them look good internally. Give them data that makes the business case for them.</w:t>
            </w:r>
          </w:p>
        </w:tc>
        <w:tc>
          <w:tcPr>
            <w:tcW w:type="dxa" w:w="25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Weeks 1–4</w:t>
            </w:r>
          </w:p>
        </w:tc>
      </w:tr>
      <w:tr>
        <w:tc>
          <w:tcPr>
            <w:tcW w:type="dxa" w:w="1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2. Economic Buyer Access</w:t>
            </w:r>
          </w:p>
        </w:tc>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Get to the person who can write the cheque — not just the technical evaluator</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Ask your champion: 'Who needs to approve this?' Request a joint meeting. Present the CFO/CEO level ROI case.</w:t>
            </w:r>
          </w:p>
        </w:tc>
        <w:tc>
          <w:tcPr>
            <w:tcW w:type="dxa" w:w="25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Weeks 4–8</w:t>
            </w:r>
          </w:p>
        </w:tc>
      </w:tr>
      <w:tr>
        <w:tc>
          <w:tcPr>
            <w:tcW w:type="dxa" w:w="1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3. Technical Evaluation</w:t>
            </w:r>
          </w:p>
        </w:tc>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Their team evaluates whether your product meets technical requirements</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Pre-empt every objection: security documentation, integration spec, SLAs, DPDP compliance, uptime history.</w:t>
            </w:r>
          </w:p>
        </w:tc>
        <w:tc>
          <w:tcPr>
            <w:tcW w:type="dxa" w:w="25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Weeks 6–12</w:t>
            </w:r>
          </w:p>
        </w:tc>
      </w:tr>
      <w:tr>
        <w:tc>
          <w:tcPr>
            <w:tcW w:type="dxa" w:w="1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4. Commercial Negotiation</w:t>
            </w:r>
          </w:p>
        </w:tc>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Price, terms, SLA, customisation, support</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Know your BATNA (Best Alternative to Negotiated Agreement). Never give a discount without getting something in return.</w:t>
            </w:r>
          </w:p>
        </w:tc>
        <w:tc>
          <w:tcPr>
            <w:tcW w:type="dxa" w:w="25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Weeks 10–16</w:t>
            </w:r>
          </w:p>
        </w:tc>
      </w:tr>
      <w:tr>
        <w:tc>
          <w:tcPr>
            <w:tcW w:type="dxa" w:w="1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5. Legal Review</w:t>
            </w:r>
          </w:p>
        </w:tc>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Their lawyers review the contract</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Have a clean standard contract reviewed by your startup lawyer before entering any enterprise deal.</w:t>
            </w:r>
          </w:p>
        </w:tc>
        <w:tc>
          <w:tcPr>
            <w:tcW w:type="dxa" w:w="25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Weeks 14–20</w:t>
            </w:r>
          </w:p>
        </w:tc>
      </w:tr>
      <w:tr>
        <w:tc>
          <w:tcPr>
            <w:tcW w:type="dxa" w:w="1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6. Close and Onboarding</w:t>
            </w:r>
          </w:p>
        </w:tc>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Contract signed. Money arrives. Work begins.</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Celebrate with team. Begin onboarding immediately. Assign CS Manager as single point of contact.</w:t>
            </w:r>
          </w:p>
        </w:tc>
        <w:tc>
          <w:tcPr>
            <w:tcW w:type="dxa" w:w="25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Week 16–24</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4.4 — Negotiation: The Framework Elite Dealmakers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F4F7FB" w:val="clear"/>
            <w:tcMar>
              <w:top w:type="dxa" w:w="90"/>
              <w:left w:type="dxa" w:w="120"/>
              <w:bottom w:type="dxa" w:w="90"/>
              <w:right w:type="dxa" w:w="80"/>
            </w:tcMar>
          </w:tcPr>
          <w:p>
            <w:pPr>
              <w:spacing w:after="140" w:before="0"/>
              <w:jc w:val="left"/>
            </w:pPr>
            <w:r>
              <w:rPr>
                <w:rFonts w:ascii="Calibri" w:cs="Calibri" w:eastAsia="Calibri" w:hAnsi="Calibri"/>
                <w:b/>
                <w:bCs/>
                <w:i w:val="false"/>
                <w:iCs w:val="false"/>
                <w:color w:val="1A3A5C"/>
                <w:sz w:val="20"/>
                <w:szCs w:val="20"/>
              </w:rPr>
              <w:t xml:space="preserve">BATNA First</w:t>
            </w:r>
          </w:p>
        </w:tc>
        <w:tc>
          <w:tcPr>
            <w:tcW w:type="dxa" w:w="6560"/>
            <w:tcBorders>
              <w:top w:val="single" w:color="D1D5DB" w:sz="4"/>
              <w:left w:val="single" w:color="D1D5DB" w:sz="4"/>
              <w:bottom w:val="single" w:color="D1D5DB" w:sz="4"/>
              <w:right w:val="single" w:color="D1D5DB" w:sz="4"/>
            </w:tcBorders>
            <w:shd w:fill="F4F7FB" w:val="clear"/>
            <w:tcMar>
              <w:top w:type="dxa" w:w="90"/>
              <w:left w:type="dxa" w:w="120"/>
              <w:bottom w:type="dxa" w:w="90"/>
              <w:right w:type="dxa" w:w="80"/>
            </w:tcMar>
          </w:tcPr>
          <w:p>
            <w:pPr>
              <w:spacing w:after="140" w:before="0"/>
              <w:jc w:val="left"/>
            </w:pPr>
            <w:r>
              <w:rPr>
                <w:rFonts w:ascii="Calibri" w:cs="Calibri" w:eastAsia="Calibri" w:hAnsi="Calibri"/>
                <w:b w:val="false"/>
                <w:bCs w:val="false"/>
                <w:i w:val="false"/>
                <w:iCs w:val="false"/>
                <w:color w:val="374151"/>
                <w:sz w:val="20"/>
                <w:szCs w:val="20"/>
              </w:rPr>
              <w:t xml:space="preserve">Before any negotiation, know your Best Alternative to Negotiated Agreement. If you have no alternative, you have no leverage. Create alternatives before you need them. Never enter a negotiation where you cannot walk away.</w:t>
            </w:r>
          </w:p>
        </w:tc>
      </w:tr>
      <w:tr>
        <w:tc>
          <w:tcPr>
            <w:tcW w:type="dxa" w:w="280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80"/>
            </w:tcMar>
          </w:tcPr>
          <w:p>
            <w:pPr>
              <w:spacing w:after="140" w:before="0"/>
              <w:jc w:val="left"/>
            </w:pPr>
            <w:r>
              <w:rPr>
                <w:rFonts w:ascii="Calibri" w:cs="Calibri" w:eastAsia="Calibri" w:hAnsi="Calibri"/>
                <w:b/>
                <w:bCs/>
                <w:i w:val="false"/>
                <w:iCs w:val="false"/>
                <w:color w:val="1A3A5C"/>
                <w:sz w:val="20"/>
                <w:szCs w:val="20"/>
              </w:rPr>
              <w:t xml:space="preserve">Anchor High, Move Slowly</w:t>
            </w:r>
          </w:p>
        </w:tc>
        <w:tc>
          <w:tcPr>
            <w:tcW w:type="dxa" w:w="656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80"/>
            </w:tcMar>
          </w:tcPr>
          <w:p>
            <w:pPr>
              <w:spacing w:after="140" w:before="0"/>
              <w:jc w:val="left"/>
            </w:pPr>
            <w:r>
              <w:rPr>
                <w:rFonts w:ascii="Calibri" w:cs="Calibri" w:eastAsia="Calibri" w:hAnsi="Calibri"/>
                <w:b w:val="false"/>
                <w:bCs w:val="false"/>
                <w:i w:val="false"/>
                <w:iCs w:val="false"/>
                <w:color w:val="374151"/>
                <w:sz w:val="20"/>
                <w:szCs w:val="20"/>
              </w:rPr>
              <w:t xml:space="preserve">The first number mentioned anchors the entire negotiation. Whoever anchors first frames the conversation. Make the first offer — and make it ambitious. Then move in small increments, and ask for something with every concession.</w:t>
            </w:r>
          </w:p>
        </w:tc>
      </w:tr>
      <w:tr>
        <w:tc>
          <w:tcPr>
            <w:tcW w:type="dxa" w:w="2800"/>
            <w:tcBorders>
              <w:top w:val="single" w:color="D1D5DB" w:sz="4"/>
              <w:left w:val="single" w:color="D1D5DB" w:sz="4"/>
              <w:bottom w:val="single" w:color="D1D5DB" w:sz="4"/>
              <w:right w:val="single" w:color="D1D5DB" w:sz="4"/>
            </w:tcBorders>
            <w:shd w:fill="F4F7FB" w:val="clear"/>
            <w:tcMar>
              <w:top w:type="dxa" w:w="90"/>
              <w:left w:type="dxa" w:w="120"/>
              <w:bottom w:type="dxa" w:w="90"/>
              <w:right w:type="dxa" w:w="80"/>
            </w:tcMar>
          </w:tcPr>
          <w:p>
            <w:pPr>
              <w:spacing w:after="140" w:before="0"/>
              <w:jc w:val="left"/>
            </w:pPr>
            <w:r>
              <w:rPr>
                <w:rFonts w:ascii="Calibri" w:cs="Calibri" w:eastAsia="Calibri" w:hAnsi="Calibri"/>
                <w:b/>
                <w:bCs/>
                <w:i w:val="false"/>
                <w:iCs w:val="false"/>
                <w:color w:val="1A3A5C"/>
                <w:sz w:val="20"/>
                <w:szCs w:val="20"/>
              </w:rPr>
              <w:t xml:space="preserve">Never Accept the First Offer</w:t>
            </w:r>
          </w:p>
        </w:tc>
        <w:tc>
          <w:tcPr>
            <w:tcW w:type="dxa" w:w="6560"/>
            <w:tcBorders>
              <w:top w:val="single" w:color="D1D5DB" w:sz="4"/>
              <w:left w:val="single" w:color="D1D5DB" w:sz="4"/>
              <w:bottom w:val="single" w:color="D1D5DB" w:sz="4"/>
              <w:right w:val="single" w:color="D1D5DB" w:sz="4"/>
            </w:tcBorders>
            <w:shd w:fill="F4F7FB" w:val="clear"/>
            <w:tcMar>
              <w:top w:type="dxa" w:w="90"/>
              <w:left w:type="dxa" w:w="120"/>
              <w:bottom w:type="dxa" w:w="90"/>
              <w:right w:type="dxa" w:w="80"/>
            </w:tcMar>
          </w:tcPr>
          <w:p>
            <w:pPr>
              <w:spacing w:after="140" w:before="0"/>
              <w:jc w:val="left"/>
            </w:pPr>
            <w:r>
              <w:rPr>
                <w:rFonts w:ascii="Calibri" w:cs="Calibri" w:eastAsia="Calibri" w:hAnsi="Calibri"/>
                <w:b w:val="false"/>
                <w:bCs w:val="false"/>
                <w:i w:val="false"/>
                <w:iCs w:val="false"/>
                <w:color w:val="374151"/>
                <w:sz w:val="20"/>
                <w:szCs w:val="20"/>
              </w:rPr>
              <w:t xml:space="preserve">Even if the first offer is acceptable, saying yes immediately signals: either you could have offered more, or there is something wrong. Pause. Say 'let me consider that'. Return with a counteroffer or a condition.</w:t>
            </w:r>
          </w:p>
        </w:tc>
      </w:tr>
      <w:tr>
        <w:tc>
          <w:tcPr>
            <w:tcW w:type="dxa" w:w="280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80"/>
            </w:tcMar>
          </w:tcPr>
          <w:p>
            <w:pPr>
              <w:spacing w:after="140" w:before="0"/>
              <w:jc w:val="left"/>
            </w:pPr>
            <w:r>
              <w:rPr>
                <w:rFonts w:ascii="Calibri" w:cs="Calibri" w:eastAsia="Calibri" w:hAnsi="Calibri"/>
                <w:b/>
                <w:bCs/>
                <w:i w:val="false"/>
                <w:iCs w:val="false"/>
                <w:color w:val="1A3A5C"/>
                <w:sz w:val="20"/>
                <w:szCs w:val="20"/>
              </w:rPr>
              <w:t xml:space="preserve">Silence is a Weapon</w:t>
            </w:r>
          </w:p>
        </w:tc>
        <w:tc>
          <w:tcPr>
            <w:tcW w:type="dxa" w:w="656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80"/>
            </w:tcMar>
          </w:tcPr>
          <w:p>
            <w:pPr>
              <w:spacing w:after="140" w:before="0"/>
              <w:jc w:val="left"/>
            </w:pPr>
            <w:r>
              <w:rPr>
                <w:rFonts w:ascii="Calibri" w:cs="Calibri" w:eastAsia="Calibri" w:hAnsi="Calibri"/>
                <w:b w:val="false"/>
                <w:bCs w:val="false"/>
                <w:i w:val="false"/>
                <w:iCs w:val="false"/>
                <w:color w:val="374151"/>
                <w:sz w:val="20"/>
                <w:szCs w:val="20"/>
              </w:rPr>
              <w:t xml:space="preserve">After making a proposal, stop talking. The next person who speaks has just conceded ground. Elite negotiators are comfortable with silence. Founders who are anxious fill the silence with unnecessary concessions.</w:t>
            </w:r>
          </w:p>
        </w:tc>
      </w:tr>
      <w:tr>
        <w:tc>
          <w:tcPr>
            <w:tcW w:type="dxa" w:w="2800"/>
            <w:tcBorders>
              <w:top w:val="single" w:color="D1D5DB" w:sz="4"/>
              <w:left w:val="single" w:color="D1D5DB" w:sz="4"/>
              <w:bottom w:val="single" w:color="D1D5DB" w:sz="4"/>
              <w:right w:val="single" w:color="D1D5DB" w:sz="4"/>
            </w:tcBorders>
            <w:shd w:fill="F4F7FB" w:val="clear"/>
            <w:tcMar>
              <w:top w:type="dxa" w:w="90"/>
              <w:left w:type="dxa" w:w="120"/>
              <w:bottom w:type="dxa" w:w="90"/>
              <w:right w:type="dxa" w:w="80"/>
            </w:tcMar>
          </w:tcPr>
          <w:p>
            <w:pPr>
              <w:spacing w:after="140" w:before="0"/>
              <w:jc w:val="left"/>
            </w:pPr>
            <w:r>
              <w:rPr>
                <w:rFonts w:ascii="Calibri" w:cs="Calibri" w:eastAsia="Calibri" w:hAnsi="Calibri"/>
                <w:b/>
                <w:bCs/>
                <w:i w:val="false"/>
                <w:iCs w:val="false"/>
                <w:color w:val="1A3A5C"/>
                <w:sz w:val="20"/>
                <w:szCs w:val="20"/>
              </w:rPr>
              <w:t xml:space="preserve">Split Issues, Not the Difference</w:t>
            </w:r>
          </w:p>
        </w:tc>
        <w:tc>
          <w:tcPr>
            <w:tcW w:type="dxa" w:w="6560"/>
            <w:tcBorders>
              <w:top w:val="single" w:color="D1D5DB" w:sz="4"/>
              <w:left w:val="single" w:color="D1D5DB" w:sz="4"/>
              <w:bottom w:val="single" w:color="D1D5DB" w:sz="4"/>
              <w:right w:val="single" w:color="D1D5DB" w:sz="4"/>
            </w:tcBorders>
            <w:shd w:fill="F4F7FB" w:val="clear"/>
            <w:tcMar>
              <w:top w:type="dxa" w:w="90"/>
              <w:left w:type="dxa" w:w="120"/>
              <w:bottom w:type="dxa" w:w="90"/>
              <w:right w:type="dxa" w:w="80"/>
            </w:tcMar>
          </w:tcPr>
          <w:p>
            <w:pPr>
              <w:spacing w:after="140" w:before="0"/>
              <w:jc w:val="left"/>
            </w:pPr>
            <w:r>
              <w:rPr>
                <w:rFonts w:ascii="Calibri" w:cs="Calibri" w:eastAsia="Calibri" w:hAnsi="Calibri"/>
                <w:b w:val="false"/>
                <w:bCs w:val="false"/>
                <w:i w:val="false"/>
                <w:iCs w:val="false"/>
                <w:color w:val="374151"/>
                <w:sz w:val="20"/>
                <w:szCs w:val="20"/>
              </w:rPr>
              <w:t xml:space="preserve">When two parties are stuck, splitting the difference sounds fair but is lazy. Instead, find a different dimension to trade on: payment terms, contract length, support level, reference rights. Creative trading often produces better outcomes than arithmetic compromise.</w:t>
            </w:r>
          </w:p>
        </w:tc>
      </w:tr>
      <w:tr>
        <w:tc>
          <w:tcPr>
            <w:tcW w:type="dxa" w:w="280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80"/>
            </w:tcMar>
          </w:tcPr>
          <w:p>
            <w:pPr>
              <w:spacing w:after="140" w:before="0"/>
              <w:jc w:val="left"/>
            </w:pPr>
            <w:r>
              <w:rPr>
                <w:rFonts w:ascii="Calibri" w:cs="Calibri" w:eastAsia="Calibri" w:hAnsi="Calibri"/>
                <w:b/>
                <w:bCs/>
                <w:i w:val="false"/>
                <w:iCs w:val="false"/>
                <w:color w:val="1A3A5C"/>
                <w:sz w:val="20"/>
                <w:szCs w:val="20"/>
              </w:rPr>
              <w:t xml:space="preserve">Write the First Draft</w:t>
            </w:r>
          </w:p>
        </w:tc>
        <w:tc>
          <w:tcPr>
            <w:tcW w:type="dxa" w:w="656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80"/>
            </w:tcMar>
          </w:tcPr>
          <w:p>
            <w:pPr>
              <w:spacing w:after="140" w:before="0"/>
              <w:jc w:val="left"/>
            </w:pPr>
            <w:r>
              <w:rPr>
                <w:rFonts w:ascii="Calibri" w:cs="Calibri" w:eastAsia="Calibri" w:hAnsi="Calibri"/>
                <w:b w:val="false"/>
                <w:bCs w:val="false"/>
                <w:i w:val="false"/>
                <w:iCs w:val="false"/>
                <w:color w:val="374151"/>
                <w:sz w:val="20"/>
                <w:szCs w:val="20"/>
              </w:rPr>
              <w:t xml:space="preserve">Whoever writes the first draft of any agreement anchors the language. Write your standard contract, your standard term sheet, your standard dealer agreement. Every deviation from your standard is a concession — and you know exactly how far you can go.</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40" w:before="0"/>
              <w:jc w:val="center"/>
            </w:pPr>
            <w:r>
              <w:rPr>
                <w:rFonts w:ascii="Calibri" w:cs="Calibri" w:eastAsia="Calibri" w:hAnsi="Calibri"/>
                <w:b/>
                <w:bCs/>
                <w:i w:val="false"/>
                <w:iCs w:val="false"/>
                <w:color w:val="FFFFFF"/>
                <w:sz w:val="26"/>
                <w:szCs w:val="26"/>
              </w:rPr>
              <w:t xml:space="preserve">PART 5</w:t>
            </w:r>
          </w:p>
        </w:tc>
        <w:tc>
          <w:tcPr>
            <w:tcW w:type="dxa" w:w="8260"/>
            <w:tcBorders>
              <w:top w:val="none" w:color="FFFFFF" w:sz="0"/>
              <w:left w:val="none" w:color="FFFFFF" w:sz="0"/>
              <w:bottom w:val="none" w:color="FFFFFF" w:sz="0"/>
              <w:right w:val="none" w:color="FFFFFF" w:sz="0"/>
            </w:tcBorders>
            <w:shd w:fill="0A1628" w:val="clear"/>
            <w:tcMar>
              <w:top w:type="dxa" w:w="60"/>
              <w:left w:type="dxa" w:w="200"/>
              <w:bottom w:type="dxa" w:w="60"/>
              <w:right w:type="dxa" w:w="120"/>
            </w:tcMar>
            <w:vAlign w:val="center"/>
          </w:tcPr>
          <w:p>
            <w:pPr>
              <w:spacing w:after="40" w:before="0"/>
              <w:jc w:val="left"/>
            </w:pPr>
            <w:r>
              <w:rPr>
                <w:rFonts w:ascii="Calibri" w:cs="Calibri" w:eastAsia="Calibri" w:hAnsi="Calibri"/>
                <w:b/>
                <w:bCs/>
                <w:i w:val="false"/>
                <w:iCs w:val="false"/>
                <w:color w:val="FFFFFF"/>
                <w:sz w:val="26"/>
                <w:szCs w:val="26"/>
              </w:rPr>
              <w:t xml:space="preserve">GLOBAL BUSINESS EXPANSION</w:t>
            </w:r>
          </w:p>
          <w:p>
            <w:pPr>
              <w:spacing w:after="140" w:before="0"/>
              <w:jc w:val="left"/>
            </w:pPr>
            <w:r>
              <w:rPr>
                <w:rFonts w:ascii="Calibri" w:cs="Calibri" w:eastAsia="Calibri" w:hAnsi="Calibri"/>
                <w:b w:val="false"/>
                <w:bCs w:val="false"/>
                <w:i w:val="false"/>
                <w:iCs w:val="false"/>
                <w:color w:val="AABBCC"/>
                <w:sz w:val="17"/>
                <w:szCs w:val="17"/>
              </w:rPr>
              <w:t xml:space="preserve">International operations, cross-border finance, global compliance, and expansion playbook</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5.1 — When to Go Global (and When Not To)</w:t>
      </w:r>
    </w:p>
    <w:p>
      <w:pPr>
        <w:spacing w:after="160" w:before="0"/>
        <w:jc w:val="left"/>
      </w:pPr>
      <w:r>
        <w:rPr>
          <w:rFonts w:ascii="Calibri" w:cs="Calibri" w:eastAsia="Calibri" w:hAnsi="Calibri"/>
          <w:b w:val="false"/>
          <w:bCs w:val="false"/>
          <w:i w:val="false"/>
          <w:iCs w:val="false"/>
          <w:color w:val="1F2937"/>
          <w:sz w:val="22"/>
          <w:szCs w:val="22"/>
        </w:rPr>
        <w:t xml:space="preserve">The most common error in global expansion is going global too early — before the home market is fully captured, before unit economics are proven, and before the product is genuinely ready for international customers. Global expansion multiplies both success and failure.</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0"/>
              <w:left w:val="single" w:color="991B1B" w:sz="18"/>
              <w:bottom w:val="single" w:color="D1D5DB" w:sz="4"/>
              <w:right w:val="single" w:color="D1D5DB" w:sz="4"/>
            </w:tcBorders>
            <w:shd w:fill="FEE2E2" w:val="clear"/>
            <w:tcMar>
              <w:top w:type="dxa" w:w="140"/>
              <w:left w:type="dxa" w:w="220"/>
              <w:bottom w:type="dxa" w:w="140"/>
              <w:right w:type="dxa" w:w="140"/>
            </w:tcMar>
          </w:tcPr>
          <w:p>
            <w:pPr>
              <w:spacing w:after="70" w:before="0"/>
              <w:jc w:val="left"/>
            </w:pPr>
            <w:r>
              <w:rPr>
                <w:rFonts w:ascii="Calibri" w:cs="Calibri" w:eastAsia="Calibri" w:hAnsi="Calibri"/>
                <w:b/>
                <w:bCs/>
                <w:i w:val="false"/>
                <w:iCs w:val="false"/>
                <w:color w:val="991B1B"/>
                <w:sz w:val="18"/>
                <w:szCs w:val="18"/>
              </w:rPr>
              <w:t xml:space="preserve">The Rule of Dominance Before Expansion</w:t>
            </w:r>
          </w:p>
          <w:p>
            <w:pPr>
              <w:spacing w:after="140" w:before="0"/>
              <w:jc w:val="left"/>
            </w:pPr>
            <w:r>
              <w:rPr>
                <w:rFonts w:ascii="Calibri" w:cs="Calibri" w:eastAsia="Calibri" w:hAnsi="Calibri"/>
                <w:b w:val="false"/>
                <w:bCs w:val="false"/>
                <w:i w:val="false"/>
                <w:iCs w:val="false"/>
                <w:color w:val="1F2937"/>
                <w:sz w:val="21"/>
                <w:szCs w:val="21"/>
              </w:rPr>
              <w:t xml:space="preserve">Before entering any new geography: (1) You must own a defensible position in your current market. (2) Your product must be globally ready — not just Indian-English ready. (3) You must have a proven, replicable GTM model. (4) You must have a local champion in the target market. Missing any of these conditions: the expansion will distract and dilute rather than grow.</w:t>
            </w:r>
          </w:p>
        </w:tc>
      </w:tr>
    </w:tbl>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c>
          <w:tcPr>
            <w:tcW w:type="dxa" w:w="16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Market</w:t>
            </w:r>
          </w:p>
        </w:tc>
        <w:tc>
          <w:tcPr>
            <w:tcW w:type="dxa" w:w="2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Readiness Criteria</w:t>
            </w:r>
          </w:p>
        </w:tc>
        <w:tc>
          <w:tcPr>
            <w:tcW w:type="dxa" w:w="28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AutoEra AI Trigger</w:t>
            </w:r>
          </w:p>
        </w:tc>
        <w:tc>
          <w:tcPr>
            <w:tcW w:type="dxa" w:w="25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Timeline</w:t>
            </w:r>
          </w:p>
        </w:tc>
      </w:tr>
      <w:tr>
        <w:tc>
          <w:tcPr>
            <w:tcW w:type="dxa" w:w="16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Tamil Nadu (Home)</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200+ paying dealers, NPS &gt; 50, proven CS model</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This is the foundation — do not leave until you own 10%+ of TN dealer market</w:t>
            </w:r>
          </w:p>
        </w:tc>
        <w:tc>
          <w:tcPr>
            <w:tcW w:type="dxa" w:w="25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Year 1–2</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South India (KA, AP, TG, KL)</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Proven unit economics, 2 regional BD hires, brand recognition in TN</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₹15L MRR consistently, OEM LOI signed, CS team scalable</w:t>
            </w:r>
          </w:p>
        </w:tc>
        <w:tc>
          <w:tcPr>
            <w:tcW w:type="dxa" w:w="25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Year 2–3</w:t>
            </w:r>
          </w:p>
        </w:tc>
      </w:tr>
      <w:tr>
        <w:tc>
          <w:tcPr>
            <w:tcW w:type="dxa" w:w="16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Pan-India</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Institutional investment (Series A), 10-person sales team, national brand</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₹60L MRR, 250+ dealers, NRR &gt; 115%</w:t>
            </w:r>
          </w:p>
        </w:tc>
        <w:tc>
          <w:tcPr>
            <w:tcW w:type="dxa" w:w="25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Year 3–4</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Southeast Asia (Indonesia, Thailand)</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India product needs localisation, must have local regulatory understanding, need local partner</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₹7.5Cr ARR (₹1M USD), Series B, dedicated international team</w:t>
            </w:r>
          </w:p>
        </w:tc>
        <w:tc>
          <w:tcPr>
            <w:tcW w:type="dxa" w:w="25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Year 5–6</w:t>
            </w:r>
          </w:p>
        </w:tc>
      </w:tr>
      <w:tr>
        <w:tc>
          <w:tcPr>
            <w:tcW w:type="dxa" w:w="16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Middle East (UAE, Saudi)</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Different compliance requirements, Arabic-ready product, local entity required</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₹25Cr ARR ($3M USD), proven multi-language product</w:t>
            </w:r>
          </w:p>
        </w:tc>
        <w:tc>
          <w:tcPr>
            <w:tcW w:type="dxa" w:w="25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Year 6–7</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Global (Europe, US)</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Requires US or EU entity, GDPR compliance, totally different sales cycle</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Series C+ stage, dedicated regional leadership</w:t>
            </w:r>
          </w:p>
        </w:tc>
        <w:tc>
          <w:tcPr>
            <w:tcW w:type="dxa" w:w="25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Year 8–10</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5.2 — International Business Structure</w:t>
      </w:r>
    </w:p>
    <w:p>
      <w:pPr>
        <w:spacing w:after="160" w:before="0"/>
        <w:jc w:val="left"/>
      </w:pPr>
      <w:r>
        <w:rPr>
          <w:rFonts w:ascii="Calibri" w:cs="Calibri" w:eastAsia="Calibri" w:hAnsi="Calibri"/>
          <w:b w:val="false"/>
          <w:bCs w:val="false"/>
          <w:i w:val="false"/>
          <w:iCs w:val="false"/>
          <w:color w:val="1F2937"/>
          <w:sz w:val="22"/>
          <w:szCs w:val="22"/>
        </w:rPr>
        <w:t xml:space="preserve">When you expand internationally, you cannot simply operate as AutoEra AI India across borders. Each jurisdiction requires its own legal entity, tax registration, employment law compliance, and banking relationships.</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c>
          <w:tcPr>
            <w:tcW w:type="dxa" w:w="16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Jurisdiction</w:t>
            </w:r>
          </w:p>
        </w:tc>
        <w:tc>
          <w:tcPr>
            <w:tcW w:type="dxa" w:w="2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Entity Type</w:t>
            </w:r>
          </w:p>
        </w:tc>
        <w:tc>
          <w:tcPr>
            <w:tcW w:type="dxa" w:w="28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Why</w:t>
            </w:r>
          </w:p>
        </w:tc>
        <w:tc>
          <w:tcPr>
            <w:tcW w:type="dxa" w:w="25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Tax Consideration</w:t>
            </w:r>
          </w:p>
        </w:tc>
      </w:tr>
      <w:tr>
        <w:tc>
          <w:tcPr>
            <w:tcW w:type="dxa" w:w="16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India (headquarters)</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Private Limited Company</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All product development, IP, and primary operations</w:t>
            </w:r>
          </w:p>
        </w:tc>
        <w:tc>
          <w:tcPr>
            <w:tcW w:type="dxa" w:w="25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All IP created in India — ensure IP ownership is clearly in company name. R&amp;D deductions available.</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USA (for US investors / customers)</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Delaware C-Corporation</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Required by most US VCs. Standard for global SaaS companies.</w:t>
            </w:r>
          </w:p>
        </w:tc>
        <w:tc>
          <w:tcPr>
            <w:tcW w:type="dxa" w:w="25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Transfer pricing rules apply — services provided from India to US entity must be priced at arm's length. Engage Big 4 tax advisor before setup.</w:t>
            </w:r>
          </w:p>
        </w:tc>
      </w:tr>
      <w:tr>
        <w:tc>
          <w:tcPr>
            <w:tcW w:type="dxa" w:w="16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UAE / DIFC (Middle East)</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DIFC or Mainland LLC</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Tax-efficient for Middle East operations. 0% corporate tax in DIFC for financial services.</w:t>
            </w:r>
          </w:p>
        </w:tc>
        <w:tc>
          <w:tcPr>
            <w:tcW w:type="dxa" w:w="25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UAE introduced 9% corporate tax from 2023. DIFC maintains 0% — understand which applies to your activity.</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Singapore (SEA hub)</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Pte. Ltd (Private Limited)</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Southeast Asia regional headquarters. Strong legal system, pro-business environment.</w:t>
            </w:r>
          </w:p>
        </w:tc>
        <w:tc>
          <w:tcPr>
            <w:tcW w:type="dxa" w:w="25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Singapore corporate tax: 17% (reduced via startup exemptions). Withholding tax on payments to India must be considered.</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5.3 — Multi-Currency Financial Management</w:t>
      </w:r>
    </w:p>
    <w:p>
      <w:pPr>
        <w:spacing w:after="160" w:before="0"/>
        <w:jc w:val="left"/>
      </w:pPr>
      <w:r>
        <w:rPr>
          <w:rFonts w:ascii="Calibri" w:cs="Calibri" w:eastAsia="Calibri" w:hAnsi="Calibri"/>
          <w:b w:val="false"/>
          <w:bCs w:val="false"/>
          <w:i w:val="false"/>
          <w:iCs w:val="false"/>
          <w:color w:val="1F2937"/>
          <w:sz w:val="22"/>
          <w:szCs w:val="22"/>
        </w:rPr>
        <w:t xml:space="preserve">When you operate across currencies, financial management becomes significantly more complex. Revenue in USD, expenses in INR, and investors in GBP creates foreign exchange risk that can destroy profitability even when the business is growing.</w:t>
      </w:r>
    </w:p>
    <w:p>
      <w:pPr>
        <w:spacing w:after="80" w:before="0"/>
      </w:pPr>
      <w:r>
        <w:rPr>
          <w:rFonts w:ascii="Calibri" w:cs="Calibri" w:eastAsia="Calibri" w:hAnsi="Calibri"/>
          <w:b w:val="false"/>
          <w:bCs w:val="false"/>
          <w:i w:val="false"/>
          <w:iCs w:val="false"/>
          <w:color w:val="1F2937"/>
          <w:sz w:val="22"/>
          <w:szCs w:val="22"/>
        </w:rPr>
        <w:t xml:space="preserve"/>
      </w:r>
    </w:p>
    <w:p>
      <w:pPr>
        <w:pStyle w:val="ListParagraph"/>
        <w:numPr>
          <w:ilvl w:val="0"/>
          <w:numId w:val="2"/>
        </w:numPr>
        <w:spacing w:after="50" w:before="50"/>
      </w:pPr>
      <w:r>
        <w:rPr>
          <w:rFonts w:ascii="Calibri" w:cs="Calibri" w:eastAsia="Calibri" w:hAnsi="Calibri"/>
          <w:b w:val="false"/>
          <w:bCs w:val="false"/>
          <w:i w:val="false"/>
          <w:iCs w:val="false"/>
          <w:color w:val="374151"/>
          <w:sz w:val="21"/>
          <w:szCs w:val="21"/>
        </w:rPr>
        <w:t xml:space="preserve">Natural hedging: where possible, match revenue currency with expense currency. If you have USD revenue, keep USD-denominated expenses (US cloud services, US employees) to reduce forex exposure.</w:t>
      </w:r>
    </w:p>
    <w:p>
      <w:pPr>
        <w:pStyle w:val="ListParagraph"/>
        <w:numPr>
          <w:ilvl w:val="0"/>
          <w:numId w:val="2"/>
        </w:numPr>
        <w:spacing w:after="50" w:before="50"/>
      </w:pPr>
      <w:r>
        <w:rPr>
          <w:rFonts w:ascii="Calibri" w:cs="Calibri" w:eastAsia="Calibri" w:hAnsi="Calibri"/>
          <w:b w:val="false"/>
          <w:bCs w:val="false"/>
          <w:i w:val="false"/>
          <w:iCs w:val="false"/>
          <w:color w:val="374151"/>
          <w:sz w:val="21"/>
          <w:szCs w:val="21"/>
        </w:rPr>
        <w:t xml:space="preserve">Do not speculate on forex. Use forward contracts or options to lock in conversion rates for large expected payments. Engage a specialist treasury management firm once forex exposure exceeds ₹1 Crore.</w:t>
      </w:r>
    </w:p>
    <w:p>
      <w:pPr>
        <w:pStyle w:val="ListParagraph"/>
        <w:numPr>
          <w:ilvl w:val="0"/>
          <w:numId w:val="2"/>
        </w:numPr>
        <w:spacing w:after="50" w:before="50"/>
      </w:pPr>
      <w:r>
        <w:rPr>
          <w:rFonts w:ascii="Calibri" w:cs="Calibri" w:eastAsia="Calibri" w:hAnsi="Calibri"/>
          <w:b w:val="false"/>
          <w:bCs w:val="false"/>
          <w:i w:val="false"/>
          <w:iCs w:val="false"/>
          <w:color w:val="374151"/>
          <w:sz w:val="21"/>
          <w:szCs w:val="21"/>
        </w:rPr>
        <w:t xml:space="preserve">Maintain separate bank accounts per currency. Do not convert all foreign income immediately — allow time for strategic conversion when rates are favourable.</w:t>
      </w:r>
    </w:p>
    <w:p>
      <w:pPr>
        <w:pStyle w:val="ListParagraph"/>
        <w:numPr>
          <w:ilvl w:val="0"/>
          <w:numId w:val="2"/>
        </w:numPr>
        <w:spacing w:after="50" w:before="50"/>
      </w:pPr>
      <w:r>
        <w:rPr>
          <w:rFonts w:ascii="Calibri" w:cs="Calibri" w:eastAsia="Calibri" w:hAnsi="Calibri"/>
          <w:b w:val="false"/>
          <w:bCs w:val="false"/>
          <w:i w:val="false"/>
          <w:iCs w:val="false"/>
          <w:color w:val="374151"/>
          <w:sz w:val="21"/>
          <w:szCs w:val="21"/>
        </w:rPr>
        <w:t xml:space="preserve">Transfer pricing documentation is legally required when transacting between related entities across borders. Failing to maintain arm's-length pricing attracts tax penalties in both countries.</w:t>
      </w:r>
    </w:p>
    <w:p>
      <w:pPr>
        <w:pStyle w:val="ListParagraph"/>
        <w:numPr>
          <w:ilvl w:val="0"/>
          <w:numId w:val="2"/>
        </w:numPr>
        <w:spacing w:after="50" w:before="50"/>
      </w:pPr>
      <w:r>
        <w:rPr>
          <w:rFonts w:ascii="Calibri" w:cs="Calibri" w:eastAsia="Calibri" w:hAnsi="Calibri"/>
          <w:b w:val="false"/>
          <w:bCs w:val="false"/>
          <w:i w:val="false"/>
          <w:iCs w:val="false"/>
          <w:color w:val="374151"/>
          <w:sz w:val="21"/>
          <w:szCs w:val="21"/>
        </w:rPr>
        <w:t xml:space="preserve">Use Wise (formerly TransferWise) or Airwallex for international payments below ₹25L equivalent. Above that threshold, use your bank's forex desk or a specialist broker for better rates.</w:t>
      </w:r>
    </w:p>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40" w:before="0"/>
              <w:jc w:val="center"/>
            </w:pPr>
            <w:r>
              <w:rPr>
                <w:rFonts w:ascii="Calibri" w:cs="Calibri" w:eastAsia="Calibri" w:hAnsi="Calibri"/>
                <w:b/>
                <w:bCs/>
                <w:i w:val="false"/>
                <w:iCs w:val="false"/>
                <w:color w:val="FFFFFF"/>
                <w:sz w:val="26"/>
                <w:szCs w:val="26"/>
              </w:rPr>
              <w:t xml:space="preserve">PART 6</w:t>
            </w:r>
          </w:p>
        </w:tc>
        <w:tc>
          <w:tcPr>
            <w:tcW w:type="dxa" w:w="8260"/>
            <w:tcBorders>
              <w:top w:val="none" w:color="FFFFFF" w:sz="0"/>
              <w:left w:val="none" w:color="FFFFFF" w:sz="0"/>
              <w:bottom w:val="none" w:color="FFFFFF" w:sz="0"/>
              <w:right w:val="none" w:color="FFFFFF" w:sz="0"/>
            </w:tcBorders>
            <w:shd w:fill="0A1628" w:val="clear"/>
            <w:tcMar>
              <w:top w:type="dxa" w:w="60"/>
              <w:left w:type="dxa" w:w="200"/>
              <w:bottom w:type="dxa" w:w="60"/>
              <w:right w:type="dxa" w:w="120"/>
            </w:tcMar>
            <w:vAlign w:val="center"/>
          </w:tcPr>
          <w:p>
            <w:pPr>
              <w:spacing w:after="40" w:before="0"/>
              <w:jc w:val="left"/>
            </w:pPr>
            <w:r>
              <w:rPr>
                <w:rFonts w:ascii="Calibri" w:cs="Calibri" w:eastAsia="Calibri" w:hAnsi="Calibri"/>
                <w:b/>
                <w:bCs/>
                <w:i w:val="false"/>
                <w:iCs w:val="false"/>
                <w:color w:val="FFFFFF"/>
                <w:sz w:val="26"/>
                <w:szCs w:val="26"/>
              </w:rPr>
              <w:t xml:space="preserve">CORPORATE FINANCE</w:t>
            </w:r>
          </w:p>
          <w:p>
            <w:pPr>
              <w:spacing w:after="140" w:before="0"/>
              <w:jc w:val="left"/>
            </w:pPr>
            <w:r>
              <w:rPr>
                <w:rFonts w:ascii="Calibri" w:cs="Calibri" w:eastAsia="Calibri" w:hAnsi="Calibri"/>
                <w:b w:val="false"/>
                <w:bCs w:val="false"/>
                <w:i w:val="false"/>
                <w:iCs w:val="false"/>
                <w:color w:val="AABBCC"/>
                <w:sz w:val="17"/>
                <w:szCs w:val="17"/>
              </w:rPr>
              <w:t xml:space="preserve">Capital allocation, SaaS metrics, unit economics, fundraising, and financial management</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6.1 — SaaS Financial Metrics Masterclass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760"/>
      </w:tblGrid>
      <w:tr>
        <w:tc>
          <w:tcPr>
            <w:tcW w:type="dxa" w:w="20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Metric</w:t>
            </w:r>
          </w:p>
        </w:tc>
        <w:tc>
          <w:tcPr>
            <w:tcW w:type="dxa" w:w="2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Formula</w:t>
            </w:r>
          </w:p>
        </w:tc>
        <w:tc>
          <w:tcPr>
            <w:tcW w:type="dxa" w:w="22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World-Class Benchmark</w:t>
            </w:r>
          </w:p>
        </w:tc>
        <w:tc>
          <w:tcPr>
            <w:tcW w:type="dxa" w:w="27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Why It Matters</w:t>
            </w:r>
          </w:p>
        </w:tc>
      </w:tr>
      <w:tr>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MRR Growth</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(Current MRR − Previous MRR) ÷ Previous MRR</w:t>
            </w:r>
          </w:p>
        </w:tc>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15–25% MoM (early stage)</w:t>
            </w:r>
          </w:p>
        </w:tc>
        <w:tc>
          <w:tcPr>
            <w:tcW w:type="dxa" w:w="27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Compound effect: 20% MoM for 24 months = 79× growth</w:t>
            </w:r>
          </w:p>
        </w:tc>
      </w:tr>
      <w:tr>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Net Revenue Retention (NRR)</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(Starting MRR + Expansion − Churn) ÷ Starting MRR × 100</w:t>
            </w:r>
          </w:p>
        </w:tc>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&gt;120% (best-in-class)</w:t>
            </w:r>
          </w:p>
        </w:tc>
        <w:tc>
          <w:tcPr>
            <w:tcW w:type="dxa" w:w="2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NRR &gt; 100% means existing customers grow revenue without new customers. The compounding engine.</w:t>
            </w:r>
          </w:p>
        </w:tc>
      </w:tr>
      <w:tr>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LTV:CAC Ratio</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Customer Lifetime Value ÷ Customer Acquisition Cost</w:t>
            </w:r>
          </w:p>
        </w:tc>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&gt;5× (excellent), &gt;3× (good), &lt;1× (fix immediately)</w:t>
            </w:r>
          </w:p>
        </w:tc>
        <w:tc>
          <w:tcPr>
            <w:tcW w:type="dxa" w:w="27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If LTV:CAC &lt; 1: you destroy value with every customer acquired. Never scale before fixing this.</w:t>
            </w:r>
          </w:p>
        </w:tc>
      </w:tr>
      <w:tr>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CAC Payback Period</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CAC ÷ Monthly Gross Profit per Customer</w:t>
            </w:r>
          </w:p>
        </w:tc>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&lt; 12 months for SaaS</w:t>
            </w:r>
          </w:p>
        </w:tc>
        <w:tc>
          <w:tcPr>
            <w:tcW w:type="dxa" w:w="2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How long before a customer becomes profitable. Investors want &lt; 18 months at Series A.</w:t>
            </w:r>
          </w:p>
        </w:tc>
      </w:tr>
      <w:tr>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Gross Margin</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(Revenue − COGS) ÷ Revenue</w:t>
            </w:r>
          </w:p>
        </w:tc>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65–80% for SaaS</w:t>
            </w:r>
          </w:p>
        </w:tc>
        <w:tc>
          <w:tcPr>
            <w:tcW w:type="dxa" w:w="27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Determines how much of each revenue rupee is available for investment. Below 60% = economics are broken.</w:t>
            </w:r>
          </w:p>
        </w:tc>
      </w:tr>
      <w:tr>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Rule of 40</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MRR Growth Rate % + EBITDA Margin %</w:t>
            </w:r>
          </w:p>
        </w:tc>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 40 (excellent)</w:t>
            </w:r>
          </w:p>
        </w:tc>
        <w:tc>
          <w:tcPr>
            <w:tcW w:type="dxa" w:w="2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The combined health metric for SaaS. A company growing 50% with −10% EBITDA scores 40. Passes.</w:t>
            </w:r>
          </w:p>
        </w:tc>
      </w:tr>
      <w:tr>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Magic Number</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Net New ARR ÷ Previous Quarter Sales &amp; Marketing Spend</w:t>
            </w:r>
          </w:p>
        </w:tc>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&gt;0.75 (good), &gt;1.0 (excellent)</w:t>
            </w:r>
          </w:p>
        </w:tc>
        <w:tc>
          <w:tcPr>
            <w:tcW w:type="dxa" w:w="27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Measures efficiency of sales &amp; marketing spend in generating new ARR. Below 0.5 = inefficient GTM.</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6.2 — Debt vs Equity: The Capital Structure Decision</w:t>
      </w:r>
    </w:p>
    <w:p>
      <w:pPr>
        <w:spacing w:after="160" w:before="0"/>
        <w:jc w:val="left"/>
      </w:pPr>
      <w:r>
        <w:rPr>
          <w:rFonts w:ascii="Calibri" w:cs="Calibri" w:eastAsia="Calibri" w:hAnsi="Calibri"/>
          <w:b w:val="false"/>
          <w:bCs w:val="false"/>
          <w:i w:val="false"/>
          <w:iCs w:val="false"/>
          <w:color w:val="1F2937"/>
          <w:sz w:val="22"/>
          <w:szCs w:val="22"/>
        </w:rPr>
        <w:t xml:space="preserve">Every time you need capital, you face a choice: raise equity (sell ownership) or take debt (borrow and repay with interest). Each has different implications for control, cost, and flexibility.</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3160"/>
      </w:tblGrid>
      <w:tr>
        <w:tc>
          <w:tcPr>
            <w:tcW w:type="dxa" w:w="16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Factor</w:t>
            </w:r>
          </w:p>
        </w:tc>
        <w:tc>
          <w:tcPr>
            <w:tcW w:type="dxa" w:w="2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Equity (Selling Shares)</w:t>
            </w:r>
          </w:p>
        </w:tc>
        <w:tc>
          <w:tcPr>
            <w:tcW w:type="dxa" w:w="2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Debt (Borrowing Money)</w:t>
            </w:r>
          </w:p>
        </w:tc>
        <w:tc>
          <w:tcPr>
            <w:tcW w:type="dxa" w:w="31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Use Case</w:t>
            </w:r>
          </w:p>
        </w:tc>
      </w:tr>
      <w:tr>
        <w:tc>
          <w:tcPr>
            <w:tcW w:type="dxa" w:w="16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Cost</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Permanent dilution of ownership</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Interest (8–24%/year depending on type)</w:t>
            </w:r>
          </w:p>
        </w:tc>
        <w:tc>
          <w:tcPr>
            <w:tcW w:type="dxa" w:w="3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Equity for growth capital. Debt for bridge or specific asset financing.</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Control</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Investors may require board seats and approval rights</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Lender has no ownership or board rights</w:t>
            </w:r>
          </w:p>
        </w:tc>
        <w:tc>
          <w:tcPr>
            <w:tcW w:type="dxa" w:w="3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Founders who value control should minimise equity raises and prefer debt when viable</w:t>
            </w:r>
          </w:p>
        </w:tc>
      </w:tr>
      <w:tr>
        <w:tc>
          <w:tcPr>
            <w:tcW w:type="dxa" w:w="16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Repayment</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No repayment required — investors get return on exit</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Must repay with interest regardless of performance</w:t>
            </w:r>
          </w:p>
        </w:tc>
        <w:tc>
          <w:tcPr>
            <w:tcW w:type="dxa" w:w="3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Debt is dangerous pre-revenue. Viable post-revenue when cash flow can service payments.</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Risk</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Dilutes founder in a down scenario</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Can trigger default and wind-up if not repaid</w:t>
            </w:r>
          </w:p>
        </w:tc>
        <w:tc>
          <w:tcPr>
            <w:tcW w:type="dxa" w:w="3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Startup pre-PMF: equity only. Post-PMF with steady revenue: venture debt viable.</w:t>
            </w:r>
          </w:p>
        </w:tc>
      </w:tr>
      <w:tr>
        <w:tc>
          <w:tcPr>
            <w:tcW w:type="dxa" w:w="16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Valuation Impact</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Priced equity fixes a valuation — higher in good market, lower in bad</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No valuation required for debt</w:t>
            </w:r>
          </w:p>
        </w:tc>
        <w:tc>
          <w:tcPr>
            <w:tcW w:type="dxa" w:w="3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Avoid equity raises in down markets — use debt bridge to wait for better valuation environment.</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6.3 — The Fundraising Process — End to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CC4500" w:val="clear"/>
            <w:tcMar>
              <w:top w:type="dxa" w:w="120"/>
              <w:left w:type="dxa" w:w="80"/>
              <w:bottom w:type="dxa" w:w="120"/>
              <w:right w:type="dxa" w:w="80"/>
            </w:tcMar>
            <w:vAlign w:val="top"/>
          </w:tcPr>
          <w:p>
            <w:pPr>
              <w:spacing w:after="140" w:before="0"/>
              <w:jc w:val="center"/>
            </w:pPr>
            <w:r>
              <w:rPr>
                <w:rFonts w:ascii="Calibri" w:cs="Calibri" w:eastAsia="Calibri" w:hAnsi="Calibri"/>
                <w:b/>
                <w:bCs/>
                <w:i w:val="false"/>
                <w:iCs w:val="false"/>
                <w:color w:val="FFFFFF"/>
                <w:sz w:val="24"/>
                <w:szCs w:val="24"/>
              </w:rPr>
              <w:t xml:space="preserve">1</w:t>
            </w:r>
          </w:p>
        </w:tc>
        <w:tc>
          <w:tcPr>
            <w:tcW w:type="dxa" w:w="8760"/>
            <w:tcBorders>
              <w:top w:val="single" w:color="D1D5DB" w:sz="4"/>
              <w:left w:val="single" w:color="D1D5DB" w:sz="4"/>
              <w:bottom w:val="single" w:color="D1D5DB" w:sz="4"/>
              <w:right w:val="single" w:color="D1D5DB" w:sz="4"/>
            </w:tcBorders>
            <w:shd w:fill="F4F7FB" w:val="clear"/>
            <w:tcMar>
              <w:top w:type="dxa" w:w="120"/>
              <w:left w:type="dxa" w:w="180"/>
              <w:bottom w:type="dxa" w:w="120"/>
              <w:right w:type="dxa" w:w="120"/>
            </w:tcMar>
          </w:tcPr>
          <w:p>
            <w:pPr>
              <w:spacing w:after="80" w:before="0"/>
              <w:jc w:val="left"/>
            </w:pPr>
            <w:r>
              <w:rPr>
                <w:rFonts w:ascii="Calibri" w:cs="Calibri" w:eastAsia="Calibri" w:hAnsi="Calibri"/>
                <w:b/>
                <w:bCs/>
                <w:i w:val="false"/>
                <w:iCs w:val="false"/>
                <w:color w:val="0A1628"/>
                <w:sz w:val="22"/>
                <w:szCs w:val="22"/>
              </w:rPr>
              <w:t xml:space="preserve">Build the pitch materials (6–8 weeks before approaching investors)</w:t>
            </w:r>
          </w:p>
          <w:p>
            <w:pPr>
              <w:spacing w:after="60" w:before="0"/>
              <w:jc w:val="left"/>
            </w:pPr>
            <w:r>
              <w:rPr>
                <w:rFonts w:ascii="Calibri" w:cs="Calibri" w:eastAsia="Calibri" w:hAnsi="Calibri"/>
                <w:b w:val="false"/>
                <w:bCs w:val="false"/>
                <w:i w:val="false"/>
                <w:iCs w:val="false"/>
                <w:color w:val="374151"/>
                <w:sz w:val="21"/>
                <w:szCs w:val="21"/>
              </w:rPr>
              <w:t xml:space="preserve">One-pager (1 page, email-sendable). Pitch deck (12–15 slides — see template below). Financial model (3-year bottom-up). Due diligence data room (legal docs, contracts, cap table, financials). Demo video (3 minutes maximum).</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CC4500" w:val="clear"/>
            <w:tcMar>
              <w:top w:type="dxa" w:w="120"/>
              <w:left w:type="dxa" w:w="80"/>
              <w:bottom w:type="dxa" w:w="120"/>
              <w:right w:type="dxa" w:w="80"/>
            </w:tcMar>
            <w:vAlign w:val="top"/>
          </w:tcPr>
          <w:p>
            <w:pPr>
              <w:spacing w:after="140" w:before="0"/>
              <w:jc w:val="center"/>
            </w:pPr>
            <w:r>
              <w:rPr>
                <w:rFonts w:ascii="Calibri" w:cs="Calibri" w:eastAsia="Calibri" w:hAnsi="Calibri"/>
                <w:b/>
                <w:bCs/>
                <w:i w:val="false"/>
                <w:iCs w:val="false"/>
                <w:color w:val="FFFFFF"/>
                <w:sz w:val="24"/>
                <w:szCs w:val="24"/>
              </w:rPr>
              <w:t xml:space="preserve">2</w:t>
            </w:r>
          </w:p>
        </w:tc>
        <w:tc>
          <w:tcPr>
            <w:tcW w:type="dxa" w:w="8760"/>
            <w:tcBorders>
              <w:top w:val="single" w:color="D1D5DB" w:sz="4"/>
              <w:left w:val="single" w:color="D1D5DB" w:sz="4"/>
              <w:bottom w:val="single" w:color="D1D5DB" w:sz="4"/>
              <w:right w:val="single" w:color="D1D5DB" w:sz="4"/>
            </w:tcBorders>
            <w:shd w:fill="F4F7FB" w:val="clear"/>
            <w:tcMar>
              <w:top w:type="dxa" w:w="120"/>
              <w:left w:type="dxa" w:w="180"/>
              <w:bottom w:type="dxa" w:w="120"/>
              <w:right w:type="dxa" w:w="120"/>
            </w:tcMar>
          </w:tcPr>
          <w:p>
            <w:pPr>
              <w:spacing w:after="80" w:before="0"/>
              <w:jc w:val="left"/>
            </w:pPr>
            <w:r>
              <w:rPr>
                <w:rFonts w:ascii="Calibri" w:cs="Calibri" w:eastAsia="Calibri" w:hAnsi="Calibri"/>
                <w:b/>
                <w:bCs/>
                <w:i w:val="false"/>
                <w:iCs w:val="false"/>
                <w:color w:val="0A1628"/>
                <w:sz w:val="22"/>
                <w:szCs w:val="22"/>
              </w:rPr>
              <w:t xml:space="preserve">Identify and warm up investors (8–12 weeks before close target)</w:t>
            </w:r>
          </w:p>
          <w:p>
            <w:pPr>
              <w:spacing w:after="60" w:before="0"/>
              <w:jc w:val="left"/>
            </w:pPr>
            <w:r>
              <w:rPr>
                <w:rFonts w:ascii="Calibri" w:cs="Calibri" w:eastAsia="Calibri" w:hAnsi="Calibri"/>
                <w:b w:val="false"/>
                <w:bCs w:val="false"/>
                <w:i w:val="false"/>
                <w:iCs w:val="false"/>
                <w:color w:val="374151"/>
                <w:sz w:val="21"/>
                <w:szCs w:val="21"/>
              </w:rPr>
              <w:t xml:space="preserve">Research: Which VCs have invested in similar companies? Which have portfolio companies you could partner with? Who at that VC would be most aligned? Request warm introductions from your existing investors, advisors, or portfolio companies. Never cold email tier-1 VCs — warm introduction only.</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CC4500" w:val="clear"/>
            <w:tcMar>
              <w:top w:type="dxa" w:w="120"/>
              <w:left w:type="dxa" w:w="80"/>
              <w:bottom w:type="dxa" w:w="120"/>
              <w:right w:type="dxa" w:w="80"/>
            </w:tcMar>
            <w:vAlign w:val="top"/>
          </w:tcPr>
          <w:p>
            <w:pPr>
              <w:spacing w:after="140" w:before="0"/>
              <w:jc w:val="center"/>
            </w:pPr>
            <w:r>
              <w:rPr>
                <w:rFonts w:ascii="Calibri" w:cs="Calibri" w:eastAsia="Calibri" w:hAnsi="Calibri"/>
                <w:b/>
                <w:bCs/>
                <w:i w:val="false"/>
                <w:iCs w:val="false"/>
                <w:color w:val="FFFFFF"/>
                <w:sz w:val="24"/>
                <w:szCs w:val="24"/>
              </w:rPr>
              <w:t xml:space="preserve">3</w:t>
            </w:r>
          </w:p>
        </w:tc>
        <w:tc>
          <w:tcPr>
            <w:tcW w:type="dxa" w:w="8760"/>
            <w:tcBorders>
              <w:top w:val="single" w:color="D1D5DB" w:sz="4"/>
              <w:left w:val="single" w:color="D1D5DB" w:sz="4"/>
              <w:bottom w:val="single" w:color="D1D5DB" w:sz="4"/>
              <w:right w:val="single" w:color="D1D5DB" w:sz="4"/>
            </w:tcBorders>
            <w:shd w:fill="F4F7FB" w:val="clear"/>
            <w:tcMar>
              <w:top w:type="dxa" w:w="120"/>
              <w:left w:type="dxa" w:w="180"/>
              <w:bottom w:type="dxa" w:w="120"/>
              <w:right w:type="dxa" w:w="120"/>
            </w:tcMar>
          </w:tcPr>
          <w:p>
            <w:pPr>
              <w:spacing w:after="80" w:before="0"/>
              <w:jc w:val="left"/>
            </w:pPr>
            <w:r>
              <w:rPr>
                <w:rFonts w:ascii="Calibri" w:cs="Calibri" w:eastAsia="Calibri" w:hAnsi="Calibri"/>
                <w:b/>
                <w:bCs/>
                <w:i w:val="false"/>
                <w:iCs w:val="false"/>
                <w:color w:val="0A1628"/>
                <w:sz w:val="22"/>
                <w:szCs w:val="22"/>
              </w:rPr>
              <w:t xml:space="preserve">Run a process, not an ad hoc search</w:t>
            </w:r>
          </w:p>
          <w:p>
            <w:pPr>
              <w:spacing w:after="60" w:before="0"/>
              <w:jc w:val="left"/>
            </w:pPr>
            <w:r>
              <w:rPr>
                <w:rFonts w:ascii="Calibri" w:cs="Calibri" w:eastAsia="Calibri" w:hAnsi="Calibri"/>
                <w:b w:val="false"/>
                <w:bCs w:val="false"/>
                <w:i w:val="false"/>
                <w:iCs w:val="false"/>
                <w:color w:val="374151"/>
                <w:sz w:val="21"/>
                <w:szCs w:val="21"/>
              </w:rPr>
              <w:t xml:space="preserve">Set a 6-week window for first meetings. Stack all first meetings in the same 2-week period — creates scarcity and FOMO. Lead investor typically drives the process — find your lead first, then fill the round. Never approach investors one at a time sequentially — you lose leverage.</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CC4500" w:val="clear"/>
            <w:tcMar>
              <w:top w:type="dxa" w:w="120"/>
              <w:left w:type="dxa" w:w="80"/>
              <w:bottom w:type="dxa" w:w="120"/>
              <w:right w:type="dxa" w:w="80"/>
            </w:tcMar>
            <w:vAlign w:val="top"/>
          </w:tcPr>
          <w:p>
            <w:pPr>
              <w:spacing w:after="140" w:before="0"/>
              <w:jc w:val="center"/>
            </w:pPr>
            <w:r>
              <w:rPr>
                <w:rFonts w:ascii="Calibri" w:cs="Calibri" w:eastAsia="Calibri" w:hAnsi="Calibri"/>
                <w:b/>
                <w:bCs/>
                <w:i w:val="false"/>
                <w:iCs w:val="false"/>
                <w:color w:val="FFFFFF"/>
                <w:sz w:val="24"/>
                <w:szCs w:val="24"/>
              </w:rPr>
              <w:t xml:space="preserve">4</w:t>
            </w:r>
          </w:p>
        </w:tc>
        <w:tc>
          <w:tcPr>
            <w:tcW w:type="dxa" w:w="8760"/>
            <w:tcBorders>
              <w:top w:val="single" w:color="D1D5DB" w:sz="4"/>
              <w:left w:val="single" w:color="D1D5DB" w:sz="4"/>
              <w:bottom w:val="single" w:color="D1D5DB" w:sz="4"/>
              <w:right w:val="single" w:color="D1D5DB" w:sz="4"/>
            </w:tcBorders>
            <w:shd w:fill="F4F7FB" w:val="clear"/>
            <w:tcMar>
              <w:top w:type="dxa" w:w="120"/>
              <w:left w:type="dxa" w:w="180"/>
              <w:bottom w:type="dxa" w:w="120"/>
              <w:right w:type="dxa" w:w="120"/>
            </w:tcMar>
          </w:tcPr>
          <w:p>
            <w:pPr>
              <w:spacing w:after="80" w:before="0"/>
              <w:jc w:val="left"/>
            </w:pPr>
            <w:r>
              <w:rPr>
                <w:rFonts w:ascii="Calibri" w:cs="Calibri" w:eastAsia="Calibri" w:hAnsi="Calibri"/>
                <w:b/>
                <w:bCs/>
                <w:i w:val="false"/>
                <w:iCs w:val="false"/>
                <w:color w:val="0A1628"/>
                <w:sz w:val="22"/>
                <w:szCs w:val="22"/>
              </w:rPr>
              <w:t xml:space="preserve">First meeting: tell the story, not the features</w:t>
            </w:r>
          </w:p>
          <w:p>
            <w:pPr>
              <w:spacing w:after="60" w:before="0"/>
              <w:jc w:val="left"/>
            </w:pPr>
            <w:r>
              <w:rPr>
                <w:rFonts w:ascii="Calibri" w:cs="Calibri" w:eastAsia="Calibri" w:hAnsi="Calibri"/>
                <w:b w:val="false"/>
                <w:bCs w:val="false"/>
                <w:i w:val="false"/>
                <w:iCs w:val="false"/>
                <w:color w:val="374151"/>
                <w:sz w:val="21"/>
                <w:szCs w:val="21"/>
              </w:rPr>
              <w:t xml:space="preserve">The 20-minute first VC meeting is about: Is this a large market? Is this the right team? Is there early evidence of product-market fit? Do I like and trust this founder? The product features come later. Lead with the problem, the market size, the traction, and the team.</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CC4500" w:val="clear"/>
            <w:tcMar>
              <w:top w:type="dxa" w:w="120"/>
              <w:left w:type="dxa" w:w="80"/>
              <w:bottom w:type="dxa" w:w="120"/>
              <w:right w:type="dxa" w:w="80"/>
            </w:tcMar>
            <w:vAlign w:val="top"/>
          </w:tcPr>
          <w:p>
            <w:pPr>
              <w:spacing w:after="140" w:before="0"/>
              <w:jc w:val="center"/>
            </w:pPr>
            <w:r>
              <w:rPr>
                <w:rFonts w:ascii="Calibri" w:cs="Calibri" w:eastAsia="Calibri" w:hAnsi="Calibri"/>
                <w:b/>
                <w:bCs/>
                <w:i w:val="false"/>
                <w:iCs w:val="false"/>
                <w:color w:val="FFFFFF"/>
                <w:sz w:val="24"/>
                <w:szCs w:val="24"/>
              </w:rPr>
              <w:t xml:space="preserve">5</w:t>
            </w:r>
          </w:p>
        </w:tc>
        <w:tc>
          <w:tcPr>
            <w:tcW w:type="dxa" w:w="8760"/>
            <w:tcBorders>
              <w:top w:val="single" w:color="D1D5DB" w:sz="4"/>
              <w:left w:val="single" w:color="D1D5DB" w:sz="4"/>
              <w:bottom w:val="single" w:color="D1D5DB" w:sz="4"/>
              <w:right w:val="single" w:color="D1D5DB" w:sz="4"/>
            </w:tcBorders>
            <w:shd w:fill="F4F7FB" w:val="clear"/>
            <w:tcMar>
              <w:top w:type="dxa" w:w="120"/>
              <w:left w:type="dxa" w:w="180"/>
              <w:bottom w:type="dxa" w:w="120"/>
              <w:right w:type="dxa" w:w="120"/>
            </w:tcMar>
          </w:tcPr>
          <w:p>
            <w:pPr>
              <w:spacing w:after="80" w:before="0"/>
              <w:jc w:val="left"/>
            </w:pPr>
            <w:r>
              <w:rPr>
                <w:rFonts w:ascii="Calibri" w:cs="Calibri" w:eastAsia="Calibri" w:hAnsi="Calibri"/>
                <w:b/>
                <w:bCs/>
                <w:i w:val="false"/>
                <w:iCs w:val="false"/>
                <w:color w:val="0A1628"/>
                <w:sz w:val="22"/>
                <w:szCs w:val="22"/>
              </w:rPr>
              <w:t xml:space="preserve">Due diligence: be prepared for depth</w:t>
            </w:r>
          </w:p>
          <w:p>
            <w:pPr>
              <w:spacing w:after="60" w:before="0"/>
              <w:jc w:val="left"/>
            </w:pPr>
            <w:r>
              <w:rPr>
                <w:rFonts w:ascii="Calibri" w:cs="Calibri" w:eastAsia="Calibri" w:hAnsi="Calibri"/>
                <w:b w:val="false"/>
                <w:bCs w:val="false"/>
                <w:i w:val="false"/>
                <w:iCs w:val="false"/>
                <w:color w:val="374151"/>
                <w:sz w:val="21"/>
                <w:szCs w:val="21"/>
              </w:rPr>
              <w:t xml:space="preserve">Tier-1 investors will verify every claim. They will talk to customers, check MRR in your bank statements, verify the cap table, check the technology, review employment contracts. Prepare the data room before the process starts — DD surprises are deal-killers.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CC4500" w:val="clear"/>
            <w:tcMar>
              <w:top w:type="dxa" w:w="120"/>
              <w:left w:type="dxa" w:w="80"/>
              <w:bottom w:type="dxa" w:w="120"/>
              <w:right w:type="dxa" w:w="80"/>
            </w:tcMar>
            <w:vAlign w:val="top"/>
          </w:tcPr>
          <w:p>
            <w:pPr>
              <w:spacing w:after="140" w:before="0"/>
              <w:jc w:val="center"/>
            </w:pPr>
            <w:r>
              <w:rPr>
                <w:rFonts w:ascii="Calibri" w:cs="Calibri" w:eastAsia="Calibri" w:hAnsi="Calibri"/>
                <w:b/>
                <w:bCs/>
                <w:i w:val="false"/>
                <w:iCs w:val="false"/>
                <w:color w:val="FFFFFF"/>
                <w:sz w:val="24"/>
                <w:szCs w:val="24"/>
              </w:rPr>
              <w:t xml:space="preserve">6</w:t>
            </w:r>
          </w:p>
        </w:tc>
        <w:tc>
          <w:tcPr>
            <w:tcW w:type="dxa" w:w="8760"/>
            <w:tcBorders>
              <w:top w:val="single" w:color="D1D5DB" w:sz="4"/>
              <w:left w:val="single" w:color="D1D5DB" w:sz="4"/>
              <w:bottom w:val="single" w:color="D1D5DB" w:sz="4"/>
              <w:right w:val="single" w:color="D1D5DB" w:sz="4"/>
            </w:tcBorders>
            <w:shd w:fill="F4F7FB" w:val="clear"/>
            <w:tcMar>
              <w:top w:type="dxa" w:w="120"/>
              <w:left w:type="dxa" w:w="180"/>
              <w:bottom w:type="dxa" w:w="120"/>
              <w:right w:type="dxa" w:w="120"/>
            </w:tcMar>
          </w:tcPr>
          <w:p>
            <w:pPr>
              <w:spacing w:after="80" w:before="0"/>
              <w:jc w:val="left"/>
            </w:pPr>
            <w:r>
              <w:rPr>
                <w:rFonts w:ascii="Calibri" w:cs="Calibri" w:eastAsia="Calibri" w:hAnsi="Calibri"/>
                <w:b/>
                <w:bCs/>
                <w:i w:val="false"/>
                <w:iCs w:val="false"/>
                <w:color w:val="0A1628"/>
                <w:sz w:val="22"/>
                <w:szCs w:val="22"/>
              </w:rPr>
              <w:t xml:space="preserve">Term sheet, negotiation, and close</w:t>
            </w:r>
          </w:p>
          <w:p>
            <w:pPr>
              <w:spacing w:after="60" w:before="0"/>
              <w:jc w:val="left"/>
            </w:pPr>
            <w:r>
              <w:rPr>
                <w:rFonts w:ascii="Calibri" w:cs="Calibri" w:eastAsia="Calibri" w:hAnsi="Calibri"/>
                <w:b w:val="false"/>
                <w:bCs w:val="false"/>
                <w:i w:val="false"/>
                <w:iCs w:val="false"/>
                <w:color w:val="374151"/>
                <w:sz w:val="21"/>
                <w:szCs w:val="21"/>
              </w:rPr>
              <w:t xml:space="preserve">Receive term sheet. Review with a startup-experienced lawyer — not a general corporate lawyer. Understand every clause. Negotiate the 3–5 most important terms: valuation, board composition, liquidation preference, information rights, and anti-dilution. Sign. Receive funds. Communicate to team immediately.</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40" w:before="0"/>
              <w:jc w:val="center"/>
            </w:pPr>
            <w:r>
              <w:rPr>
                <w:rFonts w:ascii="Calibri" w:cs="Calibri" w:eastAsia="Calibri" w:hAnsi="Calibri"/>
                <w:b/>
                <w:bCs/>
                <w:i w:val="false"/>
                <w:iCs w:val="false"/>
                <w:color w:val="FFFFFF"/>
                <w:sz w:val="26"/>
                <w:szCs w:val="26"/>
              </w:rPr>
              <w:t xml:space="preserve">PART 7</w:t>
            </w:r>
          </w:p>
        </w:tc>
        <w:tc>
          <w:tcPr>
            <w:tcW w:type="dxa" w:w="8260"/>
            <w:tcBorders>
              <w:top w:val="none" w:color="FFFFFF" w:sz="0"/>
              <w:left w:val="none" w:color="FFFFFF" w:sz="0"/>
              <w:bottom w:val="none" w:color="FFFFFF" w:sz="0"/>
              <w:right w:val="none" w:color="FFFFFF" w:sz="0"/>
            </w:tcBorders>
            <w:shd w:fill="0A1628" w:val="clear"/>
            <w:tcMar>
              <w:top w:type="dxa" w:w="60"/>
              <w:left w:type="dxa" w:w="200"/>
              <w:bottom w:type="dxa" w:w="60"/>
              <w:right w:type="dxa" w:w="120"/>
            </w:tcMar>
            <w:vAlign w:val="center"/>
          </w:tcPr>
          <w:p>
            <w:pPr>
              <w:spacing w:after="40" w:before="0"/>
              <w:jc w:val="left"/>
            </w:pPr>
            <w:r>
              <w:rPr>
                <w:rFonts w:ascii="Calibri" w:cs="Calibri" w:eastAsia="Calibri" w:hAnsi="Calibri"/>
                <w:b/>
                <w:bCs/>
                <w:i w:val="false"/>
                <w:iCs w:val="false"/>
                <w:color w:val="FFFFFF"/>
                <w:sz w:val="26"/>
                <w:szCs w:val="26"/>
              </w:rPr>
              <w:t xml:space="preserve">INVESTOR RELATIONS</w:t>
            </w:r>
          </w:p>
          <w:p>
            <w:pPr>
              <w:spacing w:after="140" w:before="0"/>
              <w:jc w:val="left"/>
            </w:pPr>
            <w:r>
              <w:rPr>
                <w:rFonts w:ascii="Calibri" w:cs="Calibri" w:eastAsia="Calibri" w:hAnsi="Calibri"/>
                <w:b w:val="false"/>
                <w:bCs w:val="false"/>
                <w:i w:val="false"/>
                <w:iCs w:val="false"/>
                <w:color w:val="AABBCC"/>
                <w:sz w:val="17"/>
                <w:szCs w:val="17"/>
              </w:rPr>
              <w:t xml:space="preserve">Working with angels, VCs, family offices, and your board of directors</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7.1 — The 12-Slide Investor Pitch Deck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3160"/>
      </w:tblGrid>
      <w:tr>
        <w:tc>
          <w:tcPr>
            <w:tcW w:type="dxa" w:w="1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Slide</w:t>
            </w:r>
          </w:p>
        </w:tc>
        <w:tc>
          <w:tcPr>
            <w:tcW w:type="dxa" w:w="2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Content</w:t>
            </w:r>
          </w:p>
        </w:tc>
        <w:tc>
          <w:tcPr>
            <w:tcW w:type="dxa" w:w="2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What Investors Ask</w:t>
            </w:r>
          </w:p>
        </w:tc>
        <w:tc>
          <w:tcPr>
            <w:tcW w:type="dxa" w:w="31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Common Mistake</w:t>
            </w:r>
          </w:p>
        </w:tc>
      </w:tr>
      <w:tr>
        <w:tc>
          <w:tcPr>
            <w:tcW w:type="dxa" w:w="1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 Title</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Company name, logo, tagline, and contact details</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Nothing yet — they are forming first impressions</w:t>
            </w:r>
          </w:p>
        </w:tc>
        <w:tc>
          <w:tcPr>
            <w:tcW w:type="dxa" w:w="3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Overly complex design. Simple, clean, confident is better.</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2. Problem</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The customer's pain in vivid, specific, quantified terms — not features</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Is this a real problem? Is it painful enough to pay to solve?</w:t>
            </w:r>
          </w:p>
        </w:tc>
        <w:tc>
          <w:tcPr>
            <w:tcW w:type="dxa" w:w="3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Describing the problem from the solution backward. Start from customer's world, not your product.</w:t>
            </w:r>
          </w:p>
        </w:tc>
      </w:tr>
      <w:tr>
        <w:tc>
          <w:tcPr>
            <w:tcW w:type="dxa" w:w="1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3. Solution</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What you have built and how it solves the problem — with demo or screenshots</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Does this actually solve the problem? Is it better than existing alternatives?</w:t>
            </w:r>
          </w:p>
        </w:tc>
        <w:tc>
          <w:tcPr>
            <w:tcW w:type="dxa" w:w="3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Feature list instead of value story. Show the transformation, not the feature.</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4. Market Size</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TAM / SAM / SOM with credible, bottoms-up calculation</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Is this a billion-dollar market? Can this company become very large?</w:t>
            </w:r>
          </w:p>
        </w:tc>
        <w:tc>
          <w:tcPr>
            <w:tcW w:type="dxa" w:w="3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Using Gartner TAM numbers without explaining how you calculated your specific SAM/SOM.</w:t>
            </w:r>
          </w:p>
        </w:tc>
      </w:tr>
      <w:tr>
        <w:tc>
          <w:tcPr>
            <w:tcW w:type="dxa" w:w="1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5. Business Model</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How you make money, pricing, and revenue streams</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Is the model sustainable? What are the unit economics?</w:t>
            </w:r>
          </w:p>
        </w:tc>
        <w:tc>
          <w:tcPr>
            <w:tcW w:type="dxa" w:w="3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Listing revenue streams without showing the economics of each</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6. Traction</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The most important slide — real evidence of PMF: MRR, growth, customers, NPS, retention</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Is this working? Are real people paying for this?</w:t>
            </w:r>
          </w:p>
        </w:tc>
        <w:tc>
          <w:tcPr>
            <w:tcW w:type="dxa" w:w="3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Vanity metrics (app downloads, social followers). Only show revenue and retention.</w:t>
            </w:r>
          </w:p>
        </w:tc>
      </w:tr>
      <w:tr>
        <w:tc>
          <w:tcPr>
            <w:tcW w:type="dxa" w:w="1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7. Go-to-Market</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How you acquire customers — channels, cost, velocity</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Can this team actually reach the market? Is CAC realistic?</w:t>
            </w:r>
          </w:p>
        </w:tc>
        <w:tc>
          <w:tcPr>
            <w:tcW w:type="dxa" w:w="3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Saying 'we will use LinkedIn and referrals' without a specific, quantified plan</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8. Competition</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Honest competitive landscape — who else solves this? What is your unfair advantage?</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Is there a genuine moat? Or will this be replicated by a well-funded competitor?</w:t>
            </w:r>
          </w:p>
        </w:tc>
        <w:tc>
          <w:tcPr>
            <w:tcW w:type="dxa" w:w="3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Claiming no competition. Every good idea has competition. Hiding it destroys credibility.</w:t>
            </w:r>
          </w:p>
        </w:tc>
      </w:tr>
      <w:tr>
        <w:tc>
          <w:tcPr>
            <w:tcW w:type="dxa" w:w="1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9. Technology / Product</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What you have built, the roadmap, and the technical moat</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Is the technology defensible? How long to replicate?</w:t>
            </w:r>
          </w:p>
        </w:tc>
        <w:tc>
          <w:tcPr>
            <w:tcW w:type="dxa" w:w="3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Too much technical detail. This is a business meeting, not a code review.</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10. Team</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The people building this and why they are uniquely positioned to win</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Would I bet ₹5 Crore on this team?</w:t>
            </w:r>
          </w:p>
        </w:tc>
        <w:tc>
          <w:tcPr>
            <w:tcW w:type="dxa" w:w="3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Listing credentials without explaining why this team wins THIS specific market</w:t>
            </w:r>
          </w:p>
        </w:tc>
      </w:tr>
      <w:tr>
        <w:tc>
          <w:tcPr>
            <w:tcW w:type="dxa" w:w="1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11. Financials</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Revenue history, 3-year projection, burn rate, and use of funds</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Are the projections credible? What is the path to profitability?</w:t>
            </w:r>
          </w:p>
        </w:tc>
        <w:tc>
          <w:tcPr>
            <w:tcW w:type="dxa" w:w="3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Bottom-up financial model presented as one revenue line. Show the assumptions.</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12. The Ask</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Exactly how much you are raising, the round size, and what you will do with it</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Why this amount? What milestones does this get you to?</w:t>
            </w:r>
          </w:p>
        </w:tc>
        <w:tc>
          <w:tcPr>
            <w:tcW w:type="dxa" w:w="3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Vague use of funds. 'Product development and marketing' is not a use of funds.</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7.2 — Board Management: The Governance Skill No One Teaches Founders</w:t>
      </w:r>
    </w:p>
    <w:p>
      <w:pPr>
        <w:spacing w:after="160" w:before="0"/>
        <w:jc w:val="left"/>
      </w:pPr>
      <w:r>
        <w:rPr>
          <w:rFonts w:ascii="Calibri" w:cs="Calibri" w:eastAsia="Calibri" w:hAnsi="Calibri"/>
          <w:b w:val="false"/>
          <w:bCs w:val="false"/>
          <w:i w:val="false"/>
          <w:iCs w:val="false"/>
          <w:color w:val="1F2937"/>
          <w:sz w:val="22"/>
          <w:szCs w:val="22"/>
        </w:rPr>
        <w:t xml:space="preserve">A well-managed board is one of the most powerful resources a startup has. A poorly managed board is one of the most dangerous forces working against the founder. The difference is almost entirely determined by how the founder runs the board relationship.</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F4F7FB" w:val="clear"/>
            <w:tcMar>
              <w:top w:type="dxa" w:w="90"/>
              <w:left w:type="dxa" w:w="120"/>
              <w:bottom w:type="dxa" w:w="90"/>
              <w:right w:type="dxa" w:w="80"/>
            </w:tcMar>
          </w:tcPr>
          <w:p>
            <w:pPr>
              <w:spacing w:after="140" w:before="0"/>
              <w:jc w:val="left"/>
            </w:pPr>
            <w:r>
              <w:rPr>
                <w:rFonts w:ascii="Calibri" w:cs="Calibri" w:eastAsia="Calibri" w:hAnsi="Calibri"/>
                <w:b/>
                <w:bCs/>
                <w:i w:val="false"/>
                <w:iCs w:val="false"/>
                <w:color w:val="1A3A5C"/>
                <w:sz w:val="20"/>
                <w:szCs w:val="20"/>
              </w:rPr>
              <w:t xml:space="preserve">Communicate before the meeting, not during it</w:t>
            </w:r>
          </w:p>
        </w:tc>
        <w:tc>
          <w:tcPr>
            <w:tcW w:type="dxa" w:w="6560"/>
            <w:tcBorders>
              <w:top w:val="single" w:color="D1D5DB" w:sz="4"/>
              <w:left w:val="single" w:color="D1D5DB" w:sz="4"/>
              <w:bottom w:val="single" w:color="D1D5DB" w:sz="4"/>
              <w:right w:val="single" w:color="D1D5DB" w:sz="4"/>
            </w:tcBorders>
            <w:shd w:fill="F4F7FB" w:val="clear"/>
            <w:tcMar>
              <w:top w:type="dxa" w:w="90"/>
              <w:left w:type="dxa" w:w="120"/>
              <w:bottom w:type="dxa" w:w="90"/>
              <w:right w:type="dxa" w:w="80"/>
            </w:tcMar>
          </w:tcPr>
          <w:p>
            <w:pPr>
              <w:spacing w:after="140" w:before="0"/>
              <w:jc w:val="left"/>
            </w:pPr>
            <w:r>
              <w:rPr>
                <w:rFonts w:ascii="Calibri" w:cs="Calibri" w:eastAsia="Calibri" w:hAnsi="Calibri"/>
                <w:b w:val="false"/>
                <w:bCs w:val="false"/>
                <w:i w:val="false"/>
                <w:iCs w:val="false"/>
                <w:color w:val="374151"/>
                <w:sz w:val="20"/>
                <w:szCs w:val="20"/>
              </w:rPr>
              <w:t xml:space="preserve">Great board meetings have no surprises. Every board member should already know the key information before they walk in. The meeting is for decisions and strategic discussion — not information transfer. Send your board pack 48 hours in advance. Call key board members 24 hours before to discuss any sensitive issues privately.</w:t>
            </w:r>
          </w:p>
        </w:tc>
      </w:tr>
      <w:tr>
        <w:tc>
          <w:tcPr>
            <w:tcW w:type="dxa" w:w="280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80"/>
            </w:tcMar>
          </w:tcPr>
          <w:p>
            <w:pPr>
              <w:spacing w:after="140" w:before="0"/>
              <w:jc w:val="left"/>
            </w:pPr>
            <w:r>
              <w:rPr>
                <w:rFonts w:ascii="Calibri" w:cs="Calibri" w:eastAsia="Calibri" w:hAnsi="Calibri"/>
                <w:b/>
                <w:bCs/>
                <w:i w:val="false"/>
                <w:iCs w:val="false"/>
                <w:color w:val="1A3A5C"/>
                <w:sz w:val="20"/>
                <w:szCs w:val="20"/>
              </w:rPr>
              <w:t xml:space="preserve">Own the agenda</w:t>
            </w:r>
          </w:p>
        </w:tc>
        <w:tc>
          <w:tcPr>
            <w:tcW w:type="dxa" w:w="656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80"/>
            </w:tcMar>
          </w:tcPr>
          <w:p>
            <w:pPr>
              <w:spacing w:after="140" w:before="0"/>
              <w:jc w:val="left"/>
            </w:pPr>
            <w:r>
              <w:rPr>
                <w:rFonts w:ascii="Calibri" w:cs="Calibri" w:eastAsia="Calibri" w:hAnsi="Calibri"/>
                <w:b w:val="false"/>
                <w:bCs w:val="false"/>
                <w:i w:val="false"/>
                <w:iCs w:val="false"/>
                <w:color w:val="374151"/>
                <w:sz w:val="20"/>
                <w:szCs w:val="20"/>
              </w:rPr>
              <w:t xml:space="preserve">The founder sets the agenda. Board members do not drive the agenda — you do. Structure: 30% on the past (what happened and why), 40% on the future (what are you doing next and why), 30% on decisions (what do you need from the board today). Never let a board meeting become a performance review of the founder.</w:t>
            </w:r>
          </w:p>
        </w:tc>
      </w:tr>
      <w:tr>
        <w:tc>
          <w:tcPr>
            <w:tcW w:type="dxa" w:w="2800"/>
            <w:tcBorders>
              <w:top w:val="single" w:color="D1D5DB" w:sz="4"/>
              <w:left w:val="single" w:color="D1D5DB" w:sz="4"/>
              <w:bottom w:val="single" w:color="D1D5DB" w:sz="4"/>
              <w:right w:val="single" w:color="D1D5DB" w:sz="4"/>
            </w:tcBorders>
            <w:shd w:fill="F4F7FB" w:val="clear"/>
            <w:tcMar>
              <w:top w:type="dxa" w:w="90"/>
              <w:left w:type="dxa" w:w="120"/>
              <w:bottom w:type="dxa" w:w="90"/>
              <w:right w:type="dxa" w:w="80"/>
            </w:tcMar>
          </w:tcPr>
          <w:p>
            <w:pPr>
              <w:spacing w:after="140" w:before="0"/>
              <w:jc w:val="left"/>
            </w:pPr>
            <w:r>
              <w:rPr>
                <w:rFonts w:ascii="Calibri" w:cs="Calibri" w:eastAsia="Calibri" w:hAnsi="Calibri"/>
                <w:b/>
                <w:bCs/>
                <w:i w:val="false"/>
                <w:iCs w:val="false"/>
                <w:color w:val="1A3A5C"/>
                <w:sz w:val="20"/>
                <w:szCs w:val="20"/>
              </w:rPr>
              <w:t xml:space="preserve">Use the board for what they are actually good at</w:t>
            </w:r>
          </w:p>
        </w:tc>
        <w:tc>
          <w:tcPr>
            <w:tcW w:type="dxa" w:w="6560"/>
            <w:tcBorders>
              <w:top w:val="single" w:color="D1D5DB" w:sz="4"/>
              <w:left w:val="single" w:color="D1D5DB" w:sz="4"/>
              <w:bottom w:val="single" w:color="D1D5DB" w:sz="4"/>
              <w:right w:val="single" w:color="D1D5DB" w:sz="4"/>
            </w:tcBorders>
            <w:shd w:fill="F4F7FB" w:val="clear"/>
            <w:tcMar>
              <w:top w:type="dxa" w:w="90"/>
              <w:left w:type="dxa" w:w="120"/>
              <w:bottom w:type="dxa" w:w="90"/>
              <w:right w:type="dxa" w:w="80"/>
            </w:tcMar>
          </w:tcPr>
          <w:p>
            <w:pPr>
              <w:spacing w:after="140" w:before="0"/>
              <w:jc w:val="left"/>
            </w:pPr>
            <w:r>
              <w:rPr>
                <w:rFonts w:ascii="Calibri" w:cs="Calibri" w:eastAsia="Calibri" w:hAnsi="Calibri"/>
                <w:b w:val="false"/>
                <w:bCs w:val="false"/>
                <w:i w:val="false"/>
                <w:iCs w:val="false"/>
                <w:color w:val="374151"/>
                <w:sz w:val="20"/>
                <w:szCs w:val="20"/>
              </w:rPr>
              <w:t xml:space="preserve">Board members are good at: opening their network, reviewing term sheets, hiring feedback for C-suite roles, regulatory introductions, and strategic pattern-matching from other companies they have seen. They are not good at: operational decisions, product design, day-to-day management. Use them correctly.</w:t>
            </w:r>
          </w:p>
        </w:tc>
      </w:tr>
      <w:tr>
        <w:tc>
          <w:tcPr>
            <w:tcW w:type="dxa" w:w="280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80"/>
            </w:tcMar>
          </w:tcPr>
          <w:p>
            <w:pPr>
              <w:spacing w:after="140" w:before="0"/>
              <w:jc w:val="left"/>
            </w:pPr>
            <w:r>
              <w:rPr>
                <w:rFonts w:ascii="Calibri" w:cs="Calibri" w:eastAsia="Calibri" w:hAnsi="Calibri"/>
                <w:b/>
                <w:bCs/>
                <w:i w:val="false"/>
                <w:iCs w:val="false"/>
                <w:color w:val="1A3A5C"/>
                <w:sz w:val="20"/>
                <w:szCs w:val="20"/>
              </w:rPr>
              <w:t xml:space="preserve">Bad news travels fast, good news travels faster</w:t>
            </w:r>
          </w:p>
        </w:tc>
        <w:tc>
          <w:tcPr>
            <w:tcW w:type="dxa" w:w="656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80"/>
            </w:tcMar>
          </w:tcPr>
          <w:p>
            <w:pPr>
              <w:spacing w:after="140" w:before="0"/>
              <w:jc w:val="left"/>
            </w:pPr>
            <w:r>
              <w:rPr>
                <w:rFonts w:ascii="Calibri" w:cs="Calibri" w:eastAsia="Calibri" w:hAnsi="Calibri"/>
                <w:b w:val="false"/>
                <w:bCs w:val="false"/>
                <w:i w:val="false"/>
                <w:iCs w:val="false"/>
                <w:color w:val="374151"/>
                <w:sz w:val="20"/>
                <w:szCs w:val="20"/>
              </w:rPr>
              <w:t xml:space="preserve">Never let a board member find out bad news from outside the company. Call them the same day you discover a major problem. They will be much more supportive of a founder who calls to say 'we have a problem and here is my plan' than one who hides it until it explodes.</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40" w:before="0"/>
              <w:jc w:val="center"/>
            </w:pPr>
            <w:r>
              <w:rPr>
                <w:rFonts w:ascii="Calibri" w:cs="Calibri" w:eastAsia="Calibri" w:hAnsi="Calibri"/>
                <w:b/>
                <w:bCs/>
                <w:i w:val="false"/>
                <w:iCs w:val="false"/>
                <w:color w:val="FFFFFF"/>
                <w:sz w:val="26"/>
                <w:szCs w:val="26"/>
              </w:rPr>
              <w:t xml:space="preserve">PART 8</w:t>
            </w:r>
          </w:p>
        </w:tc>
        <w:tc>
          <w:tcPr>
            <w:tcW w:type="dxa" w:w="8260"/>
            <w:tcBorders>
              <w:top w:val="none" w:color="FFFFFF" w:sz="0"/>
              <w:left w:val="none" w:color="FFFFFF" w:sz="0"/>
              <w:bottom w:val="none" w:color="FFFFFF" w:sz="0"/>
              <w:right w:val="none" w:color="FFFFFF" w:sz="0"/>
            </w:tcBorders>
            <w:shd w:fill="0A1628" w:val="clear"/>
            <w:tcMar>
              <w:top w:type="dxa" w:w="60"/>
              <w:left w:type="dxa" w:w="200"/>
              <w:bottom w:type="dxa" w:w="60"/>
              <w:right w:type="dxa" w:w="120"/>
            </w:tcMar>
            <w:vAlign w:val="center"/>
          </w:tcPr>
          <w:p>
            <w:pPr>
              <w:spacing w:after="40" w:before="0"/>
              <w:jc w:val="left"/>
            </w:pPr>
            <w:r>
              <w:rPr>
                <w:rFonts w:ascii="Calibri" w:cs="Calibri" w:eastAsia="Calibri" w:hAnsi="Calibri"/>
                <w:b/>
                <w:bCs/>
                <w:i w:val="false"/>
                <w:iCs w:val="false"/>
                <w:color w:val="FFFFFF"/>
                <w:sz w:val="26"/>
                <w:szCs w:val="26"/>
              </w:rPr>
              <w:t xml:space="preserve">CORPORATE STRUCTURE</w:t>
            </w:r>
          </w:p>
          <w:p>
            <w:pPr>
              <w:spacing w:after="140" w:before="0"/>
              <w:jc w:val="left"/>
            </w:pPr>
            <w:r>
              <w:rPr>
                <w:rFonts w:ascii="Calibri" w:cs="Calibri" w:eastAsia="Calibri" w:hAnsi="Calibri"/>
                <w:b w:val="false"/>
                <w:bCs w:val="false"/>
                <w:i w:val="false"/>
                <w:iCs w:val="false"/>
                <w:color w:val="AABBCC"/>
                <w:sz w:val="17"/>
                <w:szCs w:val="17"/>
              </w:rPr>
              <w:t xml:space="preserve">Holding companies, subsidiaries, SPVs, equity structures, and governance</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8.1 — How Global Business Groups Are Structured</w:t>
      </w:r>
    </w:p>
    <w:p>
      <w:pPr>
        <w:spacing w:after="160" w:before="0"/>
        <w:jc w:val="left"/>
      </w:pPr>
      <w:r>
        <w:rPr>
          <w:rFonts w:ascii="Calibri" w:cs="Calibri" w:eastAsia="Calibri" w:hAnsi="Calibri"/>
          <w:b w:val="false"/>
          <w:bCs w:val="false"/>
          <w:i w:val="false"/>
          <w:iCs w:val="false"/>
          <w:color w:val="1F2937"/>
          <w:sz w:val="22"/>
          <w:szCs w:val="22"/>
        </w:rPr>
        <w:t xml:space="preserve">As your company grows, you will need to think about corporate structure beyond a single entity. Large Indian business groups (Tata, Reliance, Infosys) and global technology groups (Alphabet, SoftBank) use layered corporate structures to: manage tax efficiency, ring-fence liability between businesses, create independent fundraising capability per subsidiary, and enable clean exits of individual business units.</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Structure</w:t>
            </w:r>
          </w:p>
        </w:tc>
        <w:tc>
          <w:tcPr>
            <w:tcW w:type="dxa" w:w="20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What It Is</w:t>
            </w:r>
          </w:p>
        </w:tc>
        <w:tc>
          <w:tcPr>
            <w:tcW w:type="dxa" w:w="20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When to Use</w:t>
            </w:r>
          </w:p>
        </w:tc>
        <w:tc>
          <w:tcPr>
            <w:tcW w:type="dxa" w:w="37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AutoEra AI Application</w:t>
            </w:r>
          </w:p>
        </w:tc>
      </w:tr>
      <w:tr>
        <w:tc>
          <w:tcPr>
            <w:tcW w:type="dxa" w:w="16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Operating Company</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The main entity that earns revenue, hires employees, and owns IP</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Always — every business starts here</w:t>
            </w:r>
          </w:p>
        </w:tc>
        <w:tc>
          <w:tcPr>
            <w:tcW w:type="dxa" w:w="37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AutoEra AI Solutions Pvt. Ltd. — the primary entity</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Holding Company</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 parent entity that owns shares in operating companies but does not operate directly</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When you have 2+ business units that benefit from separate governance</w:t>
            </w:r>
          </w:p>
        </w:tc>
        <w:tc>
          <w:tcPr>
            <w:tcW w:type="dxa" w:w="3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AutoEra Group Holdings — holds shares in AutoEra AI India, AutoEra SEA, AutoEra MENA</w:t>
            </w:r>
          </w:p>
        </w:tc>
      </w:tr>
      <w:tr>
        <w:tc>
          <w:tcPr>
            <w:tcW w:type="dxa" w:w="16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Subsidiary</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 company owned (majority or wholly) by the holding company — operates independently</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When entering a new geography or launching a separate product line</w:t>
            </w:r>
          </w:p>
        </w:tc>
        <w:tc>
          <w:tcPr>
            <w:tcW w:type="dxa" w:w="37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AutoEra AI Solutions (Singapore) Pte. Ltd. — for Southeast Asia operations</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SPV (Special Purpose Vehicle)</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 standalone entity created for a single specific transaction or asset</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For a specific real estate deal, a joint venture, or a large one-time project</w:t>
            </w:r>
          </w:p>
        </w:tc>
        <w:tc>
          <w:tcPr>
            <w:tcW w:type="dxa" w:w="3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AutoEra-OEM JV SPV — for a joint venture with a specific OEM partner</w:t>
            </w:r>
          </w:p>
        </w:tc>
      </w:tr>
      <w:tr>
        <w:tc>
          <w:tcPr>
            <w:tcW w:type="dxa" w:w="16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ESOP Trust</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 trust that holds shares on behalf of employee beneficiaries</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When you have 50+ employees with ESOP grants</w:t>
            </w:r>
          </w:p>
        </w:tc>
        <w:tc>
          <w:tcPr>
            <w:tcW w:type="dxa" w:w="37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AutoEra AI Employee Welfare Trust — manages all ESOP grants and exercises</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Family Office</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 private wealth management entity that manages a founder's personal assets</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When personal net worth exceeds ₹25–50 Crore — before this, a good private bank suffices</w:t>
            </w:r>
          </w:p>
        </w:tc>
        <w:tc>
          <w:tcPr>
            <w:tcW w:type="dxa" w:w="3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Jecob Family Office — manages personal investments, real estate, philanthropy from Year 8+</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8.2 — Founder Share Structures and Protecting Voting Control</w:t>
      </w:r>
    </w:p>
    <w:p>
      <w:pPr>
        <w:spacing w:after="160" w:before="0"/>
        <w:jc w:val="left"/>
      </w:pPr>
      <w:r>
        <w:rPr>
          <w:rFonts w:ascii="Calibri" w:cs="Calibri" w:eastAsia="Calibri" w:hAnsi="Calibri"/>
          <w:b w:val="false"/>
          <w:bCs w:val="false"/>
          <w:i w:val="false"/>
          <w:iCs w:val="false"/>
          <w:color w:val="1F2937"/>
          <w:sz w:val="22"/>
          <w:szCs w:val="22"/>
        </w:rPr>
        <w:t xml:space="preserve">One of the most important decisions a founder makes is how to structure their shares as the company scales and dilution from fundraising reduces percentage ownership. The goal is to maintain meaningful economic upside AND operational control for as long as necessary to execute the long-term vision.</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Mechanism</w:t>
            </w:r>
          </w:p>
        </w:tc>
        <w:tc>
          <w:tcPr>
            <w:tcW w:type="dxa" w:w="2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How It Works</w:t>
            </w:r>
          </w:p>
        </w:tc>
        <w:tc>
          <w:tcPr>
            <w:tcW w:type="dxa" w:w="2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Pros</w:t>
            </w:r>
          </w:p>
        </w:tc>
        <w:tc>
          <w:tcPr>
            <w:tcW w:type="dxa" w:w="27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Cons / When to Use</w:t>
            </w:r>
          </w:p>
        </w:tc>
      </w:tr>
      <w:tr>
        <w:tc>
          <w:tcPr>
            <w:tcW w:type="dxa" w:w="1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Dual-Class Share Structure</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Class A shares (1 vote each) issued to investors. Class B shares (10 votes each) held by founders.</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Founder retains voting control even at 15–20% economic ownership. Used by Google, Facebook, Snap, Zomato.</w:t>
            </w:r>
          </w:p>
        </w:tc>
        <w:tc>
          <w:tcPr>
            <w:tcW w:type="dxa" w:w="27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Increasingly scrutinised by institutional investors. Some stock exchanges require single-class shares for listing. Use only if you have strong conviction on long-term vision and investors agree.</w:t>
            </w:r>
          </w:p>
        </w:tc>
      </w:tr>
      <w:tr>
        <w:tc>
          <w:tcPr>
            <w:tcW w:type="dxa" w:w="1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Board Composition Control</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Founders negotiate board composition in early rounds — e.g. 2 founder seats, 1 investor seat, 1 independent</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Retains operating control without dual-class structure</w:t>
            </w:r>
          </w:p>
        </w:tc>
        <w:tc>
          <w:tcPr>
            <w:tcW w:type="dxa" w:w="2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Gets harder to maintain as more rounds are raised — each round typically adds one investor board seat</w:t>
            </w:r>
          </w:p>
        </w:tc>
      </w:tr>
      <w:tr>
        <w:tc>
          <w:tcPr>
            <w:tcW w:type="dxa" w:w="1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Veto Rights (Reserved Matters)</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Certain decisions (sale of company, new equity issuance, major acquisitions) require founder consent</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Protects against hostile board actions</w:t>
            </w:r>
          </w:p>
        </w:tc>
        <w:tc>
          <w:tcPr>
            <w:tcW w:type="dxa" w:w="27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Investors may push back on broad veto rights in later rounds</w:t>
            </w:r>
          </w:p>
        </w:tc>
      </w:tr>
      <w:tr>
        <w:tc>
          <w:tcPr>
            <w:tcW w:type="dxa" w:w="1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Founder Vesting (Reverse Vesting)</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Founders vest their own shares over 4 years — protects company if a co-founder leaves early</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Aligns founder commitment with company timeline. Required by most institutional investors.</w:t>
            </w:r>
          </w:p>
        </w:tc>
        <w:tc>
          <w:tcPr>
            <w:tcW w:type="dxa" w:w="2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Founders often resist this — but it is standard and protects all parties including the remaining founder</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40" w:before="0"/>
              <w:jc w:val="center"/>
            </w:pPr>
            <w:r>
              <w:rPr>
                <w:rFonts w:ascii="Calibri" w:cs="Calibri" w:eastAsia="Calibri" w:hAnsi="Calibri"/>
                <w:b/>
                <w:bCs/>
                <w:i w:val="false"/>
                <w:iCs w:val="false"/>
                <w:color w:val="FFFFFF"/>
                <w:sz w:val="26"/>
                <w:szCs w:val="26"/>
              </w:rPr>
              <w:t xml:space="preserve">PART 9</w:t>
            </w:r>
          </w:p>
        </w:tc>
        <w:tc>
          <w:tcPr>
            <w:tcW w:type="dxa" w:w="8260"/>
            <w:tcBorders>
              <w:top w:val="none" w:color="FFFFFF" w:sz="0"/>
              <w:left w:val="none" w:color="FFFFFF" w:sz="0"/>
              <w:bottom w:val="none" w:color="FFFFFF" w:sz="0"/>
              <w:right w:val="none" w:color="FFFFFF" w:sz="0"/>
            </w:tcBorders>
            <w:shd w:fill="0A1628" w:val="clear"/>
            <w:tcMar>
              <w:top w:type="dxa" w:w="60"/>
              <w:left w:type="dxa" w:w="200"/>
              <w:bottom w:type="dxa" w:w="60"/>
              <w:right w:type="dxa" w:w="120"/>
            </w:tcMar>
            <w:vAlign w:val="center"/>
          </w:tcPr>
          <w:p>
            <w:pPr>
              <w:spacing w:after="40" w:before="0"/>
              <w:jc w:val="left"/>
            </w:pPr>
            <w:r>
              <w:rPr>
                <w:rFonts w:ascii="Calibri" w:cs="Calibri" w:eastAsia="Calibri" w:hAnsi="Calibri"/>
                <w:b/>
                <w:bCs/>
                <w:i w:val="false"/>
                <w:iCs w:val="false"/>
                <w:color w:val="FFFFFF"/>
                <w:sz w:val="26"/>
                <w:szCs w:val="26"/>
              </w:rPr>
              <w:t xml:space="preserve">TAX &amp; WEALTH PLANNING</w:t>
            </w:r>
          </w:p>
          <w:p>
            <w:pPr>
              <w:spacing w:after="140" w:before="0"/>
              <w:jc w:val="left"/>
            </w:pPr>
            <w:r>
              <w:rPr>
                <w:rFonts w:ascii="Calibri" w:cs="Calibri" w:eastAsia="Calibri" w:hAnsi="Calibri"/>
                <w:b w:val="false"/>
                <w:bCs w:val="false"/>
                <w:i w:val="false"/>
                <w:iCs w:val="false"/>
                <w:color w:val="AABBCC"/>
                <w:sz w:val="17"/>
                <w:szCs w:val="17"/>
              </w:rPr>
              <w:t xml:space="preserve">Legal tax strategies, wealth preservation, family offices, and estate planning</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9.1 — The Tax Mindset: Legal Minimisation vs Illegal Evasion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0"/>
              <w:left w:val="single" w:color="991B1B" w:sz="18"/>
              <w:bottom w:val="single" w:color="D1D5DB" w:sz="4"/>
              <w:right w:val="single" w:color="D1D5DB" w:sz="4"/>
            </w:tcBorders>
            <w:shd w:fill="FEE2E2" w:val="clear"/>
            <w:tcMar>
              <w:top w:type="dxa" w:w="140"/>
              <w:left w:type="dxa" w:w="220"/>
              <w:bottom w:type="dxa" w:w="140"/>
              <w:right w:type="dxa" w:w="140"/>
            </w:tcMar>
          </w:tcPr>
          <w:p>
            <w:pPr>
              <w:spacing w:after="70" w:before="0"/>
              <w:jc w:val="left"/>
            </w:pPr>
            <w:r>
              <w:rPr>
                <w:rFonts w:ascii="Calibri" w:cs="Calibri" w:eastAsia="Calibri" w:hAnsi="Calibri"/>
                <w:b/>
                <w:bCs/>
                <w:i w:val="false"/>
                <w:iCs w:val="false"/>
                <w:color w:val="991B1B"/>
                <w:sz w:val="18"/>
                <w:szCs w:val="18"/>
              </w:rPr>
              <w:t xml:space="preserve">The Fundamental Distinction</w:t>
            </w:r>
          </w:p>
          <w:p>
            <w:pPr>
              <w:spacing w:after="140" w:before="0"/>
              <w:jc w:val="left"/>
            </w:pPr>
            <w:r>
              <w:rPr>
                <w:rFonts w:ascii="Calibri" w:cs="Calibri" w:eastAsia="Calibri" w:hAnsi="Calibri"/>
                <w:b w:val="false"/>
                <w:bCs w:val="false"/>
                <w:i w:val="false"/>
                <w:iCs w:val="false"/>
                <w:color w:val="1F2937"/>
                <w:sz w:val="21"/>
                <w:szCs w:val="21"/>
              </w:rPr>
              <w:t xml:space="preserve">Tax avoidance = legally structuring your affairs to minimise tax within the law. Completely legal and expected of financially intelligent founders. Tax evasion = hiding income or fabricating deductions to avoid tax. A criminal offence. In India, tax evasion attracts prosecution under the Income Tax Act with imprisonment up to 7 years. Never cross this line. The cost of tax evasion — in penalties, prosecution risk, and reputation destruction — is always greater than the tax saved.</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9.2 — Legitimate Corporate Tax Optimisation for Indian Startups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2760"/>
      </w:tblGrid>
      <w:tr>
        <w:tc>
          <w:tcPr>
            <w:tcW w:type="dxa" w:w="20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Tax Strategy</w:t>
            </w:r>
          </w:p>
        </w:tc>
        <w:tc>
          <w:tcPr>
            <w:tcW w:type="dxa" w:w="28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How It Works</w:t>
            </w:r>
          </w:p>
        </w:tc>
        <w:tc>
          <w:tcPr>
            <w:tcW w:type="dxa" w:w="18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Annual Saving Potential</w:t>
            </w:r>
          </w:p>
        </w:tc>
        <w:tc>
          <w:tcPr>
            <w:tcW w:type="dxa" w:w="27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Applicable Condition</w:t>
            </w:r>
          </w:p>
        </w:tc>
      </w:tr>
      <w:tr>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DPIIT Startup Recognition</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Apply for Department for Promotion of Industry and Internal Trade recognition under Startup India</w:t>
            </w:r>
          </w:p>
        </w:tc>
        <w:tc>
          <w:tcPr>
            <w:tcW w:type="dxa" w:w="1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100% tax exemption for 3 consecutive years out of the first 10 years</w:t>
            </w:r>
          </w:p>
        </w:tc>
        <w:tc>
          <w:tcPr>
            <w:tcW w:type="dxa" w:w="27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Company must be &lt; 10 years old, revenue &lt; ₹100Cr, and meet innovation criteria</w:t>
            </w:r>
          </w:p>
        </w:tc>
      </w:tr>
      <w:tr>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R&amp;D Deduction (Section 35)</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All expenses on scientific research and R&amp;D are deductible at 150% (weighted deduction)</w:t>
            </w:r>
          </w:p>
        </w:tc>
        <w:tc>
          <w:tcPr>
            <w:tcW w:type="dxa" w:w="1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Significant — every rupee spent on AI development, model training, and product R&amp;D is 1.5× deductible</w:t>
            </w:r>
          </w:p>
        </w:tc>
        <w:tc>
          <w:tcPr>
            <w:tcW w:type="dxa" w:w="2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Must be classified as approved R&amp;D expenditure — engage CA to structure correctly</w:t>
            </w:r>
          </w:p>
        </w:tc>
      </w:tr>
      <w:tr>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ESOP Tax Timing</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Employees are taxed on ESOP at exercise (when they buy shares) — not at grant. Company deducts the perquisite value as expense</w:t>
            </w:r>
          </w:p>
        </w:tc>
        <w:tc>
          <w:tcPr>
            <w:tcW w:type="dxa" w:w="1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Timing advantage: company deduction occurs when employee exercises, which may be years after grant</w:t>
            </w:r>
          </w:p>
        </w:tc>
        <w:tc>
          <w:tcPr>
            <w:tcW w:type="dxa" w:w="27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Applicable to all ESOPs in unlisted companies</w:t>
            </w:r>
          </w:p>
        </w:tc>
      </w:tr>
      <w:tr>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Section 80JJAA (New Employee Incentive)</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30% of additional wages paid to new employees deductible for 3 years</w:t>
            </w:r>
          </w:p>
        </w:tc>
        <w:tc>
          <w:tcPr>
            <w:tcW w:type="dxa" w:w="1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₹15–30 Lakhs/year savings for a growing team of 20–30 people</w:t>
            </w:r>
          </w:p>
        </w:tc>
        <w:tc>
          <w:tcPr>
            <w:tcW w:type="dxa" w:w="2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Applicable if increase in workforce &gt; 10% and employees earn &lt; ₹25,000/month</w:t>
            </w:r>
          </w:p>
        </w:tc>
      </w:tr>
      <w:tr>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Startup India Seed Fund</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Non-dilutive grants of ₹20 Lakhs to ₹1 Crore for product development and market entry</w:t>
            </w:r>
          </w:p>
        </w:tc>
        <w:tc>
          <w:tcPr>
            <w:tcW w:type="dxa" w:w="1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₹20L to ₹1Cr of non-dilutive capital</w:t>
            </w:r>
          </w:p>
        </w:tc>
        <w:tc>
          <w:tcPr>
            <w:tcW w:type="dxa" w:w="27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DPIIT-recognised startup with innovative product — apply immediately</w:t>
            </w:r>
          </w:p>
        </w:tc>
      </w:tr>
      <w:tr>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Section 54EC (Capital Gains)</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Invest long-term capital gains from sale of property/shares into NHAI/REC bonds within 6 months</w:t>
            </w:r>
          </w:p>
        </w:tc>
        <w:tc>
          <w:tcPr>
            <w:tcW w:type="dxa" w:w="1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Capital gains tax deferred or eliminated on personal sale of startup shares</w:t>
            </w:r>
          </w:p>
        </w:tc>
        <w:tc>
          <w:tcPr>
            <w:tcW w:type="dxa" w:w="2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Most relevant at secondary sale or exit — plan this 12 months in advance with CA</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9.3 — Family Office: Managing Wealth After Significant Exit</w:t>
      </w:r>
    </w:p>
    <w:p>
      <w:pPr>
        <w:spacing w:after="160" w:before="0"/>
        <w:jc w:val="left"/>
      </w:pPr>
      <w:r>
        <w:rPr>
          <w:rFonts w:ascii="Calibri" w:cs="Calibri" w:eastAsia="Calibri" w:hAnsi="Calibri"/>
          <w:b w:val="false"/>
          <w:bCs w:val="false"/>
          <w:i w:val="false"/>
          <w:iCs w:val="false"/>
          <w:color w:val="1F2937"/>
          <w:sz w:val="22"/>
          <w:szCs w:val="22"/>
        </w:rPr>
        <w:t xml:space="preserve">A family office is a private wealth management firm set up to manage the financial and personal affairs of a high-net-worth individual or family. In India, family offices typically become relevant when personal net worth exceeds ₹25–50 Crores — before that, a good private bank or UHNI wealth manager is sufficient.</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Family Office Service</w:t>
            </w:r>
          </w:p>
        </w:tc>
        <w:tc>
          <w:tcPr>
            <w:tcW w:type="dxa" w:w="2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Description</w:t>
            </w:r>
          </w:p>
        </w:tc>
        <w:tc>
          <w:tcPr>
            <w:tcW w:type="dxa" w:w="2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Why Founders Need It</w:t>
            </w:r>
          </w:p>
        </w:tc>
        <w:tc>
          <w:tcPr>
            <w:tcW w:type="dxa" w:w="25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Cost</w:t>
            </w:r>
          </w:p>
        </w:tc>
      </w:tr>
      <w:tr>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Investment Management</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Managing the diversified investment portfolio across asset classes: equities, fixed income, real estate, private equity</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Founders tend to be over-concentrated in a single illiquid asset (their own company). Diversification is survival.</w:t>
            </w:r>
          </w:p>
        </w:tc>
        <w:tc>
          <w:tcPr>
            <w:tcW w:type="dxa" w:w="25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0.5–1% of AUM annually</w:t>
            </w:r>
          </w:p>
        </w:tc>
      </w:tr>
      <w:tr>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Tax Planning &amp; Compliance</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Coordinating all tax filings across personal, corporate, and trust structures</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Multiple entities, international transactions, and capital gains require expert coordination</w:t>
            </w:r>
          </w:p>
        </w:tc>
        <w:tc>
          <w:tcPr>
            <w:tcW w:type="dxa" w:w="25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₹5–20L/year depending on complexity</w:t>
            </w:r>
          </w:p>
        </w:tc>
      </w:tr>
      <w:tr>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Legal &amp; Estate Planning</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Wills, family trusts, succession planning, asset protection structures</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Without proper structure, significant wealth can be destroyed by family disputes or estate taxes at death</w:t>
            </w:r>
          </w:p>
        </w:tc>
        <w:tc>
          <w:tcPr>
            <w:tcW w:type="dxa" w:w="25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₹10–30L one-time + ₹3–5L/year maintenance</w:t>
            </w:r>
          </w:p>
        </w:tc>
      </w:tr>
      <w:tr>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Philanthropy</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Setting up and managing charitable foundations, CSR spend, and philanthropic initiatives</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Founders at significant scale have social obligations. Structured philanthropy is tax-efficient and legacy-building.</w:t>
            </w:r>
          </w:p>
        </w:tc>
        <w:tc>
          <w:tcPr>
            <w:tcW w:type="dxa" w:w="25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1–2% of philanthropic corpus annually</w:t>
            </w:r>
          </w:p>
        </w:tc>
      </w:tr>
      <w:tr>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Property Management</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Managing real estate portfolio: maintenance, tenants, renovation, sale</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As property portfolio grows, direct management becomes impossible</w:t>
            </w:r>
          </w:p>
        </w:tc>
        <w:tc>
          <w:tcPr>
            <w:tcW w:type="dxa" w:w="25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5–8% of rental income</w:t>
            </w:r>
          </w:p>
        </w:tc>
      </w:tr>
      <w:tr>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Lifestyle Management</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Travel, security, private education, household staff management</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Founders at ₹100Cr+ net worth have complex personal logistics that require professional management</w:t>
            </w:r>
          </w:p>
        </w:tc>
        <w:tc>
          <w:tcPr>
            <w:tcW w:type="dxa" w:w="25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₹50L–2Cr/year depending on lifestyle scale</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40" w:before="0"/>
              <w:jc w:val="center"/>
            </w:pPr>
            <w:r>
              <w:rPr>
                <w:rFonts w:ascii="Calibri" w:cs="Calibri" w:eastAsia="Calibri" w:hAnsi="Calibri"/>
                <w:b/>
                <w:bCs/>
                <w:i w:val="false"/>
                <w:iCs w:val="false"/>
                <w:color w:val="FFFFFF"/>
                <w:sz w:val="26"/>
                <w:szCs w:val="26"/>
              </w:rPr>
              <w:t xml:space="preserve">PART 10</w:t>
            </w:r>
          </w:p>
        </w:tc>
        <w:tc>
          <w:tcPr>
            <w:tcW w:type="dxa" w:w="8260"/>
            <w:tcBorders>
              <w:top w:val="none" w:color="FFFFFF" w:sz="0"/>
              <w:left w:val="none" w:color="FFFFFF" w:sz="0"/>
              <w:bottom w:val="none" w:color="FFFFFF" w:sz="0"/>
              <w:right w:val="none" w:color="FFFFFF" w:sz="0"/>
            </w:tcBorders>
            <w:shd w:fill="0A1628" w:val="clear"/>
            <w:tcMar>
              <w:top w:type="dxa" w:w="60"/>
              <w:left w:type="dxa" w:w="200"/>
              <w:bottom w:type="dxa" w:w="60"/>
              <w:right w:type="dxa" w:w="120"/>
            </w:tcMar>
            <w:vAlign w:val="center"/>
          </w:tcPr>
          <w:p>
            <w:pPr>
              <w:spacing w:after="40" w:before="0"/>
              <w:jc w:val="left"/>
            </w:pPr>
            <w:r>
              <w:rPr>
                <w:rFonts w:ascii="Calibri" w:cs="Calibri" w:eastAsia="Calibri" w:hAnsi="Calibri"/>
                <w:b/>
                <w:bCs/>
                <w:i w:val="false"/>
                <w:iCs w:val="false"/>
                <w:color w:val="FFFFFF"/>
                <w:sz w:val="26"/>
                <w:szCs w:val="26"/>
              </w:rPr>
              <w:t xml:space="preserve">PERSONAL FINANCE FOR FOUNDERS</w:t>
            </w:r>
          </w:p>
          <w:p>
            <w:pPr>
              <w:spacing w:after="140" w:before="0"/>
              <w:jc w:val="left"/>
            </w:pPr>
            <w:r>
              <w:rPr>
                <w:rFonts w:ascii="Calibri" w:cs="Calibri" w:eastAsia="Calibri" w:hAnsi="Calibri"/>
                <w:b w:val="false"/>
                <w:bCs w:val="false"/>
                <w:i w:val="false"/>
                <w:iCs w:val="false"/>
                <w:color w:val="AABBCC"/>
                <w:sz w:val="17"/>
                <w:szCs w:val="17"/>
              </w:rPr>
              <w:t xml:space="preserve">Managing money, building wealth, avoiding the lifestyle trap</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10.1 — The Founder Personal Finance Framework (3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3360"/>
      </w:tblGrid>
      <w:tr>
        <w:tc>
          <w:tcPr>
            <w:tcW w:type="dxa" w:w="1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Phase</w:t>
            </w:r>
          </w:p>
        </w:tc>
        <w:tc>
          <w:tcPr>
            <w:tcW w:type="dxa" w:w="22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Your Financial Situation</w:t>
            </w:r>
          </w:p>
        </w:tc>
        <w:tc>
          <w:tcPr>
            <w:tcW w:type="dxa" w:w="2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Priority Order</w:t>
            </w:r>
          </w:p>
        </w:tc>
        <w:tc>
          <w:tcPr>
            <w:tcW w:type="dxa" w:w="33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Common Mistake</w:t>
            </w:r>
          </w:p>
        </w:tc>
      </w:tr>
      <w:tr>
        <w:tc>
          <w:tcPr>
            <w:tcW w:type="dxa" w:w="1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Phase 1: Survive (Year 0–3)</w:t>
            </w:r>
          </w:p>
        </w:tc>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Founder salary ₹40–80K/month. Zero liquidity from equity. Company consumes all energy.</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 Emergency fund (6 months). 2. Term insurance. 3. Health insurance. 4. ₹5K/month SIP. Nothing else.</w:t>
            </w:r>
          </w:p>
        </w:tc>
        <w:tc>
          <w:tcPr>
            <w:tcW w:type="dxa" w:w="33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Inflating lifestyle to look successful. Every personal EMI is a trap when your business income is uncertain.</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Phase 2: Build (Year 3–7)</w:t>
            </w:r>
          </w:p>
        </w:tc>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Salary growing to ₹1.5–3L/month. Series A/B completed. Equity may have secondary value.</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 Max SIP to ₹50K/month. 2. First real estate (one primary home, not investment). 3. NPS maximised. 4. Term insurance increased.</w:t>
            </w:r>
          </w:p>
        </w:tc>
        <w:tc>
          <w:tcPr>
            <w:tcW w:type="dxa" w:w="33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Buying multiple investment properties before liquid assets exceed 2 years of expenses. Property is illiquid.</w:t>
            </w:r>
          </w:p>
        </w:tc>
      </w:tr>
      <w:tr>
        <w:tc>
          <w:tcPr>
            <w:tcW w:type="dxa" w:w="1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Phase 3: Compound (Year 7–20)</w:t>
            </w:r>
          </w:p>
        </w:tc>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Significant personal liquidity from secondary sales or dividends. Personal net worth ₹10Cr+.</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 Diversified equity portfolio (India + global). 2. Real estate (max 30% of NW). 3. Angel investing. 4. Family office setup.</w:t>
            </w:r>
          </w:p>
        </w:tc>
        <w:tc>
          <w:tcPr>
            <w:tcW w:type="dxa" w:w="33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Over-concentrating in a new startup using exit proceeds. The second bet is always harder — diversify first.</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10.2 — Investment Framework for Founders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Asset Class</w:t>
            </w:r>
          </w:p>
        </w:tc>
        <w:tc>
          <w:tcPr>
            <w:tcW w:type="dxa" w:w="12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Allocation (Phase 3)</w:t>
            </w:r>
          </w:p>
        </w:tc>
        <w:tc>
          <w:tcPr>
            <w:tcW w:type="dxa" w:w="2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Why</w:t>
            </w:r>
          </w:p>
        </w:tc>
        <w:tc>
          <w:tcPr>
            <w:tcW w:type="dxa" w:w="35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Key Risk</w:t>
            </w:r>
          </w:p>
        </w:tc>
      </w:tr>
      <w:tr>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Equity Mutual Funds / ETFs (India)</w:t>
            </w:r>
          </w:p>
        </w:tc>
        <w:tc>
          <w:tcPr>
            <w:tcW w:type="dxa" w:w="1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40%</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Nifty 50 index + mid-cap blend. 15–18% CAGR historically over 20 years.</w:t>
            </w:r>
          </w:p>
        </w:tc>
        <w:tc>
          <w:tcPr>
            <w:tcW w:type="dxa" w:w="35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Market volatility — requires 7+ year investment horizon</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Global Equity (US + Global ETFs)</w:t>
            </w:r>
          </w:p>
        </w:tc>
        <w:tc>
          <w:tcPr>
            <w:tcW w:type="dxa" w:w="1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15%</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USD-denominated wealth. Currency diversification. Access to global technology growth.</w:t>
            </w:r>
          </w:p>
        </w:tc>
        <w:tc>
          <w:tcPr>
            <w:tcW w:type="dxa" w:w="35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Currency risk + regulatory limits on overseas investment</w:t>
            </w:r>
          </w:p>
        </w:tc>
      </w:tr>
      <w:tr>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Fixed Income (Debt Funds + Bonds)</w:t>
            </w:r>
          </w:p>
        </w:tc>
        <w:tc>
          <w:tcPr>
            <w:tcW w:type="dxa" w:w="1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15%</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Capital preservation + liquidity. Government bonds and AAA corporate bonds.</w:t>
            </w:r>
          </w:p>
        </w:tc>
        <w:tc>
          <w:tcPr>
            <w:tcW w:type="dxa" w:w="35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Inflation risk — returns barely exceed inflation over long term</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Real Estate (Max 1–2 properties)</w:t>
            </w:r>
          </w:p>
        </w:tc>
        <w:tc>
          <w:tcPr>
            <w:tcW w:type="dxa" w:w="1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20%</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Hedge against inflation. Rental income. But highly illiquid.</w:t>
            </w:r>
          </w:p>
        </w:tc>
        <w:tc>
          <w:tcPr>
            <w:tcW w:type="dxa" w:w="35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Concentration + illiquidity + maintenance cost + tenant risk</w:t>
            </w:r>
          </w:p>
        </w:tc>
      </w:tr>
      <w:tr>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Angel Investing (Startups)</w:t>
            </w:r>
          </w:p>
        </w:tc>
        <w:tc>
          <w:tcPr>
            <w:tcW w:type="dxa" w:w="1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5%</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High-risk high-return. Your domain expertise gives you an edge in automotive/AI investments.</w:t>
            </w:r>
          </w:p>
        </w:tc>
        <w:tc>
          <w:tcPr>
            <w:tcW w:type="dxa" w:w="35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Total loss possible. Only invest amounts you can completely lose.</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Alternative (Gold, REITs)</w:t>
            </w:r>
          </w:p>
        </w:tc>
        <w:tc>
          <w:tcPr>
            <w:tcW w:type="dxa" w:w="1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5%</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Inflation hedge. Portfolio diversification.</w:t>
            </w:r>
          </w:p>
        </w:tc>
        <w:tc>
          <w:tcPr>
            <w:tcW w:type="dxa" w:w="35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Gold: no income generation. REITs: regulatory and liquidity risk.</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40" w:before="0"/>
              <w:jc w:val="center"/>
            </w:pPr>
            <w:r>
              <w:rPr>
                <w:rFonts w:ascii="Calibri" w:cs="Calibri" w:eastAsia="Calibri" w:hAnsi="Calibri"/>
                <w:b/>
                <w:bCs/>
                <w:i w:val="false"/>
                <w:iCs w:val="false"/>
                <w:color w:val="FFFFFF"/>
                <w:sz w:val="26"/>
                <w:szCs w:val="26"/>
              </w:rPr>
              <w:t xml:space="preserve">PART 11</w:t>
            </w:r>
          </w:p>
        </w:tc>
        <w:tc>
          <w:tcPr>
            <w:tcW w:type="dxa" w:w="8260"/>
            <w:tcBorders>
              <w:top w:val="none" w:color="FFFFFF" w:sz="0"/>
              <w:left w:val="none" w:color="FFFFFF" w:sz="0"/>
              <w:bottom w:val="none" w:color="FFFFFF" w:sz="0"/>
              <w:right w:val="none" w:color="FFFFFF" w:sz="0"/>
            </w:tcBorders>
            <w:shd w:fill="0A1628" w:val="clear"/>
            <w:tcMar>
              <w:top w:type="dxa" w:w="60"/>
              <w:left w:type="dxa" w:w="200"/>
              <w:bottom w:type="dxa" w:w="60"/>
              <w:right w:type="dxa" w:w="120"/>
            </w:tcMar>
            <w:vAlign w:val="center"/>
          </w:tcPr>
          <w:p>
            <w:pPr>
              <w:spacing w:after="40" w:before="0"/>
              <w:jc w:val="left"/>
            </w:pPr>
            <w:r>
              <w:rPr>
                <w:rFonts w:ascii="Calibri" w:cs="Calibri" w:eastAsia="Calibri" w:hAnsi="Calibri"/>
                <w:b/>
                <w:bCs/>
                <w:i w:val="false"/>
                <w:iCs w:val="false"/>
                <w:color w:val="FFFFFF"/>
                <w:sz w:val="26"/>
                <w:szCs w:val="26"/>
              </w:rPr>
              <w:t xml:space="preserve">LUXURY ASSET PURCHASE FRAMEWORK</w:t>
            </w:r>
          </w:p>
          <w:p>
            <w:pPr>
              <w:spacing w:after="140" w:before="0"/>
              <w:jc w:val="left"/>
            </w:pPr>
            <w:r>
              <w:rPr>
                <w:rFonts w:ascii="Calibri" w:cs="Calibri" w:eastAsia="Calibri" w:hAnsi="Calibri"/>
                <w:b w:val="false"/>
                <w:bCs w:val="false"/>
                <w:i w:val="false"/>
                <w:iCs w:val="false"/>
                <w:color w:val="AABBCC"/>
                <w:sz w:val="17"/>
                <w:szCs w:val="17"/>
              </w:rPr>
              <w:t xml:space="preserve">When you can responsibly buy a Lamborghini, villa, jet, or yacht — and when you absolutely should not</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11.1 — The Responsible Luxury Purchase Philosophy</w:t>
      </w:r>
    </w:p>
    <w:p>
      <w:pPr>
        <w:spacing w:after="160" w:before="0"/>
        <w:jc w:val="left"/>
      </w:pPr>
      <w:r>
        <w:rPr>
          <w:rFonts w:ascii="Calibri" w:cs="Calibri" w:eastAsia="Calibri" w:hAnsi="Calibri"/>
          <w:b w:val="false"/>
          <w:bCs w:val="false"/>
          <w:i w:val="false"/>
          <w:iCs w:val="false"/>
          <w:color w:val="1F2937"/>
          <w:sz w:val="22"/>
          <w:szCs w:val="22"/>
        </w:rPr>
        <w:t xml:space="preserve">Luxury assets are not inherently wrong. A Rolls-Royce is a beautiful object. A private jet saves 40 hours per month of a CEO's time. A villa is where your family lives. The question is not whether you will ever buy these things — it is whether you are buying them from a position of financial strength or financial performance. The latter is the most common and most expensive mistake wealthy founders make.</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0"/>
              <w:left w:val="single" w:color="991B1B" w:sz="18"/>
              <w:bottom w:val="single" w:color="D1D5DB" w:sz="4"/>
              <w:right w:val="single" w:color="D1D5DB" w:sz="4"/>
            </w:tcBorders>
            <w:shd w:fill="FEE2E2" w:val="clear"/>
            <w:tcMar>
              <w:top w:type="dxa" w:w="120"/>
              <w:left w:type="dxa" w:w="200"/>
              <w:bottom w:type="dxa" w:w="120"/>
              <w:right w:type="dxa" w:w="120"/>
            </w:tcMar>
          </w:tcPr>
          <w:p>
            <w:pPr>
              <w:spacing w:after="140" w:before="0"/>
              <w:jc w:val="left"/>
            </w:pPr>
            <w:r>
              <w:rPr>
                <w:rFonts w:ascii="Calibri" w:cs="Calibri" w:eastAsia="Calibri" w:hAnsi="Calibri"/>
                <w:b/>
                <w:bCs/>
                <w:i w:val="false"/>
                <w:iCs w:val="false"/>
                <w:color w:val="991B1B"/>
                <w:sz w:val="20"/>
                <w:szCs w:val="20"/>
              </w:rPr>
              <w:t xml:space="preserve">⚠  CRITICAL WARNING: The #1 destroyer of founder wealth is buying status assets before achieving liquidity. Equity in your startup is not money. A high valuation is not money. Money is cash in a bank account or liquid investments that can be sold. Do not buy a ₹3 Crore car with money you need to survive a downturn.</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11.2 — Luxury Car (₹50L–₹5Cr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4"/>
              <w:left w:val="single" w:color="D1D5DB" w:sz="4"/>
              <w:bottom w:val="single" w:color="D1D5DB" w:sz="4"/>
              <w:right w:val="single" w:color="D1D5DB" w:sz="4"/>
            </w:tcBorders>
            <w:shd w:fill="FEF3C7" w:val="clear"/>
            <w:tcMar>
              <w:top w:type="dxa" w:w="80"/>
              <w:left w:type="dxa" w:w="120"/>
              <w:bottom w:type="dxa" w:w="80"/>
              <w:right w:type="dxa" w:w="80"/>
            </w:tcMar>
          </w:tcPr>
          <w:p>
            <w:pPr>
              <w:spacing w:after="140" w:before="0"/>
              <w:jc w:val="left"/>
            </w:pPr>
            <w:r>
              <w:rPr>
                <w:rFonts w:ascii="Calibri" w:cs="Calibri" w:eastAsia="Calibri" w:hAnsi="Calibri"/>
                <w:b/>
                <w:bCs/>
                <w:i w:val="false"/>
                <w:iCs w:val="false"/>
                <w:color w:val="92400E"/>
                <w:sz w:val="19"/>
                <w:szCs w:val="19"/>
              </w:rPr>
              <w:t xml:space="preserve">💰 Recommended Net Worth</w:t>
            </w:r>
          </w:p>
        </w:tc>
        <w:tc>
          <w:tcPr>
            <w:tcW w:type="dxa" w:w="6360"/>
            <w:tcBorders>
              <w:top w:val="single" w:color="D1D5DB" w:sz="4"/>
              <w:left w:val="single" w:color="D1D5DB" w:sz="4"/>
              <w:bottom w:val="single" w:color="D1D5DB" w:sz="4"/>
              <w:right w:val="single" w:color="D1D5DB" w:sz="4"/>
            </w:tcBorders>
            <w:shd w:fill="FEF3C7" w:val="clear"/>
            <w:tcMar>
              <w:top w:type="dxa" w:w="80"/>
              <w:left w:type="dxa" w:w="120"/>
              <w:bottom w:type="dxa" w:w="80"/>
              <w:right w:type="dxa" w:w="80"/>
            </w:tcMar>
          </w:tcPr>
          <w:p>
            <w:pPr>
              <w:spacing w:after="140" w:before="0"/>
              <w:jc w:val="left"/>
            </w:pPr>
            <w:r>
              <w:rPr>
                <w:rFonts w:ascii="Calibri" w:cs="Calibri" w:eastAsia="Calibri" w:hAnsi="Calibri"/>
                <w:b w:val="false"/>
                <w:bCs w:val="false"/>
                <w:i w:val="false"/>
                <w:iCs w:val="false"/>
                <w:color w:val="1F2937"/>
                <w:sz w:val="19"/>
                <w:szCs w:val="19"/>
              </w:rPr>
              <w:t xml:space="preserve">₹20 Crore minimum personal net worth in LIQUID assets (not startup equity)</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40" w:before="0"/>
              <w:jc w:val="left"/>
            </w:pPr>
            <w:r>
              <w:rPr>
                <w:rFonts w:ascii="Calibri" w:cs="Calibri" w:eastAsia="Calibri" w:hAnsi="Calibri"/>
                <w:b/>
                <w:bCs/>
                <w:i w:val="false"/>
                <w:iCs w:val="false"/>
                <w:color w:val="92400E"/>
                <w:sz w:val="19"/>
                <w:szCs w:val="19"/>
              </w:rPr>
              <w:t xml:space="preserve">💵 Recommended Annual Income</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40" w:before="0"/>
              <w:jc w:val="left"/>
            </w:pPr>
            <w:r>
              <w:rPr>
                <w:rFonts w:ascii="Calibri" w:cs="Calibri" w:eastAsia="Calibri" w:hAnsi="Calibri"/>
                <w:b w:val="false"/>
                <w:bCs w:val="false"/>
                <w:i w:val="false"/>
                <w:iCs w:val="false"/>
                <w:color w:val="1F2937"/>
                <w:sz w:val="19"/>
                <w:szCs w:val="19"/>
              </w:rPr>
              <w:t xml:space="preserve">₹2 Crore+ personal annual income after tax — sustainable, not one-time</w:t>
            </w:r>
          </w:p>
        </w:tc>
      </w:tr>
      <w:tr>
        <w:tc>
          <w:tcPr>
            <w:tcW w:type="dxa" w:w="3000"/>
            <w:tcBorders>
              <w:top w:val="single" w:color="D1D5DB" w:sz="4"/>
              <w:left w:val="single" w:color="D1D5DB" w:sz="4"/>
              <w:bottom w:val="single" w:color="D1D5DB" w:sz="4"/>
              <w:right w:val="single" w:color="D1D5DB" w:sz="4"/>
            </w:tcBorders>
            <w:shd w:fill="FEF3C7" w:val="clear"/>
            <w:tcMar>
              <w:top w:type="dxa" w:w="80"/>
              <w:left w:type="dxa" w:w="120"/>
              <w:bottom w:type="dxa" w:w="80"/>
              <w:right w:type="dxa" w:w="80"/>
            </w:tcMar>
          </w:tcPr>
          <w:p>
            <w:pPr>
              <w:spacing w:after="140" w:before="0"/>
              <w:jc w:val="left"/>
            </w:pPr>
            <w:r>
              <w:rPr>
                <w:rFonts w:ascii="Calibri" w:cs="Calibri" w:eastAsia="Calibri" w:hAnsi="Calibri"/>
                <w:b/>
                <w:bCs/>
                <w:i w:val="false"/>
                <w:iCs w:val="false"/>
                <w:color w:val="92400E"/>
                <w:sz w:val="19"/>
                <w:szCs w:val="19"/>
              </w:rPr>
              <w:t xml:space="preserve">🏢 Company Revenue</w:t>
            </w:r>
          </w:p>
        </w:tc>
        <w:tc>
          <w:tcPr>
            <w:tcW w:type="dxa" w:w="6360"/>
            <w:tcBorders>
              <w:top w:val="single" w:color="D1D5DB" w:sz="4"/>
              <w:left w:val="single" w:color="D1D5DB" w:sz="4"/>
              <w:bottom w:val="single" w:color="D1D5DB" w:sz="4"/>
              <w:right w:val="single" w:color="D1D5DB" w:sz="4"/>
            </w:tcBorders>
            <w:shd w:fill="FEF3C7" w:val="clear"/>
            <w:tcMar>
              <w:top w:type="dxa" w:w="80"/>
              <w:left w:type="dxa" w:w="120"/>
              <w:bottom w:type="dxa" w:w="80"/>
              <w:right w:type="dxa" w:w="80"/>
            </w:tcMar>
          </w:tcPr>
          <w:p>
            <w:pPr>
              <w:spacing w:after="140" w:before="0"/>
              <w:jc w:val="left"/>
            </w:pPr>
            <w:r>
              <w:rPr>
                <w:rFonts w:ascii="Calibri" w:cs="Calibri" w:eastAsia="Calibri" w:hAnsi="Calibri"/>
                <w:b w:val="false"/>
                <w:bCs w:val="false"/>
                <w:i w:val="false"/>
                <w:iCs w:val="false"/>
                <w:color w:val="1F2937"/>
                <w:sz w:val="19"/>
                <w:szCs w:val="19"/>
              </w:rPr>
              <w:t xml:space="preserve">Company at ₹50 Crore+ ARR, generating positive EBITDA</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40" w:before="0"/>
              <w:jc w:val="left"/>
            </w:pPr>
            <w:r>
              <w:rPr>
                <w:rFonts w:ascii="Calibri" w:cs="Calibri" w:eastAsia="Calibri" w:hAnsi="Calibri"/>
                <w:b/>
                <w:bCs/>
                <w:i w:val="false"/>
                <w:iCs w:val="false"/>
                <w:color w:val="92400E"/>
                <w:sz w:val="19"/>
                <w:szCs w:val="19"/>
              </w:rPr>
              <w:t xml:space="preserve">📊 Liquidity Required</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40" w:before="0"/>
              <w:jc w:val="left"/>
            </w:pPr>
            <w:r>
              <w:rPr>
                <w:rFonts w:ascii="Calibri" w:cs="Calibri" w:eastAsia="Calibri" w:hAnsi="Calibri"/>
                <w:b w:val="false"/>
                <w:bCs w:val="false"/>
                <w:i w:val="false"/>
                <w:iCs w:val="false"/>
                <w:color w:val="1F2937"/>
                <w:sz w:val="19"/>
                <w:szCs w:val="19"/>
              </w:rPr>
              <w:t xml:space="preserve">3 years of personal expenses in liquid savings regardless of this purchase</w:t>
            </w:r>
          </w:p>
        </w:tc>
      </w:tr>
      <w:tr>
        <w:tc>
          <w:tcPr>
            <w:tcW w:type="dxa" w:w="3000"/>
            <w:tcBorders>
              <w:top w:val="single" w:color="D1D5DB" w:sz="4"/>
              <w:left w:val="single" w:color="D1D5DB" w:sz="4"/>
              <w:bottom w:val="single" w:color="D1D5DB" w:sz="4"/>
              <w:right w:val="single" w:color="D1D5DB" w:sz="4"/>
            </w:tcBorders>
            <w:shd w:fill="FEF3C7" w:val="clear"/>
            <w:tcMar>
              <w:top w:type="dxa" w:w="80"/>
              <w:left w:type="dxa" w:w="120"/>
              <w:bottom w:type="dxa" w:w="80"/>
              <w:right w:type="dxa" w:w="80"/>
            </w:tcMar>
          </w:tcPr>
          <w:p>
            <w:pPr>
              <w:spacing w:after="140" w:before="0"/>
              <w:jc w:val="left"/>
            </w:pPr>
            <w:r>
              <w:rPr>
                <w:rFonts w:ascii="Calibri" w:cs="Calibri" w:eastAsia="Calibri" w:hAnsi="Calibri"/>
                <w:b/>
                <w:bCs/>
                <w:i w:val="false"/>
                <w:iCs w:val="false"/>
                <w:color w:val="92400E"/>
                <w:sz w:val="19"/>
                <w:szCs w:val="19"/>
              </w:rPr>
              <w:t xml:space="preserve">⚠️ Key Risk</w:t>
            </w:r>
          </w:p>
        </w:tc>
        <w:tc>
          <w:tcPr>
            <w:tcW w:type="dxa" w:w="6360"/>
            <w:tcBorders>
              <w:top w:val="single" w:color="D1D5DB" w:sz="4"/>
              <w:left w:val="single" w:color="D1D5DB" w:sz="4"/>
              <w:bottom w:val="single" w:color="D1D5DB" w:sz="4"/>
              <w:right w:val="single" w:color="D1D5DB" w:sz="4"/>
            </w:tcBorders>
            <w:shd w:fill="FEF3C7" w:val="clear"/>
            <w:tcMar>
              <w:top w:type="dxa" w:w="80"/>
              <w:left w:type="dxa" w:w="120"/>
              <w:bottom w:type="dxa" w:w="80"/>
              <w:right w:type="dxa" w:w="80"/>
            </w:tcMar>
          </w:tcPr>
          <w:p>
            <w:pPr>
              <w:spacing w:after="140" w:before="0"/>
              <w:jc w:val="left"/>
            </w:pPr>
            <w:r>
              <w:rPr>
                <w:rFonts w:ascii="Calibri" w:cs="Calibri" w:eastAsia="Calibri" w:hAnsi="Calibri"/>
                <w:b w:val="false"/>
                <w:bCs w:val="false"/>
                <w:i w:val="false"/>
                <w:iCs w:val="false"/>
                <w:color w:val="1F2937"/>
                <w:sz w:val="19"/>
                <w:szCs w:val="19"/>
              </w:rPr>
              <w:t xml:space="preserve">Depreciation 20–30%/year. ₹3Cr car worth ₹1.2Cr in 4 years. It is not an investment.</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40" w:before="0"/>
              <w:jc w:val="left"/>
            </w:pPr>
            <w:r>
              <w:rPr>
                <w:rFonts w:ascii="Calibri" w:cs="Calibri" w:eastAsia="Calibri" w:hAnsi="Calibri"/>
                <w:b/>
                <w:bCs/>
                <w:i w:val="false"/>
                <w:iCs w:val="false"/>
                <w:color w:val="92400E"/>
                <w:sz w:val="19"/>
                <w:szCs w:val="19"/>
              </w:rPr>
              <w:t xml:space="preserve">✅ Better Alternative First</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40" w:before="0"/>
              <w:jc w:val="left"/>
            </w:pPr>
            <w:r>
              <w:rPr>
                <w:rFonts w:ascii="Calibri" w:cs="Calibri" w:eastAsia="Calibri" w:hAnsi="Calibri"/>
                <w:b w:val="false"/>
                <w:bCs w:val="false"/>
                <w:i w:val="false"/>
                <w:iCs w:val="false"/>
                <w:color w:val="1F2937"/>
                <w:sz w:val="19"/>
                <w:szCs w:val="19"/>
              </w:rPr>
              <w:t xml:space="preserve">BMW 5-series or Mercedes E-class (₹65–80 Lakhs). Same status signal, 5% of the maintenance cost.</w:t>
            </w:r>
          </w:p>
        </w:tc>
      </w:tr>
    </w:tbl>
    <w:p>
      <w:pPr>
        <w:spacing w:after="80" w:before="0"/>
      </w:pPr>
      <w:r>
        <w:rPr>
          <w:rFonts w:ascii="Calibri" w:cs="Calibri" w:eastAsia="Calibri" w:hAnsi="Calibri"/>
          <w:b w:val="false"/>
          <w:bCs w:val="false"/>
          <w:i w:val="false"/>
          <w:iCs w:val="false"/>
          <w:color w:val="1F2937"/>
          <w:sz w:val="22"/>
          <w:szCs w:val="22"/>
        </w:rPr>
        <w:t xml:space="preserve"/>
      </w:r>
    </w:p>
    <w:p>
      <w:pPr>
        <w:spacing w:after="160" w:before="0"/>
        <w:jc w:val="left"/>
      </w:pPr>
      <w:r>
        <w:rPr>
          <w:rFonts w:ascii="Calibri" w:cs="Calibri" w:eastAsia="Calibri" w:hAnsi="Calibri"/>
          <w:b w:val="false"/>
          <w:bCs w:val="false"/>
          <w:i w:val="false"/>
          <w:iCs w:val="false"/>
          <w:color w:val="1F2937"/>
          <w:sz w:val="22"/>
          <w:szCs w:val="22"/>
        </w:rPr>
        <w:t xml:space="preserve">Why founders buy too early: they confuse company valuation with personal wealth. When Shark Tank features a startup at ₹100Cr valuation, the founder has not made ₹100Cr. They have an illiquid stake in a company that might, one day, be worth that. Buying a Lamborghini on the back of a valuation — before an exit that converts equity to cash — is like buying a Ferrari with a lottery ticket you haven't cashed yet.</w:t>
      </w:r>
    </w:p>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11.3 — Luxury Villa / Mansion (₹3Cr–₹50Cr)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4"/>
              <w:left w:val="single" w:color="D1D5DB" w:sz="4"/>
              <w:bottom w:val="single" w:color="D1D5DB" w:sz="4"/>
              <w:right w:val="single" w:color="D1D5DB" w:sz="4"/>
            </w:tcBorders>
            <w:shd w:fill="FEF3C7" w:val="clear"/>
            <w:tcMar>
              <w:top w:type="dxa" w:w="80"/>
              <w:left w:type="dxa" w:w="120"/>
              <w:bottom w:type="dxa" w:w="80"/>
              <w:right w:type="dxa" w:w="80"/>
            </w:tcMar>
          </w:tcPr>
          <w:p>
            <w:pPr>
              <w:spacing w:after="140" w:before="0"/>
              <w:jc w:val="left"/>
            </w:pPr>
            <w:r>
              <w:rPr>
                <w:rFonts w:ascii="Calibri" w:cs="Calibri" w:eastAsia="Calibri" w:hAnsi="Calibri"/>
                <w:b/>
                <w:bCs/>
                <w:i w:val="false"/>
                <w:iCs w:val="false"/>
                <w:color w:val="92400E"/>
                <w:sz w:val="19"/>
                <w:szCs w:val="19"/>
              </w:rPr>
              <w:t xml:space="preserve">💰 Recommended Net Worth</w:t>
            </w:r>
          </w:p>
        </w:tc>
        <w:tc>
          <w:tcPr>
            <w:tcW w:type="dxa" w:w="6360"/>
            <w:tcBorders>
              <w:top w:val="single" w:color="D1D5DB" w:sz="4"/>
              <w:left w:val="single" w:color="D1D5DB" w:sz="4"/>
              <w:bottom w:val="single" w:color="D1D5DB" w:sz="4"/>
              <w:right w:val="single" w:color="D1D5DB" w:sz="4"/>
            </w:tcBorders>
            <w:shd w:fill="FEF3C7" w:val="clear"/>
            <w:tcMar>
              <w:top w:type="dxa" w:w="80"/>
              <w:left w:type="dxa" w:w="120"/>
              <w:bottom w:type="dxa" w:w="80"/>
              <w:right w:type="dxa" w:w="80"/>
            </w:tcMar>
          </w:tcPr>
          <w:p>
            <w:pPr>
              <w:spacing w:after="140" w:before="0"/>
              <w:jc w:val="left"/>
            </w:pPr>
            <w:r>
              <w:rPr>
                <w:rFonts w:ascii="Calibri" w:cs="Calibri" w:eastAsia="Calibri" w:hAnsi="Calibri"/>
                <w:b w:val="false"/>
                <w:bCs w:val="false"/>
                <w:i w:val="false"/>
                <w:iCs w:val="false"/>
                <w:color w:val="1F2937"/>
                <w:sz w:val="19"/>
                <w:szCs w:val="19"/>
              </w:rPr>
              <w:t xml:space="preserve">₹50 Crore minimum personal net worth in LIQUID assets</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40" w:before="0"/>
              <w:jc w:val="left"/>
            </w:pPr>
            <w:r>
              <w:rPr>
                <w:rFonts w:ascii="Calibri" w:cs="Calibri" w:eastAsia="Calibri" w:hAnsi="Calibri"/>
                <w:b/>
                <w:bCs/>
                <w:i w:val="false"/>
                <w:iCs w:val="false"/>
                <w:color w:val="92400E"/>
                <w:sz w:val="19"/>
                <w:szCs w:val="19"/>
              </w:rPr>
              <w:t xml:space="preserve">💵 Recommended Annual Income</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40" w:before="0"/>
              <w:jc w:val="left"/>
            </w:pPr>
            <w:r>
              <w:rPr>
                <w:rFonts w:ascii="Calibri" w:cs="Calibri" w:eastAsia="Calibri" w:hAnsi="Calibri"/>
                <w:b w:val="false"/>
                <w:bCs w:val="false"/>
                <w:i w:val="false"/>
                <w:iCs w:val="false"/>
                <w:color w:val="1F2937"/>
                <w:sz w:val="19"/>
                <w:szCs w:val="19"/>
              </w:rPr>
              <w:t xml:space="preserve">₹5 Crore+ personal annual income (salary + dividends, not equity valuation)</w:t>
            </w:r>
          </w:p>
        </w:tc>
      </w:tr>
      <w:tr>
        <w:tc>
          <w:tcPr>
            <w:tcW w:type="dxa" w:w="3000"/>
            <w:tcBorders>
              <w:top w:val="single" w:color="D1D5DB" w:sz="4"/>
              <w:left w:val="single" w:color="D1D5DB" w:sz="4"/>
              <w:bottom w:val="single" w:color="D1D5DB" w:sz="4"/>
              <w:right w:val="single" w:color="D1D5DB" w:sz="4"/>
            </w:tcBorders>
            <w:shd w:fill="FEF3C7" w:val="clear"/>
            <w:tcMar>
              <w:top w:type="dxa" w:w="80"/>
              <w:left w:type="dxa" w:w="120"/>
              <w:bottom w:type="dxa" w:w="80"/>
              <w:right w:type="dxa" w:w="80"/>
            </w:tcMar>
          </w:tcPr>
          <w:p>
            <w:pPr>
              <w:spacing w:after="140" w:before="0"/>
              <w:jc w:val="left"/>
            </w:pPr>
            <w:r>
              <w:rPr>
                <w:rFonts w:ascii="Calibri" w:cs="Calibri" w:eastAsia="Calibri" w:hAnsi="Calibri"/>
                <w:b/>
                <w:bCs/>
                <w:i w:val="false"/>
                <w:iCs w:val="false"/>
                <w:color w:val="92400E"/>
                <w:sz w:val="19"/>
                <w:szCs w:val="19"/>
              </w:rPr>
              <w:t xml:space="preserve">🏢 Company Revenue</w:t>
            </w:r>
          </w:p>
        </w:tc>
        <w:tc>
          <w:tcPr>
            <w:tcW w:type="dxa" w:w="6360"/>
            <w:tcBorders>
              <w:top w:val="single" w:color="D1D5DB" w:sz="4"/>
              <w:left w:val="single" w:color="D1D5DB" w:sz="4"/>
              <w:bottom w:val="single" w:color="D1D5DB" w:sz="4"/>
              <w:right w:val="single" w:color="D1D5DB" w:sz="4"/>
            </w:tcBorders>
            <w:shd w:fill="FEF3C7" w:val="clear"/>
            <w:tcMar>
              <w:top w:type="dxa" w:w="80"/>
              <w:left w:type="dxa" w:w="120"/>
              <w:bottom w:type="dxa" w:w="80"/>
              <w:right w:type="dxa" w:w="80"/>
            </w:tcMar>
          </w:tcPr>
          <w:p>
            <w:pPr>
              <w:spacing w:after="140" w:before="0"/>
              <w:jc w:val="left"/>
            </w:pPr>
            <w:r>
              <w:rPr>
                <w:rFonts w:ascii="Calibri" w:cs="Calibri" w:eastAsia="Calibri" w:hAnsi="Calibri"/>
                <w:b w:val="false"/>
                <w:bCs w:val="false"/>
                <w:i w:val="false"/>
                <w:iCs w:val="false"/>
                <w:color w:val="1F2937"/>
                <w:sz w:val="19"/>
                <w:szCs w:val="19"/>
              </w:rPr>
              <w:t xml:space="preserve">Company generating positive EBITDA for 2+ consecutive years</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40" w:before="0"/>
              <w:jc w:val="left"/>
            </w:pPr>
            <w:r>
              <w:rPr>
                <w:rFonts w:ascii="Calibri" w:cs="Calibri" w:eastAsia="Calibri" w:hAnsi="Calibri"/>
                <w:b/>
                <w:bCs/>
                <w:i w:val="false"/>
                <w:iCs w:val="false"/>
                <w:color w:val="92400E"/>
                <w:sz w:val="19"/>
                <w:szCs w:val="19"/>
              </w:rPr>
              <w:t xml:space="preserve">📊 Liquidity Required</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40" w:before="0"/>
              <w:jc w:val="left"/>
            </w:pPr>
            <w:r>
              <w:rPr>
                <w:rFonts w:ascii="Calibri" w:cs="Calibri" w:eastAsia="Calibri" w:hAnsi="Calibri"/>
                <w:b w:val="false"/>
                <w:bCs w:val="false"/>
                <w:i w:val="false"/>
                <w:iCs w:val="false"/>
                <w:color w:val="1F2937"/>
                <w:sz w:val="19"/>
                <w:szCs w:val="19"/>
              </w:rPr>
              <w:t xml:space="preserve">Down payment from cash savings — never leverage startup equity to buy real estate</w:t>
            </w:r>
          </w:p>
        </w:tc>
      </w:tr>
      <w:tr>
        <w:tc>
          <w:tcPr>
            <w:tcW w:type="dxa" w:w="3000"/>
            <w:tcBorders>
              <w:top w:val="single" w:color="D1D5DB" w:sz="4"/>
              <w:left w:val="single" w:color="D1D5DB" w:sz="4"/>
              <w:bottom w:val="single" w:color="D1D5DB" w:sz="4"/>
              <w:right w:val="single" w:color="D1D5DB" w:sz="4"/>
            </w:tcBorders>
            <w:shd w:fill="FEF3C7" w:val="clear"/>
            <w:tcMar>
              <w:top w:type="dxa" w:w="80"/>
              <w:left w:type="dxa" w:w="120"/>
              <w:bottom w:type="dxa" w:w="80"/>
              <w:right w:type="dxa" w:w="80"/>
            </w:tcMar>
          </w:tcPr>
          <w:p>
            <w:pPr>
              <w:spacing w:after="140" w:before="0"/>
              <w:jc w:val="left"/>
            </w:pPr>
            <w:r>
              <w:rPr>
                <w:rFonts w:ascii="Calibri" w:cs="Calibri" w:eastAsia="Calibri" w:hAnsi="Calibri"/>
                <w:b/>
                <w:bCs/>
                <w:i w:val="false"/>
                <w:iCs w:val="false"/>
                <w:color w:val="92400E"/>
                <w:sz w:val="19"/>
                <w:szCs w:val="19"/>
              </w:rPr>
              <w:t xml:space="preserve">⚠️ Key Risk</w:t>
            </w:r>
          </w:p>
        </w:tc>
        <w:tc>
          <w:tcPr>
            <w:tcW w:type="dxa" w:w="6360"/>
            <w:tcBorders>
              <w:top w:val="single" w:color="D1D5DB" w:sz="4"/>
              <w:left w:val="single" w:color="D1D5DB" w:sz="4"/>
              <w:bottom w:val="single" w:color="D1D5DB" w:sz="4"/>
              <w:right w:val="single" w:color="D1D5DB" w:sz="4"/>
            </w:tcBorders>
            <w:shd w:fill="FEF3C7" w:val="clear"/>
            <w:tcMar>
              <w:top w:type="dxa" w:w="80"/>
              <w:left w:type="dxa" w:w="120"/>
              <w:bottom w:type="dxa" w:w="80"/>
              <w:right w:type="dxa" w:w="80"/>
            </w:tcMar>
          </w:tcPr>
          <w:p>
            <w:pPr>
              <w:spacing w:after="140" w:before="0"/>
              <w:jc w:val="left"/>
            </w:pPr>
            <w:r>
              <w:rPr>
                <w:rFonts w:ascii="Calibri" w:cs="Calibri" w:eastAsia="Calibri" w:hAnsi="Calibri"/>
                <w:b w:val="false"/>
                <w:bCs w:val="false"/>
                <w:i w:val="false"/>
                <w:iCs w:val="false"/>
                <w:color w:val="1F2937"/>
                <w:sz w:val="19"/>
                <w:szCs w:val="19"/>
              </w:rPr>
              <w:t xml:space="preserve">Annual carrying cost: property tax + maintenance + staff = ₹20–50L/year on a ₹20Cr property</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40" w:before="0"/>
              <w:jc w:val="left"/>
            </w:pPr>
            <w:r>
              <w:rPr>
                <w:rFonts w:ascii="Calibri" w:cs="Calibri" w:eastAsia="Calibri" w:hAnsi="Calibri"/>
                <w:b/>
                <w:bCs/>
                <w:i w:val="false"/>
                <w:iCs w:val="false"/>
                <w:color w:val="92400E"/>
                <w:sz w:val="19"/>
                <w:szCs w:val="19"/>
              </w:rPr>
              <w:t xml:space="preserve">✅ Better Alternative First</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40" w:before="0"/>
              <w:jc w:val="left"/>
            </w:pPr>
            <w:r>
              <w:rPr>
                <w:rFonts w:ascii="Calibri" w:cs="Calibri" w:eastAsia="Calibri" w:hAnsi="Calibri"/>
                <w:b w:val="false"/>
                <w:bCs w:val="false"/>
                <w:i w:val="false"/>
                <w:iCs w:val="false"/>
                <w:color w:val="1F2937"/>
                <w:sz w:val="19"/>
                <w:szCs w:val="19"/>
              </w:rPr>
              <w:t xml:space="preserve">Buy one primary home at 4–5× annual income (e.g. ₹2Cr home on ₹40L salary). Live in it. Do not rent. Build equity slowly.</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11.4 — Private Aircraft (Fractional → Full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4"/>
              <w:left w:val="single" w:color="D1D5DB" w:sz="4"/>
              <w:bottom w:val="single" w:color="D1D5DB" w:sz="4"/>
              <w:right w:val="single" w:color="D1D5DB" w:sz="4"/>
            </w:tcBorders>
            <w:shd w:fill="FEF3C7" w:val="clear"/>
            <w:tcMar>
              <w:top w:type="dxa" w:w="80"/>
              <w:left w:type="dxa" w:w="120"/>
              <w:bottom w:type="dxa" w:w="80"/>
              <w:right w:type="dxa" w:w="80"/>
            </w:tcMar>
          </w:tcPr>
          <w:p>
            <w:pPr>
              <w:spacing w:after="140" w:before="0"/>
              <w:jc w:val="left"/>
            </w:pPr>
            <w:r>
              <w:rPr>
                <w:rFonts w:ascii="Calibri" w:cs="Calibri" w:eastAsia="Calibri" w:hAnsi="Calibri"/>
                <w:b/>
                <w:bCs/>
                <w:i w:val="false"/>
                <w:iCs w:val="false"/>
                <w:color w:val="92400E"/>
                <w:sz w:val="19"/>
                <w:szCs w:val="19"/>
              </w:rPr>
              <w:t xml:space="preserve">💰 Recommended Net Worth</w:t>
            </w:r>
          </w:p>
        </w:tc>
        <w:tc>
          <w:tcPr>
            <w:tcW w:type="dxa" w:w="6360"/>
            <w:tcBorders>
              <w:top w:val="single" w:color="D1D5DB" w:sz="4"/>
              <w:left w:val="single" w:color="D1D5DB" w:sz="4"/>
              <w:bottom w:val="single" w:color="D1D5DB" w:sz="4"/>
              <w:right w:val="single" w:color="D1D5DB" w:sz="4"/>
            </w:tcBorders>
            <w:shd w:fill="FEF3C7" w:val="clear"/>
            <w:tcMar>
              <w:top w:type="dxa" w:w="80"/>
              <w:left w:type="dxa" w:w="120"/>
              <w:bottom w:type="dxa" w:w="80"/>
              <w:right w:type="dxa" w:w="80"/>
            </w:tcMar>
          </w:tcPr>
          <w:p>
            <w:pPr>
              <w:spacing w:after="140" w:before="0"/>
              <w:jc w:val="left"/>
            </w:pPr>
            <w:r>
              <w:rPr>
                <w:rFonts w:ascii="Calibri" w:cs="Calibri" w:eastAsia="Calibri" w:hAnsi="Calibri"/>
                <w:b w:val="false"/>
                <w:bCs w:val="false"/>
                <w:i w:val="false"/>
                <w:iCs w:val="false"/>
                <w:color w:val="1F2937"/>
                <w:sz w:val="19"/>
                <w:szCs w:val="19"/>
              </w:rPr>
              <w:t xml:space="preserve">Fractional: ₹100Cr net worth liquid. Full ownership: ₹500Cr+ net worth</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40" w:before="0"/>
              <w:jc w:val="left"/>
            </w:pPr>
            <w:r>
              <w:rPr>
                <w:rFonts w:ascii="Calibri" w:cs="Calibri" w:eastAsia="Calibri" w:hAnsi="Calibri"/>
                <w:b/>
                <w:bCs/>
                <w:i w:val="false"/>
                <w:iCs w:val="false"/>
                <w:color w:val="92400E"/>
                <w:sz w:val="19"/>
                <w:szCs w:val="19"/>
              </w:rPr>
              <w:t xml:space="preserve">💵 Recommended Annual Income</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40" w:before="0"/>
              <w:jc w:val="left"/>
            </w:pPr>
            <w:r>
              <w:rPr>
                <w:rFonts w:ascii="Calibri" w:cs="Calibri" w:eastAsia="Calibri" w:hAnsi="Calibri"/>
                <w:b w:val="false"/>
                <w:bCs w:val="false"/>
                <w:i w:val="false"/>
                <w:iCs w:val="false"/>
                <w:color w:val="1F2937"/>
                <w:sz w:val="19"/>
                <w:szCs w:val="19"/>
              </w:rPr>
              <w:t xml:space="preserve">Fractional: ₹10Cr+ annual income. Full ownership: ₹50Cr+ annual income</w:t>
            </w:r>
          </w:p>
        </w:tc>
      </w:tr>
      <w:tr>
        <w:tc>
          <w:tcPr>
            <w:tcW w:type="dxa" w:w="3000"/>
            <w:tcBorders>
              <w:top w:val="single" w:color="D1D5DB" w:sz="4"/>
              <w:left w:val="single" w:color="D1D5DB" w:sz="4"/>
              <w:bottom w:val="single" w:color="D1D5DB" w:sz="4"/>
              <w:right w:val="single" w:color="D1D5DB" w:sz="4"/>
            </w:tcBorders>
            <w:shd w:fill="FEF3C7" w:val="clear"/>
            <w:tcMar>
              <w:top w:type="dxa" w:w="80"/>
              <w:left w:type="dxa" w:w="120"/>
              <w:bottom w:type="dxa" w:w="80"/>
              <w:right w:type="dxa" w:w="80"/>
            </w:tcMar>
          </w:tcPr>
          <w:p>
            <w:pPr>
              <w:spacing w:after="140" w:before="0"/>
              <w:jc w:val="left"/>
            </w:pPr>
            <w:r>
              <w:rPr>
                <w:rFonts w:ascii="Calibri" w:cs="Calibri" w:eastAsia="Calibri" w:hAnsi="Calibri"/>
                <w:b/>
                <w:bCs/>
                <w:i w:val="false"/>
                <w:iCs w:val="false"/>
                <w:color w:val="92400E"/>
                <w:sz w:val="19"/>
                <w:szCs w:val="19"/>
              </w:rPr>
              <w:t xml:space="preserve">🏢 Company Revenue</w:t>
            </w:r>
          </w:p>
        </w:tc>
        <w:tc>
          <w:tcPr>
            <w:tcW w:type="dxa" w:w="6360"/>
            <w:tcBorders>
              <w:top w:val="single" w:color="D1D5DB" w:sz="4"/>
              <w:left w:val="single" w:color="D1D5DB" w:sz="4"/>
              <w:bottom w:val="single" w:color="D1D5DB" w:sz="4"/>
              <w:right w:val="single" w:color="D1D5DB" w:sz="4"/>
            </w:tcBorders>
            <w:shd w:fill="FEF3C7" w:val="clear"/>
            <w:tcMar>
              <w:top w:type="dxa" w:w="80"/>
              <w:left w:type="dxa" w:w="120"/>
              <w:bottom w:type="dxa" w:w="80"/>
              <w:right w:type="dxa" w:w="80"/>
            </w:tcMar>
          </w:tcPr>
          <w:p>
            <w:pPr>
              <w:spacing w:after="140" w:before="0"/>
              <w:jc w:val="left"/>
            </w:pPr>
            <w:r>
              <w:rPr>
                <w:rFonts w:ascii="Calibri" w:cs="Calibri" w:eastAsia="Calibri" w:hAnsi="Calibri"/>
                <w:b w:val="false"/>
                <w:bCs w:val="false"/>
                <w:i w:val="false"/>
                <w:iCs w:val="false"/>
                <w:color w:val="1F2937"/>
                <w:sz w:val="19"/>
                <w:szCs w:val="19"/>
              </w:rPr>
              <w:t xml:space="preserve">Company at ₹500Cr+ ARR for fractional ownership to make business sense</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40" w:before="0"/>
              <w:jc w:val="left"/>
            </w:pPr>
            <w:r>
              <w:rPr>
                <w:rFonts w:ascii="Calibri" w:cs="Calibri" w:eastAsia="Calibri" w:hAnsi="Calibri"/>
                <w:b/>
                <w:bCs/>
                <w:i w:val="false"/>
                <w:iCs w:val="false"/>
                <w:color w:val="92400E"/>
                <w:sz w:val="19"/>
                <w:szCs w:val="19"/>
              </w:rPr>
              <w:t xml:space="preserve">📊 Liquidity Required</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40" w:before="0"/>
              <w:jc w:val="left"/>
            </w:pPr>
            <w:r>
              <w:rPr>
                <w:rFonts w:ascii="Calibri" w:cs="Calibri" w:eastAsia="Calibri" w:hAnsi="Calibri"/>
                <w:b w:val="false"/>
                <w:bCs w:val="false"/>
                <w:i w:val="false"/>
                <w:iCs w:val="false"/>
                <w:color w:val="1F2937"/>
                <w:sz w:val="19"/>
                <w:szCs w:val="19"/>
              </w:rPr>
              <w:t xml:space="preserve">Full aircraft ownership: fixed costs alone (crew, insurance, hangar, maintenance) = ₹5–10Cr/year</w:t>
            </w:r>
          </w:p>
        </w:tc>
      </w:tr>
      <w:tr>
        <w:tc>
          <w:tcPr>
            <w:tcW w:type="dxa" w:w="3000"/>
            <w:tcBorders>
              <w:top w:val="single" w:color="D1D5DB" w:sz="4"/>
              <w:left w:val="single" w:color="D1D5DB" w:sz="4"/>
              <w:bottom w:val="single" w:color="D1D5DB" w:sz="4"/>
              <w:right w:val="single" w:color="D1D5DB" w:sz="4"/>
            </w:tcBorders>
            <w:shd w:fill="FEF3C7" w:val="clear"/>
            <w:tcMar>
              <w:top w:type="dxa" w:w="80"/>
              <w:left w:type="dxa" w:w="120"/>
              <w:bottom w:type="dxa" w:w="80"/>
              <w:right w:type="dxa" w:w="80"/>
            </w:tcMar>
          </w:tcPr>
          <w:p>
            <w:pPr>
              <w:spacing w:after="140" w:before="0"/>
              <w:jc w:val="left"/>
            </w:pPr>
            <w:r>
              <w:rPr>
                <w:rFonts w:ascii="Calibri" w:cs="Calibri" w:eastAsia="Calibri" w:hAnsi="Calibri"/>
                <w:b/>
                <w:bCs/>
                <w:i w:val="false"/>
                <w:iCs w:val="false"/>
                <w:color w:val="92400E"/>
                <w:sz w:val="19"/>
                <w:szCs w:val="19"/>
              </w:rPr>
              <w:t xml:space="preserve">⚠️ Key Risk</w:t>
            </w:r>
          </w:p>
        </w:tc>
        <w:tc>
          <w:tcPr>
            <w:tcW w:type="dxa" w:w="6360"/>
            <w:tcBorders>
              <w:top w:val="single" w:color="D1D5DB" w:sz="4"/>
              <w:left w:val="single" w:color="D1D5DB" w:sz="4"/>
              <w:bottom w:val="single" w:color="D1D5DB" w:sz="4"/>
              <w:right w:val="single" w:color="D1D5DB" w:sz="4"/>
            </w:tcBorders>
            <w:shd w:fill="FEF3C7" w:val="clear"/>
            <w:tcMar>
              <w:top w:type="dxa" w:w="80"/>
              <w:left w:type="dxa" w:w="120"/>
              <w:bottom w:type="dxa" w:w="80"/>
              <w:right w:type="dxa" w:w="80"/>
            </w:tcMar>
          </w:tcPr>
          <w:p>
            <w:pPr>
              <w:spacing w:after="140" w:before="0"/>
              <w:jc w:val="left"/>
            </w:pPr>
            <w:r>
              <w:rPr>
                <w:rFonts w:ascii="Calibri" w:cs="Calibri" w:eastAsia="Calibri" w:hAnsi="Calibri"/>
                <w:b w:val="false"/>
                <w:bCs w:val="false"/>
                <w:i w:val="false"/>
                <w:iCs w:val="false"/>
                <w:color w:val="1F2937"/>
                <w:sz w:val="19"/>
                <w:szCs w:val="19"/>
              </w:rPr>
              <w:t xml:space="preserve">Time ROI: a CEO who flies 150+ hours/year on private has a measurable productivity case. Below 50 hours: take business class.</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40" w:before="0"/>
              <w:jc w:val="left"/>
            </w:pPr>
            <w:r>
              <w:rPr>
                <w:rFonts w:ascii="Calibri" w:cs="Calibri" w:eastAsia="Calibri" w:hAnsi="Calibri"/>
                <w:b/>
                <w:bCs/>
                <w:i w:val="false"/>
                <w:iCs w:val="false"/>
                <w:color w:val="92400E"/>
                <w:sz w:val="19"/>
                <w:szCs w:val="19"/>
              </w:rPr>
              <w:t xml:space="preserve">✅ Better Alternative First</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40" w:before="0"/>
              <w:jc w:val="left"/>
            </w:pPr>
            <w:r>
              <w:rPr>
                <w:rFonts w:ascii="Calibri" w:cs="Calibri" w:eastAsia="Calibri" w:hAnsi="Calibri"/>
                <w:b w:val="false"/>
                <w:bCs w:val="false"/>
                <w:i w:val="false"/>
                <w:iCs w:val="false"/>
                <w:color w:val="1F2937"/>
                <w:sz w:val="19"/>
                <w:szCs w:val="19"/>
              </w:rPr>
              <w:t xml:space="preserve">Business class for all travel. Fractional charter (Aircharter India, Club One Air) when time ROI exceeds ₹50,000/hour of saved time.</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11.5 — Yacht (₹5Cr–₹500Cr+)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4"/>
              <w:left w:val="single" w:color="D1D5DB" w:sz="4"/>
              <w:bottom w:val="single" w:color="D1D5DB" w:sz="4"/>
              <w:right w:val="single" w:color="D1D5DB" w:sz="4"/>
            </w:tcBorders>
            <w:shd w:fill="FEF3C7" w:val="clear"/>
            <w:tcMar>
              <w:top w:type="dxa" w:w="80"/>
              <w:left w:type="dxa" w:w="120"/>
              <w:bottom w:type="dxa" w:w="80"/>
              <w:right w:type="dxa" w:w="80"/>
            </w:tcMar>
          </w:tcPr>
          <w:p>
            <w:pPr>
              <w:spacing w:after="140" w:before="0"/>
              <w:jc w:val="left"/>
            </w:pPr>
            <w:r>
              <w:rPr>
                <w:rFonts w:ascii="Calibri" w:cs="Calibri" w:eastAsia="Calibri" w:hAnsi="Calibri"/>
                <w:b/>
                <w:bCs/>
                <w:i w:val="false"/>
                <w:iCs w:val="false"/>
                <w:color w:val="92400E"/>
                <w:sz w:val="19"/>
                <w:szCs w:val="19"/>
              </w:rPr>
              <w:t xml:space="preserve">💰 Recommended Net Worth</w:t>
            </w:r>
          </w:p>
        </w:tc>
        <w:tc>
          <w:tcPr>
            <w:tcW w:type="dxa" w:w="6360"/>
            <w:tcBorders>
              <w:top w:val="single" w:color="D1D5DB" w:sz="4"/>
              <w:left w:val="single" w:color="D1D5DB" w:sz="4"/>
              <w:bottom w:val="single" w:color="D1D5DB" w:sz="4"/>
              <w:right w:val="single" w:color="D1D5DB" w:sz="4"/>
            </w:tcBorders>
            <w:shd w:fill="FEF3C7" w:val="clear"/>
            <w:tcMar>
              <w:top w:type="dxa" w:w="80"/>
              <w:left w:type="dxa" w:w="120"/>
              <w:bottom w:type="dxa" w:w="80"/>
              <w:right w:type="dxa" w:w="80"/>
            </w:tcMar>
          </w:tcPr>
          <w:p>
            <w:pPr>
              <w:spacing w:after="140" w:before="0"/>
              <w:jc w:val="left"/>
            </w:pPr>
            <w:r>
              <w:rPr>
                <w:rFonts w:ascii="Calibri" w:cs="Calibri" w:eastAsia="Calibri" w:hAnsi="Calibri"/>
                <w:b w:val="false"/>
                <w:bCs w:val="false"/>
                <w:i w:val="false"/>
                <w:iCs w:val="false"/>
                <w:color w:val="1F2937"/>
                <w:sz w:val="19"/>
                <w:szCs w:val="19"/>
              </w:rPr>
              <w:t xml:space="preserve">₹200Cr+ net worth liquid for any yacht above ₹5Cr</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40" w:before="0"/>
              <w:jc w:val="left"/>
            </w:pPr>
            <w:r>
              <w:rPr>
                <w:rFonts w:ascii="Calibri" w:cs="Calibri" w:eastAsia="Calibri" w:hAnsi="Calibri"/>
                <w:b/>
                <w:bCs/>
                <w:i w:val="false"/>
                <w:iCs w:val="false"/>
                <w:color w:val="92400E"/>
                <w:sz w:val="19"/>
                <w:szCs w:val="19"/>
              </w:rPr>
              <w:t xml:space="preserve">💵 Recommended Annual Income</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40" w:before="0"/>
              <w:jc w:val="left"/>
            </w:pPr>
            <w:r>
              <w:rPr>
                <w:rFonts w:ascii="Calibri" w:cs="Calibri" w:eastAsia="Calibri" w:hAnsi="Calibri"/>
                <w:b w:val="false"/>
                <w:bCs w:val="false"/>
                <w:i w:val="false"/>
                <w:iCs w:val="false"/>
                <w:color w:val="1F2937"/>
                <w:sz w:val="19"/>
                <w:szCs w:val="19"/>
              </w:rPr>
              <w:t xml:space="preserve">₹20Cr+ annual income — yachts consume 10–15% of purchase price annually in operating costs</w:t>
            </w:r>
          </w:p>
        </w:tc>
      </w:tr>
      <w:tr>
        <w:tc>
          <w:tcPr>
            <w:tcW w:type="dxa" w:w="3000"/>
            <w:tcBorders>
              <w:top w:val="single" w:color="D1D5DB" w:sz="4"/>
              <w:left w:val="single" w:color="D1D5DB" w:sz="4"/>
              <w:bottom w:val="single" w:color="D1D5DB" w:sz="4"/>
              <w:right w:val="single" w:color="D1D5DB" w:sz="4"/>
            </w:tcBorders>
            <w:shd w:fill="FEF3C7" w:val="clear"/>
            <w:tcMar>
              <w:top w:type="dxa" w:w="80"/>
              <w:left w:type="dxa" w:w="120"/>
              <w:bottom w:type="dxa" w:w="80"/>
              <w:right w:type="dxa" w:w="80"/>
            </w:tcMar>
          </w:tcPr>
          <w:p>
            <w:pPr>
              <w:spacing w:after="140" w:before="0"/>
              <w:jc w:val="left"/>
            </w:pPr>
            <w:r>
              <w:rPr>
                <w:rFonts w:ascii="Calibri" w:cs="Calibri" w:eastAsia="Calibri" w:hAnsi="Calibri"/>
                <w:b/>
                <w:bCs/>
                <w:i w:val="false"/>
                <w:iCs w:val="false"/>
                <w:color w:val="92400E"/>
                <w:sz w:val="19"/>
                <w:szCs w:val="19"/>
              </w:rPr>
              <w:t xml:space="preserve">🏢 Company Revenue</w:t>
            </w:r>
          </w:p>
        </w:tc>
        <w:tc>
          <w:tcPr>
            <w:tcW w:type="dxa" w:w="6360"/>
            <w:tcBorders>
              <w:top w:val="single" w:color="D1D5DB" w:sz="4"/>
              <w:left w:val="single" w:color="D1D5DB" w:sz="4"/>
              <w:bottom w:val="single" w:color="D1D5DB" w:sz="4"/>
              <w:right w:val="single" w:color="D1D5DB" w:sz="4"/>
            </w:tcBorders>
            <w:shd w:fill="FEF3C7" w:val="clear"/>
            <w:tcMar>
              <w:top w:type="dxa" w:w="80"/>
              <w:left w:type="dxa" w:w="120"/>
              <w:bottom w:type="dxa" w:w="80"/>
              <w:right w:type="dxa" w:w="80"/>
            </w:tcMar>
          </w:tcPr>
          <w:p>
            <w:pPr>
              <w:spacing w:after="140" w:before="0"/>
              <w:jc w:val="left"/>
            </w:pPr>
            <w:r>
              <w:rPr>
                <w:rFonts w:ascii="Calibri" w:cs="Calibri" w:eastAsia="Calibri" w:hAnsi="Calibri"/>
                <w:b w:val="false"/>
                <w:bCs w:val="false"/>
                <w:i w:val="false"/>
                <w:iCs w:val="false"/>
                <w:color w:val="1F2937"/>
                <w:sz w:val="19"/>
                <w:szCs w:val="19"/>
              </w:rPr>
              <w:t xml:space="preserve">Company at ₹1,000Cr ARR — this is a billionaire's purchase, not a scale-up founder's purchase</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40" w:before="0"/>
              <w:jc w:val="left"/>
            </w:pPr>
            <w:r>
              <w:rPr>
                <w:rFonts w:ascii="Calibri" w:cs="Calibri" w:eastAsia="Calibri" w:hAnsi="Calibri"/>
                <w:b/>
                <w:bCs/>
                <w:i w:val="false"/>
                <w:iCs w:val="false"/>
                <w:color w:val="92400E"/>
                <w:sz w:val="19"/>
                <w:szCs w:val="19"/>
              </w:rPr>
              <w:t xml:space="preserve">📊 Liquidity Required</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40" w:before="0"/>
              <w:jc w:val="left"/>
            </w:pPr>
            <w:r>
              <w:rPr>
                <w:rFonts w:ascii="Calibri" w:cs="Calibri" w:eastAsia="Calibri" w:hAnsi="Calibri"/>
                <w:b w:val="false"/>
                <w:bCs w:val="false"/>
                <w:i w:val="false"/>
                <w:iCs w:val="false"/>
                <w:color w:val="1F2937"/>
                <w:sz w:val="19"/>
                <w:szCs w:val="19"/>
              </w:rPr>
              <w:t xml:space="preserve">Annual operating cost of a ₹50Cr yacht: ₹5–8Cr (crew, dock, fuel, insurance, maintenance)</w:t>
            </w:r>
          </w:p>
        </w:tc>
      </w:tr>
      <w:tr>
        <w:tc>
          <w:tcPr>
            <w:tcW w:type="dxa" w:w="3000"/>
            <w:tcBorders>
              <w:top w:val="single" w:color="D1D5DB" w:sz="4"/>
              <w:left w:val="single" w:color="D1D5DB" w:sz="4"/>
              <w:bottom w:val="single" w:color="D1D5DB" w:sz="4"/>
              <w:right w:val="single" w:color="D1D5DB" w:sz="4"/>
            </w:tcBorders>
            <w:shd w:fill="FEF3C7" w:val="clear"/>
            <w:tcMar>
              <w:top w:type="dxa" w:w="80"/>
              <w:left w:type="dxa" w:w="120"/>
              <w:bottom w:type="dxa" w:w="80"/>
              <w:right w:type="dxa" w:w="80"/>
            </w:tcMar>
          </w:tcPr>
          <w:p>
            <w:pPr>
              <w:spacing w:after="140" w:before="0"/>
              <w:jc w:val="left"/>
            </w:pPr>
            <w:r>
              <w:rPr>
                <w:rFonts w:ascii="Calibri" w:cs="Calibri" w:eastAsia="Calibri" w:hAnsi="Calibri"/>
                <w:b/>
                <w:bCs/>
                <w:i w:val="false"/>
                <w:iCs w:val="false"/>
                <w:color w:val="92400E"/>
                <w:sz w:val="19"/>
                <w:szCs w:val="19"/>
              </w:rPr>
              <w:t xml:space="preserve">⚠️ Key Risk</w:t>
            </w:r>
          </w:p>
        </w:tc>
        <w:tc>
          <w:tcPr>
            <w:tcW w:type="dxa" w:w="6360"/>
            <w:tcBorders>
              <w:top w:val="single" w:color="D1D5DB" w:sz="4"/>
              <w:left w:val="single" w:color="D1D5DB" w:sz="4"/>
              <w:bottom w:val="single" w:color="D1D5DB" w:sz="4"/>
              <w:right w:val="single" w:color="D1D5DB" w:sz="4"/>
            </w:tcBorders>
            <w:shd w:fill="FEF3C7" w:val="clear"/>
            <w:tcMar>
              <w:top w:type="dxa" w:w="80"/>
              <w:left w:type="dxa" w:w="120"/>
              <w:bottom w:type="dxa" w:w="80"/>
              <w:right w:type="dxa" w:w="80"/>
            </w:tcMar>
          </w:tcPr>
          <w:p>
            <w:pPr>
              <w:spacing w:after="140" w:before="0"/>
              <w:jc w:val="left"/>
            </w:pPr>
            <w:r>
              <w:rPr>
                <w:rFonts w:ascii="Calibri" w:cs="Calibri" w:eastAsia="Calibri" w:hAnsi="Calibri"/>
                <w:b w:val="false"/>
                <w:bCs w:val="false"/>
                <w:i w:val="false"/>
                <w:iCs w:val="false"/>
                <w:color w:val="1F2937"/>
                <w:sz w:val="19"/>
                <w:szCs w:val="19"/>
              </w:rPr>
              <w:t xml:space="preserve">The richest people in the world charter yachts rather than owning them. 90% of yacht time is wasted depreciation.</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40" w:before="0"/>
              <w:jc w:val="left"/>
            </w:pPr>
            <w:r>
              <w:rPr>
                <w:rFonts w:ascii="Calibri" w:cs="Calibri" w:eastAsia="Calibri" w:hAnsi="Calibri"/>
                <w:b/>
                <w:bCs/>
                <w:i w:val="false"/>
                <w:iCs w:val="false"/>
                <w:color w:val="92400E"/>
                <w:sz w:val="19"/>
                <w:szCs w:val="19"/>
              </w:rPr>
              <w:t xml:space="preserve">✅ Better Alternative First</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40" w:before="0"/>
              <w:jc w:val="left"/>
            </w:pPr>
            <w:r>
              <w:rPr>
                <w:rFonts w:ascii="Calibri" w:cs="Calibri" w:eastAsia="Calibri" w:hAnsi="Calibri"/>
                <w:b w:val="false"/>
                <w:bCs w:val="false"/>
                <w:i w:val="false"/>
                <w:iCs w:val="false"/>
                <w:color w:val="1F2937"/>
                <w:sz w:val="19"/>
                <w:szCs w:val="19"/>
              </w:rPr>
              <w:t xml:space="preserve">Charter a yacht for ₹20–50L for a week. Experience the lifestyle. Realise you do not need to own one.</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11.6 — The Family Office (₹50Cr–₹500Cr+)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4"/>
              <w:left w:val="single" w:color="D1D5DB" w:sz="4"/>
              <w:bottom w:val="single" w:color="D1D5DB" w:sz="4"/>
              <w:right w:val="single" w:color="D1D5DB" w:sz="4"/>
            </w:tcBorders>
            <w:shd w:fill="FEF3C7" w:val="clear"/>
            <w:tcMar>
              <w:top w:type="dxa" w:w="80"/>
              <w:left w:type="dxa" w:w="120"/>
              <w:bottom w:type="dxa" w:w="80"/>
              <w:right w:type="dxa" w:w="80"/>
            </w:tcMar>
          </w:tcPr>
          <w:p>
            <w:pPr>
              <w:spacing w:after="140" w:before="0"/>
              <w:jc w:val="left"/>
            </w:pPr>
            <w:r>
              <w:rPr>
                <w:rFonts w:ascii="Calibri" w:cs="Calibri" w:eastAsia="Calibri" w:hAnsi="Calibri"/>
                <w:b/>
                <w:bCs/>
                <w:i w:val="false"/>
                <w:iCs w:val="false"/>
                <w:color w:val="92400E"/>
                <w:sz w:val="19"/>
                <w:szCs w:val="19"/>
              </w:rPr>
              <w:t xml:space="preserve">💰 Recommended Net Worth</w:t>
            </w:r>
          </w:p>
        </w:tc>
        <w:tc>
          <w:tcPr>
            <w:tcW w:type="dxa" w:w="6360"/>
            <w:tcBorders>
              <w:top w:val="single" w:color="D1D5DB" w:sz="4"/>
              <w:left w:val="single" w:color="D1D5DB" w:sz="4"/>
              <w:bottom w:val="single" w:color="D1D5DB" w:sz="4"/>
              <w:right w:val="single" w:color="D1D5DB" w:sz="4"/>
            </w:tcBorders>
            <w:shd w:fill="FEF3C7" w:val="clear"/>
            <w:tcMar>
              <w:top w:type="dxa" w:w="80"/>
              <w:left w:type="dxa" w:w="120"/>
              <w:bottom w:type="dxa" w:w="80"/>
              <w:right w:type="dxa" w:w="80"/>
            </w:tcMar>
          </w:tcPr>
          <w:p>
            <w:pPr>
              <w:spacing w:after="140" w:before="0"/>
              <w:jc w:val="left"/>
            </w:pPr>
            <w:r>
              <w:rPr>
                <w:rFonts w:ascii="Calibri" w:cs="Calibri" w:eastAsia="Calibri" w:hAnsi="Calibri"/>
                <w:b w:val="false"/>
                <w:bCs w:val="false"/>
                <w:i w:val="false"/>
                <w:iCs w:val="false"/>
                <w:color w:val="1F2937"/>
                <w:sz w:val="19"/>
                <w:szCs w:val="19"/>
              </w:rPr>
              <w:t xml:space="preserve">₹50–100Cr in LIQUID personal assets minimum for a meaningful single-family office</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40" w:before="0"/>
              <w:jc w:val="left"/>
            </w:pPr>
            <w:r>
              <w:rPr>
                <w:rFonts w:ascii="Calibri" w:cs="Calibri" w:eastAsia="Calibri" w:hAnsi="Calibri"/>
                <w:b/>
                <w:bCs/>
                <w:i w:val="false"/>
                <w:iCs w:val="false"/>
                <w:color w:val="92400E"/>
                <w:sz w:val="19"/>
                <w:szCs w:val="19"/>
              </w:rPr>
              <w:t xml:space="preserve">💵 Recommended Annual Income</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40" w:before="0"/>
              <w:jc w:val="left"/>
            </w:pPr>
            <w:r>
              <w:rPr>
                <w:rFonts w:ascii="Calibri" w:cs="Calibri" w:eastAsia="Calibri" w:hAnsi="Calibri"/>
                <w:b w:val="false"/>
                <w:bCs w:val="false"/>
                <w:i w:val="false"/>
                <w:iCs w:val="false"/>
                <w:color w:val="1F2937"/>
                <w:sz w:val="19"/>
                <w:szCs w:val="19"/>
              </w:rPr>
              <w:t xml:space="preserve">N/A — family office is funded from wealth, not income</w:t>
            </w:r>
          </w:p>
        </w:tc>
      </w:tr>
      <w:tr>
        <w:tc>
          <w:tcPr>
            <w:tcW w:type="dxa" w:w="3000"/>
            <w:tcBorders>
              <w:top w:val="single" w:color="D1D5DB" w:sz="4"/>
              <w:left w:val="single" w:color="D1D5DB" w:sz="4"/>
              <w:bottom w:val="single" w:color="D1D5DB" w:sz="4"/>
              <w:right w:val="single" w:color="D1D5DB" w:sz="4"/>
            </w:tcBorders>
            <w:shd w:fill="FEF3C7" w:val="clear"/>
            <w:tcMar>
              <w:top w:type="dxa" w:w="80"/>
              <w:left w:type="dxa" w:w="120"/>
              <w:bottom w:type="dxa" w:w="80"/>
              <w:right w:type="dxa" w:w="80"/>
            </w:tcMar>
          </w:tcPr>
          <w:p>
            <w:pPr>
              <w:spacing w:after="140" w:before="0"/>
              <w:jc w:val="left"/>
            </w:pPr>
            <w:r>
              <w:rPr>
                <w:rFonts w:ascii="Calibri" w:cs="Calibri" w:eastAsia="Calibri" w:hAnsi="Calibri"/>
                <w:b/>
                <w:bCs/>
                <w:i w:val="false"/>
                <w:iCs w:val="false"/>
                <w:color w:val="92400E"/>
                <w:sz w:val="19"/>
                <w:szCs w:val="19"/>
              </w:rPr>
              <w:t xml:space="preserve">🏢 Company Revenue</w:t>
            </w:r>
          </w:p>
        </w:tc>
        <w:tc>
          <w:tcPr>
            <w:tcW w:type="dxa" w:w="6360"/>
            <w:tcBorders>
              <w:top w:val="single" w:color="D1D5DB" w:sz="4"/>
              <w:left w:val="single" w:color="D1D5DB" w:sz="4"/>
              <w:bottom w:val="single" w:color="D1D5DB" w:sz="4"/>
              <w:right w:val="single" w:color="D1D5DB" w:sz="4"/>
            </w:tcBorders>
            <w:shd w:fill="FEF3C7" w:val="clear"/>
            <w:tcMar>
              <w:top w:type="dxa" w:w="80"/>
              <w:left w:type="dxa" w:w="120"/>
              <w:bottom w:type="dxa" w:w="80"/>
              <w:right w:type="dxa" w:w="80"/>
            </w:tcMar>
          </w:tcPr>
          <w:p>
            <w:pPr>
              <w:spacing w:after="140" w:before="0"/>
              <w:jc w:val="left"/>
            </w:pPr>
            <w:r>
              <w:rPr>
                <w:rFonts w:ascii="Calibri" w:cs="Calibri" w:eastAsia="Calibri" w:hAnsi="Calibri"/>
                <w:b w:val="false"/>
                <w:bCs w:val="false"/>
                <w:i w:val="false"/>
                <w:iCs w:val="false"/>
                <w:color w:val="1F2937"/>
                <w:sz w:val="19"/>
                <w:szCs w:val="19"/>
              </w:rPr>
              <w:t xml:space="preserve">N/A — this is a personal wealth management structure, not business-dependent</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40" w:before="0"/>
              <w:jc w:val="left"/>
            </w:pPr>
            <w:r>
              <w:rPr>
                <w:rFonts w:ascii="Calibri" w:cs="Calibri" w:eastAsia="Calibri" w:hAnsi="Calibri"/>
                <w:b/>
                <w:bCs/>
                <w:i w:val="false"/>
                <w:iCs w:val="false"/>
                <w:color w:val="92400E"/>
                <w:sz w:val="19"/>
                <w:szCs w:val="19"/>
              </w:rPr>
              <w:t xml:space="preserve">📊 Liquidity Required</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40" w:before="0"/>
              <w:jc w:val="left"/>
            </w:pPr>
            <w:r>
              <w:rPr>
                <w:rFonts w:ascii="Calibri" w:cs="Calibri" w:eastAsia="Calibri" w:hAnsi="Calibri"/>
                <w:b w:val="false"/>
                <w:bCs w:val="false"/>
                <w:i w:val="false"/>
                <w:iCs w:val="false"/>
                <w:color w:val="1F2937"/>
                <w:sz w:val="19"/>
                <w:szCs w:val="19"/>
              </w:rPr>
              <w:t xml:space="preserve">Cost: ₹2–5Cr/year to run a proper family office. Below ₹50Cr AUM: cost exceeds benefit.</w:t>
            </w:r>
          </w:p>
        </w:tc>
      </w:tr>
      <w:tr>
        <w:tc>
          <w:tcPr>
            <w:tcW w:type="dxa" w:w="3000"/>
            <w:tcBorders>
              <w:top w:val="single" w:color="D1D5DB" w:sz="4"/>
              <w:left w:val="single" w:color="D1D5DB" w:sz="4"/>
              <w:bottom w:val="single" w:color="D1D5DB" w:sz="4"/>
              <w:right w:val="single" w:color="D1D5DB" w:sz="4"/>
            </w:tcBorders>
            <w:shd w:fill="FEF3C7" w:val="clear"/>
            <w:tcMar>
              <w:top w:type="dxa" w:w="80"/>
              <w:left w:type="dxa" w:w="120"/>
              <w:bottom w:type="dxa" w:w="80"/>
              <w:right w:type="dxa" w:w="80"/>
            </w:tcMar>
          </w:tcPr>
          <w:p>
            <w:pPr>
              <w:spacing w:after="140" w:before="0"/>
              <w:jc w:val="left"/>
            </w:pPr>
            <w:r>
              <w:rPr>
                <w:rFonts w:ascii="Calibri" w:cs="Calibri" w:eastAsia="Calibri" w:hAnsi="Calibri"/>
                <w:b/>
                <w:bCs/>
                <w:i w:val="false"/>
                <w:iCs w:val="false"/>
                <w:color w:val="92400E"/>
                <w:sz w:val="19"/>
                <w:szCs w:val="19"/>
              </w:rPr>
              <w:t xml:space="preserve">⚠️ Key Risk</w:t>
            </w:r>
          </w:p>
        </w:tc>
        <w:tc>
          <w:tcPr>
            <w:tcW w:type="dxa" w:w="6360"/>
            <w:tcBorders>
              <w:top w:val="single" w:color="D1D5DB" w:sz="4"/>
              <w:left w:val="single" w:color="D1D5DB" w:sz="4"/>
              <w:bottom w:val="single" w:color="D1D5DB" w:sz="4"/>
              <w:right w:val="single" w:color="D1D5DB" w:sz="4"/>
            </w:tcBorders>
            <w:shd w:fill="FEF3C7" w:val="clear"/>
            <w:tcMar>
              <w:top w:type="dxa" w:w="80"/>
              <w:left w:type="dxa" w:w="120"/>
              <w:bottom w:type="dxa" w:w="80"/>
              <w:right w:type="dxa" w:w="80"/>
            </w:tcMar>
          </w:tcPr>
          <w:p>
            <w:pPr>
              <w:spacing w:after="140" w:before="0"/>
              <w:jc w:val="left"/>
            </w:pPr>
            <w:r>
              <w:rPr>
                <w:rFonts w:ascii="Calibri" w:cs="Calibri" w:eastAsia="Calibri" w:hAnsi="Calibri"/>
                <w:b w:val="false"/>
                <w:bCs w:val="false"/>
                <w:i w:val="false"/>
                <w:iCs w:val="false"/>
                <w:color w:val="1F2937"/>
                <w:sz w:val="19"/>
                <w:szCs w:val="19"/>
              </w:rPr>
              <w:t xml:space="preserve">Multi-family office (shared infrastructure): monthly fees of ₹1–3L. Full-service private bank UHNI desk: ₹50L minimum.</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40" w:before="0"/>
              <w:jc w:val="left"/>
            </w:pPr>
            <w:r>
              <w:rPr>
                <w:rFonts w:ascii="Calibri" w:cs="Calibri" w:eastAsia="Calibri" w:hAnsi="Calibri"/>
                <w:b/>
                <w:bCs/>
                <w:i w:val="false"/>
                <w:iCs w:val="false"/>
                <w:color w:val="92400E"/>
                <w:sz w:val="19"/>
                <w:szCs w:val="19"/>
              </w:rPr>
              <w:t xml:space="preserve">✅ Better Alternative First</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40" w:before="0"/>
              <w:jc w:val="left"/>
            </w:pPr>
            <w:r>
              <w:rPr>
                <w:rFonts w:ascii="Calibri" w:cs="Calibri" w:eastAsia="Calibri" w:hAnsi="Calibri"/>
                <w:b w:val="false"/>
                <w:bCs w:val="false"/>
                <w:i w:val="false"/>
                <w:iCs w:val="false"/>
                <w:color w:val="1F2937"/>
                <w:sz w:val="19"/>
                <w:szCs w:val="19"/>
              </w:rPr>
              <w:t xml:space="preserve">For net worth below ₹25Cr: use a good private bank (HDFC Private, Kotak Wealth, ICICI Private Banking). Cost-effective.</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40" w:before="0"/>
              <w:jc w:val="center"/>
            </w:pPr>
            <w:r>
              <w:rPr>
                <w:rFonts w:ascii="Calibri" w:cs="Calibri" w:eastAsia="Calibri" w:hAnsi="Calibri"/>
                <w:b/>
                <w:bCs/>
                <w:i w:val="false"/>
                <w:iCs w:val="false"/>
                <w:color w:val="FFFFFF"/>
                <w:sz w:val="26"/>
                <w:szCs w:val="26"/>
              </w:rPr>
              <w:t xml:space="preserve">PART 12</w:t>
            </w:r>
          </w:p>
        </w:tc>
        <w:tc>
          <w:tcPr>
            <w:tcW w:type="dxa" w:w="8260"/>
            <w:tcBorders>
              <w:top w:val="none" w:color="FFFFFF" w:sz="0"/>
              <w:left w:val="none" w:color="FFFFFF" w:sz="0"/>
              <w:bottom w:val="none" w:color="FFFFFF" w:sz="0"/>
              <w:right w:val="none" w:color="FFFFFF" w:sz="0"/>
            </w:tcBorders>
            <w:shd w:fill="0A1628" w:val="clear"/>
            <w:tcMar>
              <w:top w:type="dxa" w:w="60"/>
              <w:left w:type="dxa" w:w="200"/>
              <w:bottom w:type="dxa" w:w="60"/>
              <w:right w:type="dxa" w:w="120"/>
            </w:tcMar>
            <w:vAlign w:val="center"/>
          </w:tcPr>
          <w:p>
            <w:pPr>
              <w:spacing w:after="40" w:before="0"/>
              <w:jc w:val="left"/>
            </w:pPr>
            <w:r>
              <w:rPr>
                <w:rFonts w:ascii="Calibri" w:cs="Calibri" w:eastAsia="Calibri" w:hAnsi="Calibri"/>
                <w:b/>
                <w:bCs/>
                <w:i w:val="false"/>
                <w:iCs w:val="false"/>
                <w:color w:val="FFFFFF"/>
                <w:sz w:val="26"/>
                <w:szCs w:val="26"/>
              </w:rPr>
              <w:t xml:space="preserve">ENTERPRISE RISK MANAGEMENT</w:t>
            </w:r>
          </w:p>
          <w:p>
            <w:pPr>
              <w:spacing w:after="140" w:before="0"/>
              <w:jc w:val="left"/>
            </w:pPr>
            <w:r>
              <w:rPr>
                <w:rFonts w:ascii="Calibri" w:cs="Calibri" w:eastAsia="Calibri" w:hAnsi="Calibri"/>
                <w:b w:val="false"/>
                <w:bCs w:val="false"/>
                <w:i w:val="false"/>
                <w:iCs w:val="false"/>
                <w:color w:val="AABBCC"/>
                <w:sz w:val="17"/>
                <w:szCs w:val="17"/>
              </w:rPr>
              <w:t xml:space="preserve">Business, financial, operational, legal, and reputational risk frameworks</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12.1 — The Risk Management Hierarchy</w:t>
      </w:r>
    </w:p>
    <w:p>
      <w:pPr>
        <w:spacing w:after="160" w:before="0"/>
        <w:jc w:val="left"/>
      </w:pPr>
      <w:r>
        <w:rPr>
          <w:rFonts w:ascii="Calibri" w:cs="Calibri" w:eastAsia="Calibri" w:hAnsi="Calibri"/>
          <w:b w:val="false"/>
          <w:bCs w:val="false"/>
          <w:i w:val="false"/>
          <w:iCs w:val="false"/>
          <w:color w:val="1F2937"/>
          <w:sz w:val="22"/>
          <w:szCs w:val="22"/>
        </w:rPr>
        <w:t xml:space="preserve">Risk management in a growing company is not just a finance function. It is a CEO function. The risks that kill companies are rarely the ones in the risk matrix — they are the ones nobody thought to put there. Great risk management is about building systems that surface unexpected risks before they become crises.</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2800"/>
        <w:gridCol w:w="2360"/>
      </w:tblGrid>
      <w:tr>
        <w:tc>
          <w:tcPr>
            <w:tcW w:type="dxa" w:w="18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Risk Category</w:t>
            </w:r>
          </w:p>
        </w:tc>
        <w:tc>
          <w:tcPr>
            <w:tcW w:type="dxa" w:w="12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Probability (Stage: Early)</w:t>
            </w:r>
          </w:p>
        </w:tc>
        <w:tc>
          <w:tcPr>
            <w:tcW w:type="dxa" w:w="12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Impact</w:t>
            </w:r>
          </w:p>
        </w:tc>
        <w:tc>
          <w:tcPr>
            <w:tcW w:type="dxa" w:w="28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Primary Mitigation</w:t>
            </w:r>
          </w:p>
        </w:tc>
        <w:tc>
          <w:tcPr>
            <w:tcW w:type="dxa" w:w="23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Early Warning Signal</w:t>
            </w:r>
          </w:p>
        </w:tc>
      </w:tr>
      <w:tr>
        <w:tc>
          <w:tcPr>
            <w:tcW w:type="dxa" w:w="1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Product-market fit failure</w:t>
            </w:r>
          </w:p>
        </w:tc>
        <w:tc>
          <w:tcPr>
            <w:tcW w:type="dxa" w:w="1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HIGH (60%)</w:t>
            </w:r>
          </w:p>
        </w:tc>
        <w:tc>
          <w:tcPr>
            <w:tcW w:type="dxa" w:w="1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CRITICAL</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Weekly customer interviews. Kill feature that nobody uses. Build what customers will pay for.</w:t>
            </w:r>
          </w:p>
        </w:tc>
        <w:tc>
          <w:tcPr>
            <w:tcW w:type="dxa" w:w="23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Declining DAU/MAU, flat MRR despite low churn, no organic referrals</w:t>
            </w:r>
          </w:p>
        </w:tc>
      </w:tr>
      <w:tr>
        <w:tc>
          <w:tcPr>
            <w:tcW w:type="dxa" w:w="1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Cash runway exhaustion</w:t>
            </w:r>
          </w:p>
        </w:tc>
        <w:tc>
          <w:tcPr>
            <w:tcW w:type="dxa" w:w="1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MEDIUM (40%)</w:t>
            </w:r>
          </w:p>
        </w:tc>
        <w:tc>
          <w:tcPr>
            <w:tcW w:type="dxa" w:w="1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CRITICAL</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Milestone-gated spending. Weekly cash review. Start fundraising 9 months before need.</w:t>
            </w:r>
          </w:p>
        </w:tc>
        <w:tc>
          <w:tcPr>
            <w:tcW w:type="dxa" w:w="23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Burn &gt; 1.5× MRR, revenue growth slowing, no investor pipeline</w:t>
            </w:r>
          </w:p>
        </w:tc>
      </w:tr>
      <w:tr>
        <w:tc>
          <w:tcPr>
            <w:tcW w:type="dxa" w:w="1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Key person dependency</w:t>
            </w:r>
          </w:p>
        </w:tc>
        <w:tc>
          <w:tcPr>
            <w:tcW w:type="dxa" w:w="1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HIGH</w:t>
            </w:r>
          </w:p>
        </w:tc>
        <w:tc>
          <w:tcPr>
            <w:tcW w:type="dxa" w:w="1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HIGH</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Bus factor: no single person owns critical knowledge. Pair programming, documented processes.</w:t>
            </w:r>
          </w:p>
        </w:tc>
        <w:tc>
          <w:tcPr>
            <w:tcW w:type="dxa" w:w="23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One person handles all of a customer relationship, a tech system, or a finance function</w:t>
            </w:r>
          </w:p>
        </w:tc>
      </w:tr>
      <w:tr>
        <w:tc>
          <w:tcPr>
            <w:tcW w:type="dxa" w:w="1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Regulatory change (DPDP, GST, RBI)</w:t>
            </w:r>
          </w:p>
        </w:tc>
        <w:tc>
          <w:tcPr>
            <w:tcW w:type="dxa" w:w="1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LOW (20%)</w:t>
            </w:r>
          </w:p>
        </w:tc>
        <w:tc>
          <w:tcPr>
            <w:tcW w:type="dxa" w:w="1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HIGH</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Legal counsel on retainer. Subscribe to regulatory updates. Join industry associations.</w:t>
            </w:r>
          </w:p>
        </w:tc>
        <w:tc>
          <w:tcPr>
            <w:tcW w:type="dxa" w:w="23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Industry association news, budget announcements, MeitY/IRDAI policy papers</w:t>
            </w:r>
          </w:p>
        </w:tc>
      </w:tr>
      <w:tr>
        <w:tc>
          <w:tcPr>
            <w:tcW w:type="dxa" w:w="1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Reputational damage (social media, press)</w:t>
            </w:r>
          </w:p>
        </w:tc>
        <w:tc>
          <w:tcPr>
            <w:tcW w:type="dxa" w:w="1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LOW (15%)</w:t>
            </w:r>
          </w:p>
        </w:tc>
        <w:tc>
          <w:tcPr>
            <w:tcW w:type="dxa" w:w="1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HIGH</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Build real NPS before PR. Fix problems before they go public. Pre-approved crisis communication.</w:t>
            </w:r>
          </w:p>
        </w:tc>
        <w:tc>
          <w:tcPr>
            <w:tcW w:type="dxa" w:w="23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Rising negative customer comments, competitor-funded hit pieces, employee Glassdoor reviews</w:t>
            </w:r>
          </w:p>
        </w:tc>
      </w:tr>
      <w:tr>
        <w:tc>
          <w:tcPr>
            <w:tcW w:type="dxa" w:w="1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Co-founder dispute</w:t>
            </w:r>
          </w:p>
        </w:tc>
        <w:tc>
          <w:tcPr>
            <w:tcW w:type="dxa" w:w="1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MEDIUM (35%)</w:t>
            </w:r>
          </w:p>
        </w:tc>
        <w:tc>
          <w:tcPr>
            <w:tcW w:type="dxa" w:w="1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CRITICAL</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Founder agreement with vesting, dispute resolution, exit provisions before any investor joins</w:t>
            </w:r>
          </w:p>
        </w:tc>
        <w:tc>
          <w:tcPr>
            <w:tcW w:type="dxa" w:w="23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Diverging opinions on major decisions, unequal effort perception, salary disparity growing</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12.2 — Reputation Risk Management</w:t>
      </w:r>
    </w:p>
    <w:p>
      <w:pPr>
        <w:spacing w:after="160" w:before="0"/>
        <w:jc w:val="left"/>
      </w:pPr>
      <w:r>
        <w:rPr>
          <w:rFonts w:ascii="Calibri" w:cs="Calibri" w:eastAsia="Calibri" w:hAnsi="Calibri"/>
          <w:b w:val="false"/>
          <w:bCs w:val="false"/>
          <w:i w:val="false"/>
          <w:iCs w:val="false"/>
          <w:color w:val="1F2937"/>
          <w:sz w:val="22"/>
          <w:szCs w:val="22"/>
        </w:rPr>
        <w:t xml:space="preserve">In the information age, reputational risk is existential. A single viral negative story can destroy months of brand building. Prevention is everything — damage control is expensive and rarely complete.</w:t>
      </w:r>
    </w:p>
    <w:p>
      <w:pPr>
        <w:spacing w:after="80" w:before="0"/>
      </w:pPr>
      <w:r>
        <w:rPr>
          <w:rFonts w:ascii="Calibri" w:cs="Calibri" w:eastAsia="Calibri" w:hAnsi="Calibri"/>
          <w:b w:val="false"/>
          <w:bCs w:val="false"/>
          <w:i w:val="false"/>
          <w:iCs w:val="false"/>
          <w:color w:val="1F2937"/>
          <w:sz w:val="22"/>
          <w:szCs w:val="22"/>
        </w:rPr>
        <w:t xml:space="preserve"/>
      </w:r>
    </w:p>
    <w:p>
      <w:pPr>
        <w:pStyle w:val="ListParagraph"/>
        <w:numPr>
          <w:ilvl w:val="0"/>
          <w:numId w:val="2"/>
        </w:numPr>
        <w:spacing w:after="50" w:before="50"/>
      </w:pPr>
      <w:r>
        <w:rPr>
          <w:rFonts w:ascii="Calibri" w:cs="Calibri" w:eastAsia="Calibri" w:hAnsi="Calibri"/>
          <w:b w:val="false"/>
          <w:bCs w:val="false"/>
          <w:i w:val="false"/>
          <w:iCs w:val="false"/>
          <w:color w:val="374151"/>
          <w:sz w:val="21"/>
          <w:szCs w:val="21"/>
        </w:rPr>
        <w:t xml:space="preserve">Do not overpromise. Every public commitment — to customers, to investors, to media — must be achievable. Failed public commitments become reputational risks.</w:t>
      </w:r>
    </w:p>
    <w:p>
      <w:pPr>
        <w:pStyle w:val="ListParagraph"/>
        <w:numPr>
          <w:ilvl w:val="0"/>
          <w:numId w:val="2"/>
        </w:numPr>
        <w:spacing w:after="50" w:before="50"/>
      </w:pPr>
      <w:r>
        <w:rPr>
          <w:rFonts w:ascii="Calibri" w:cs="Calibri" w:eastAsia="Calibri" w:hAnsi="Calibri"/>
          <w:b w:val="false"/>
          <w:bCs w:val="false"/>
          <w:i w:val="false"/>
          <w:iCs w:val="false"/>
          <w:color w:val="374151"/>
          <w:sz w:val="21"/>
          <w:szCs w:val="21"/>
        </w:rPr>
        <w:t xml:space="preserve">Address negative reviews immediately and personally. A founder-level response to a critical Glassdoor review or Google review signal that leadership cares. Silence signals arrogance.</w:t>
      </w:r>
    </w:p>
    <w:p>
      <w:pPr>
        <w:pStyle w:val="ListParagraph"/>
        <w:numPr>
          <w:ilvl w:val="0"/>
          <w:numId w:val="2"/>
        </w:numPr>
        <w:spacing w:after="50" w:before="50"/>
      </w:pPr>
      <w:r>
        <w:rPr>
          <w:rFonts w:ascii="Calibri" w:cs="Calibri" w:eastAsia="Calibri" w:hAnsi="Calibri"/>
          <w:b w:val="false"/>
          <w:bCs w:val="false"/>
          <w:i w:val="false"/>
          <w:iCs w:val="false"/>
          <w:color w:val="374151"/>
          <w:sz w:val="21"/>
          <w:szCs w:val="21"/>
        </w:rPr>
        <w:t xml:space="preserve">Never speak negatively about competitors, ex-employees, or churned customers in any public forum. This always surfaces at the worst possible moment.</w:t>
      </w:r>
    </w:p>
    <w:p>
      <w:pPr>
        <w:pStyle w:val="ListParagraph"/>
        <w:numPr>
          <w:ilvl w:val="0"/>
          <w:numId w:val="2"/>
        </w:numPr>
        <w:spacing w:after="50" w:before="50"/>
      </w:pPr>
      <w:r>
        <w:rPr>
          <w:rFonts w:ascii="Calibri" w:cs="Calibri" w:eastAsia="Calibri" w:hAnsi="Calibri"/>
          <w:b w:val="false"/>
          <w:bCs w:val="false"/>
          <w:i w:val="false"/>
          <w:iCs w:val="false"/>
          <w:color w:val="374151"/>
          <w:sz w:val="21"/>
          <w:szCs w:val="21"/>
        </w:rPr>
        <w:t xml:space="preserve">Build your personal brand before you need it. Thought leadership articles, conference talks, and podcasts create a positive context for your company that protects against negative press.</w:t>
      </w:r>
    </w:p>
    <w:p>
      <w:pPr>
        <w:pStyle w:val="ListParagraph"/>
        <w:numPr>
          <w:ilvl w:val="0"/>
          <w:numId w:val="2"/>
        </w:numPr>
        <w:spacing w:after="50" w:before="50"/>
      </w:pPr>
      <w:r>
        <w:rPr>
          <w:rFonts w:ascii="Calibri" w:cs="Calibri" w:eastAsia="Calibri" w:hAnsi="Calibri"/>
          <w:b w:val="false"/>
          <w:bCs w:val="false"/>
          <w:i w:val="false"/>
          <w:iCs w:val="false"/>
          <w:color w:val="374151"/>
          <w:sz w:val="21"/>
          <w:szCs w:val="21"/>
        </w:rPr>
        <w:t xml:space="preserve">Have a pre-approved crisis communication template ready before you need it. Who speaks for the company? What can they say without legal review? What requires legal review first? These decisions should not be made under pressure.</w:t>
      </w:r>
    </w:p>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40" w:before="0"/>
              <w:jc w:val="center"/>
            </w:pPr>
            <w:r>
              <w:rPr>
                <w:rFonts w:ascii="Calibri" w:cs="Calibri" w:eastAsia="Calibri" w:hAnsi="Calibri"/>
                <w:b/>
                <w:bCs/>
                <w:i w:val="false"/>
                <w:iCs w:val="false"/>
                <w:color w:val="FFFFFF"/>
                <w:sz w:val="26"/>
                <w:szCs w:val="26"/>
              </w:rPr>
              <w:t xml:space="preserve">PART 13</w:t>
            </w:r>
          </w:p>
        </w:tc>
        <w:tc>
          <w:tcPr>
            <w:tcW w:type="dxa" w:w="8260"/>
            <w:tcBorders>
              <w:top w:val="none" w:color="FFFFFF" w:sz="0"/>
              <w:left w:val="none" w:color="FFFFFF" w:sz="0"/>
              <w:bottom w:val="none" w:color="FFFFFF" w:sz="0"/>
              <w:right w:val="none" w:color="FFFFFF" w:sz="0"/>
            </w:tcBorders>
            <w:shd w:fill="0A1628" w:val="clear"/>
            <w:tcMar>
              <w:top w:type="dxa" w:w="60"/>
              <w:left w:type="dxa" w:w="200"/>
              <w:bottom w:type="dxa" w:w="60"/>
              <w:right w:type="dxa" w:w="120"/>
            </w:tcMar>
            <w:vAlign w:val="center"/>
          </w:tcPr>
          <w:p>
            <w:pPr>
              <w:spacing w:after="40" w:before="0"/>
              <w:jc w:val="left"/>
            </w:pPr>
            <w:r>
              <w:rPr>
                <w:rFonts w:ascii="Calibri" w:cs="Calibri" w:eastAsia="Calibri" w:hAnsi="Calibri"/>
                <w:b/>
                <w:bCs/>
                <w:i w:val="false"/>
                <w:iCs w:val="false"/>
                <w:color w:val="FFFFFF"/>
                <w:sz w:val="26"/>
                <w:szCs w:val="26"/>
              </w:rPr>
              <w:t xml:space="preserve">COMMUNICATION MASTERY</w:t>
            </w:r>
          </w:p>
          <w:p>
            <w:pPr>
              <w:spacing w:after="140" w:before="0"/>
              <w:jc w:val="left"/>
            </w:pPr>
            <w:r>
              <w:rPr>
                <w:rFonts w:ascii="Calibri" w:cs="Calibri" w:eastAsia="Calibri" w:hAnsi="Calibri"/>
                <w:b w:val="false"/>
                <w:bCs w:val="false"/>
                <w:i w:val="false"/>
                <w:iCs w:val="false"/>
                <w:color w:val="AABBCC"/>
                <w:sz w:val="17"/>
                <w:szCs w:val="17"/>
              </w:rPr>
              <w:t xml:space="preserve">Public speaking, storytelling, executive communication, and media interviews</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13.1 — The Pyramid Principle: How Elite Communicators Structure Every Message</w:t>
      </w:r>
    </w:p>
    <w:p>
      <w:pPr>
        <w:spacing w:after="160" w:before="0"/>
        <w:jc w:val="left"/>
      </w:pPr>
      <w:r>
        <w:rPr>
          <w:rFonts w:ascii="Calibri" w:cs="Calibri" w:eastAsia="Calibri" w:hAnsi="Calibri"/>
          <w:b w:val="false"/>
          <w:bCs w:val="false"/>
          <w:i w:val="false"/>
          <w:iCs w:val="false"/>
          <w:color w:val="1F2937"/>
          <w:sz w:val="22"/>
          <w:szCs w:val="22"/>
        </w:rPr>
        <w:t xml:space="preserve">The Pyramid Principle (by Barbara Minto of McKinsey) is the communication structure used by the world's best consultants, CEOs, and speakers. The premise: lead with the answer, then provide supporting arguments, then evidence. Most people do the opposite — they build up to the answer, losing their audience before they get there.</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CC4500" w:val="clear"/>
            <w:tcMar>
              <w:top w:type="dxa" w:w="120"/>
              <w:left w:type="dxa" w:w="80"/>
              <w:bottom w:type="dxa" w:w="120"/>
              <w:right w:type="dxa" w:w="80"/>
            </w:tcMar>
            <w:vAlign w:val="top"/>
          </w:tcPr>
          <w:p>
            <w:pPr>
              <w:spacing w:after="140" w:before="0"/>
              <w:jc w:val="center"/>
            </w:pPr>
            <w:r>
              <w:rPr>
                <w:rFonts w:ascii="Calibri" w:cs="Calibri" w:eastAsia="Calibri" w:hAnsi="Calibri"/>
                <w:b/>
                <w:bCs/>
                <w:i w:val="false"/>
                <w:iCs w:val="false"/>
                <w:color w:val="FFFFFF"/>
                <w:sz w:val="24"/>
                <w:szCs w:val="24"/>
              </w:rPr>
              <w:t xml:space="preserve">BAD</w:t>
            </w:r>
          </w:p>
        </w:tc>
        <w:tc>
          <w:tcPr>
            <w:tcW w:type="dxa" w:w="8760"/>
            <w:tcBorders>
              <w:top w:val="single" w:color="D1D5DB" w:sz="4"/>
              <w:left w:val="single" w:color="D1D5DB" w:sz="4"/>
              <w:bottom w:val="single" w:color="D1D5DB" w:sz="4"/>
              <w:right w:val="single" w:color="D1D5DB" w:sz="4"/>
            </w:tcBorders>
            <w:shd w:fill="F4F7FB" w:val="clear"/>
            <w:tcMar>
              <w:top w:type="dxa" w:w="120"/>
              <w:left w:type="dxa" w:w="180"/>
              <w:bottom w:type="dxa" w:w="120"/>
              <w:right w:type="dxa" w:w="120"/>
            </w:tcMar>
          </w:tcPr>
          <w:p>
            <w:pPr>
              <w:spacing w:after="80" w:before="0"/>
              <w:jc w:val="left"/>
            </w:pPr>
            <w:r>
              <w:rPr>
                <w:rFonts w:ascii="Calibri" w:cs="Calibri" w:eastAsia="Calibri" w:hAnsi="Calibri"/>
                <w:b/>
                <w:bCs/>
                <w:i w:val="false"/>
                <w:iCs w:val="false"/>
                <w:color w:val="0A1628"/>
                <w:sz w:val="22"/>
                <w:szCs w:val="22"/>
              </w:rPr>
              <w:t xml:space="preserve">Bottom-up communication (how most founders communicate)</w:t>
            </w:r>
          </w:p>
          <w:p>
            <w:pPr>
              <w:spacing w:after="60" w:before="0"/>
              <w:jc w:val="left"/>
            </w:pPr>
            <w:r>
              <w:rPr>
                <w:rFonts w:ascii="Calibri" w:cs="Calibri" w:eastAsia="Calibri" w:hAnsi="Calibri"/>
                <w:b w:val="false"/>
                <w:bCs w:val="false"/>
                <w:i w:val="false"/>
                <w:iCs w:val="false"/>
                <w:color w:val="374151"/>
                <w:sz w:val="21"/>
                <w:szCs w:val="21"/>
              </w:rPr>
              <w:t xml:space="preserve">'We started AutoEra AI to solve the problem of dealership inefficiency. We interviewed 50 dealers. We found 7 major pain points. We built a product to address 3 of them. We ran a pilot. We got some results. And now we are seeking investment.' — The audience is asleep by sentence 4.</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CC4500" w:val="clear"/>
            <w:tcMar>
              <w:top w:type="dxa" w:w="120"/>
              <w:left w:type="dxa" w:w="80"/>
              <w:bottom w:type="dxa" w:w="120"/>
              <w:right w:type="dxa" w:w="80"/>
            </w:tcMar>
            <w:vAlign w:val="top"/>
          </w:tcPr>
          <w:p>
            <w:pPr>
              <w:spacing w:after="140" w:before="0"/>
              <w:jc w:val="center"/>
            </w:pPr>
            <w:r>
              <w:rPr>
                <w:rFonts w:ascii="Calibri" w:cs="Calibri" w:eastAsia="Calibri" w:hAnsi="Calibri"/>
                <w:b/>
                <w:bCs/>
                <w:i w:val="false"/>
                <w:iCs w:val="false"/>
                <w:color w:val="FFFFFF"/>
                <w:sz w:val="24"/>
                <w:szCs w:val="24"/>
              </w:rPr>
              <w:t xml:space="preserve">GREAT</w:t>
            </w:r>
          </w:p>
        </w:tc>
        <w:tc>
          <w:tcPr>
            <w:tcW w:type="dxa" w:w="8760"/>
            <w:tcBorders>
              <w:top w:val="single" w:color="D1D5DB" w:sz="4"/>
              <w:left w:val="single" w:color="D1D5DB" w:sz="4"/>
              <w:bottom w:val="single" w:color="D1D5DB" w:sz="4"/>
              <w:right w:val="single" w:color="D1D5DB" w:sz="4"/>
            </w:tcBorders>
            <w:shd w:fill="F4F7FB" w:val="clear"/>
            <w:tcMar>
              <w:top w:type="dxa" w:w="120"/>
              <w:left w:type="dxa" w:w="180"/>
              <w:bottom w:type="dxa" w:w="120"/>
              <w:right w:type="dxa" w:w="120"/>
            </w:tcMar>
          </w:tcPr>
          <w:p>
            <w:pPr>
              <w:spacing w:after="80" w:before="0"/>
              <w:jc w:val="left"/>
            </w:pPr>
            <w:r>
              <w:rPr>
                <w:rFonts w:ascii="Calibri" w:cs="Calibri" w:eastAsia="Calibri" w:hAnsi="Calibri"/>
                <w:b/>
                <w:bCs/>
                <w:i w:val="false"/>
                <w:iCs w:val="false"/>
                <w:color w:val="0A1628"/>
                <w:sz w:val="22"/>
                <w:szCs w:val="22"/>
              </w:rPr>
              <w:t xml:space="preserve">Pyramid communication (how great CEOs communicate)</w:t>
            </w:r>
          </w:p>
          <w:p>
            <w:pPr>
              <w:spacing w:after="60" w:before="0"/>
              <w:jc w:val="left"/>
            </w:pPr>
            <w:r>
              <w:rPr>
                <w:rFonts w:ascii="Calibri" w:cs="Calibri" w:eastAsia="Calibri" w:hAnsi="Calibri"/>
                <w:b w:val="false"/>
                <w:bCs w:val="false"/>
                <w:i w:val="false"/>
                <w:iCs w:val="false"/>
                <w:color w:val="374151"/>
                <w:sz w:val="21"/>
                <w:szCs w:val="21"/>
              </w:rPr>
              <w:t xml:space="preserve">'AutoEra AI has proven, in 10 paying dealers, that AI-native automotive software can reduce service turnaround time by 40% and insurance renewal rates from 38% to 71%. That translates to ₹5 Lakhs of additional monthly revenue per dealer. India has 26,000 dealers. We are seeking investment to reach 200 dealers in 12 months.' — The answer is in sentence 1. Everything else is proof.</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13.2 — The 7 Communication Skills Founders Must 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Skill</w:t>
            </w:r>
          </w:p>
        </w:tc>
        <w:tc>
          <w:tcPr>
            <w:tcW w:type="dxa" w:w="20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Why It Matters</w:t>
            </w:r>
          </w:p>
        </w:tc>
        <w:tc>
          <w:tcPr>
            <w:tcW w:type="dxa" w:w="20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How to Build It</w:t>
            </w:r>
          </w:p>
        </w:tc>
        <w:tc>
          <w:tcPr>
            <w:tcW w:type="dxa" w:w="37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Practice Frequency</w:t>
            </w:r>
          </w:p>
        </w:tc>
      </w:tr>
      <w:tr>
        <w:tc>
          <w:tcPr>
            <w:tcW w:type="dxa" w:w="16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Storytelling</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Stories are the only format that humans remember. Data without story is forgotten within 48 hours.</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Learn the hero's journey structure. Every pitch is a story: the world before, the problem, the hero (your customer), the solution, the world after.</w:t>
            </w:r>
          </w:p>
        </w:tc>
        <w:tc>
          <w:tcPr>
            <w:tcW w:type="dxa" w:w="37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Tell your company story in 60 seconds every day until it is effortless</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Investor Pitching</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The quality of your pitch determines the quality of capital you attract. The best founders attract the best investors.</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Record every pitch. Watch it back. Get harsh external feedback. Practise 50 times minimum before any major investor meeting.</w:t>
            </w:r>
          </w:p>
        </w:tc>
        <w:tc>
          <w:tcPr>
            <w:tcW w:type="dxa" w:w="3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Weekly practice with a coach or peer group during fundraising season</w:t>
            </w:r>
          </w:p>
        </w:tc>
      </w:tr>
      <w:tr>
        <w:tc>
          <w:tcPr>
            <w:tcW w:type="dxa" w:w="16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All-hands Communication</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Your ability to align 100 people toward one goal is the CEO's core function</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Monthly all-hands with: what happened, why it happened, what we are doing next, and specifically what every department does to contribute</w:t>
            </w:r>
          </w:p>
        </w:tc>
        <w:tc>
          <w:tcPr>
            <w:tcW w:type="dxa" w:w="37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Monthly all-hands — every single month without exception</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Difficult Conversation</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Performance issues, budget cuts, team restructuring — the hardest conversations determine company culture</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Use the SBI framework: Situation (where/when), Behaviour (what happened specifically), Impact (what it caused). Never 'you always' or 'you never'.</w:t>
            </w:r>
          </w:p>
        </w:tc>
        <w:tc>
          <w:tcPr>
            <w:tcW w:type="dxa" w:w="3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Weekly — there is always a difficult conversation ready to be had</w:t>
            </w:r>
          </w:p>
        </w:tc>
      </w:tr>
      <w:tr>
        <w:tc>
          <w:tcPr>
            <w:tcW w:type="dxa" w:w="16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Media Interviews</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 great media moment can add ₹10 Crore of brand value. A poor one can cost as much.</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Hire a media coach before your first major press interview. Prepare 5 talking points. Learn to bridge from hostile questions to your message.</w:t>
            </w:r>
          </w:p>
        </w:tc>
        <w:tc>
          <w:tcPr>
            <w:tcW w:type="dxa" w:w="37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Quarterly media training with a professional PR consultant</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Board Communication</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Your board relationship determines whether you have allies or obstacles in the boardroom</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Overcommunicate between meetings. Never surprise your board. Practice the board presentation out loud before the meeting.</w:t>
            </w:r>
          </w:p>
        </w:tc>
        <w:tc>
          <w:tcPr>
            <w:tcW w:type="dxa" w:w="3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Monthly board update, then quarterly formal meeting</w:t>
            </w:r>
          </w:p>
        </w:tc>
      </w:tr>
      <w:tr>
        <w:tc>
          <w:tcPr>
            <w:tcW w:type="dxa" w:w="16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Negotiation</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Every deal — investor, customer, hire, vendor — is a communication moment that determines value</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Study Getting to Yes (Fisher &amp; Ury). Practise with small negotiations first. Debrief every negotiation.</w:t>
            </w:r>
          </w:p>
        </w:tc>
        <w:tc>
          <w:tcPr>
            <w:tcW w:type="dxa" w:w="37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Every negotiation is practice — there are dozens per month</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40" w:before="0"/>
              <w:jc w:val="center"/>
            </w:pPr>
            <w:r>
              <w:rPr>
                <w:rFonts w:ascii="Calibri" w:cs="Calibri" w:eastAsia="Calibri" w:hAnsi="Calibri"/>
                <w:b/>
                <w:bCs/>
                <w:i w:val="false"/>
                <w:iCs w:val="false"/>
                <w:color w:val="FFFFFF"/>
                <w:sz w:val="26"/>
                <w:szCs w:val="26"/>
              </w:rPr>
              <w:t xml:space="preserve">PART 14</w:t>
            </w:r>
          </w:p>
        </w:tc>
        <w:tc>
          <w:tcPr>
            <w:tcW w:type="dxa" w:w="8260"/>
            <w:tcBorders>
              <w:top w:val="none" w:color="FFFFFF" w:sz="0"/>
              <w:left w:val="none" w:color="FFFFFF" w:sz="0"/>
              <w:bottom w:val="none" w:color="FFFFFF" w:sz="0"/>
              <w:right w:val="none" w:color="FFFFFF" w:sz="0"/>
            </w:tcBorders>
            <w:shd w:fill="0A1628" w:val="clear"/>
            <w:tcMar>
              <w:top w:type="dxa" w:w="60"/>
              <w:left w:type="dxa" w:w="200"/>
              <w:bottom w:type="dxa" w:w="60"/>
              <w:right w:type="dxa" w:w="120"/>
            </w:tcMar>
            <w:vAlign w:val="center"/>
          </w:tcPr>
          <w:p>
            <w:pPr>
              <w:spacing w:after="40" w:before="0"/>
              <w:jc w:val="left"/>
            </w:pPr>
            <w:r>
              <w:rPr>
                <w:rFonts w:ascii="Calibri" w:cs="Calibri" w:eastAsia="Calibri" w:hAnsi="Calibri"/>
                <w:b/>
                <w:bCs/>
                <w:i w:val="false"/>
                <w:iCs w:val="false"/>
                <w:color w:val="FFFFFF"/>
                <w:sz w:val="26"/>
                <w:szCs w:val="26"/>
              </w:rPr>
              <w:t xml:space="preserve">FOUNDER SKILL MASTERY ROADMAP</w:t>
            </w:r>
          </w:p>
          <w:p>
            <w:pPr>
              <w:spacing w:after="140" w:before="0"/>
              <w:jc w:val="left"/>
            </w:pPr>
            <w:r>
              <w:rPr>
                <w:rFonts w:ascii="Calibri" w:cs="Calibri" w:eastAsia="Calibri" w:hAnsi="Calibri"/>
                <w:b w:val="false"/>
                <w:bCs w:val="false"/>
                <w:i w:val="false"/>
                <w:iCs w:val="false"/>
                <w:color w:val="AABBCC"/>
                <w:sz w:val="17"/>
                <w:szCs w:val="17"/>
              </w:rPr>
              <w:t xml:space="preserve">The 12 skills ranked by importance — with a 20-year development plan</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14.1 — The Founder Skill Stack Ranked by Business Impact</w:t>
      </w:r>
    </w:p>
    <w:tbl>
      <w:tblPr>
        <w:tblW w:type="dxa" w:w="107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000"/>
        <w:gridCol w:w="2000"/>
        <w:gridCol w:w="2000"/>
        <w:gridCol w:w="2760"/>
      </w:tblGrid>
      <w:tr>
        <w:tc>
          <w:tcPr>
            <w:tcW w:type="dxa" w:w="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Rank</w:t>
            </w:r>
          </w:p>
        </w:tc>
        <w:tc>
          <w:tcPr>
            <w:tcW w:type="dxa" w:w="16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Skill</w:t>
            </w:r>
          </w:p>
        </w:tc>
        <w:tc>
          <w:tcPr>
            <w:tcW w:type="dxa" w:w="20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Why This Rank</w:t>
            </w:r>
          </w:p>
        </w:tc>
        <w:tc>
          <w:tcPr>
            <w:tcW w:type="dxa" w:w="20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Year 0–2 Focus</w:t>
            </w:r>
          </w:p>
        </w:tc>
        <w:tc>
          <w:tcPr>
            <w:tcW w:type="dxa" w:w="20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Year 3–7 Focus</w:t>
            </w:r>
          </w:p>
        </w:tc>
        <w:tc>
          <w:tcPr>
            <w:tcW w:type="dxa" w:w="27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Year 7+ Focus</w:t>
            </w:r>
          </w:p>
        </w:tc>
      </w:tr>
      <w:tr>
        <w:tc>
          <w:tcPr>
            <w:tcW w:type="dxa" w:w="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w:t>
            </w:r>
          </w:p>
        </w:tc>
        <w:tc>
          <w:tcPr>
            <w:tcW w:type="dxa" w:w="16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Judgment &amp; Decision Making</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Every other skill is amplified or limited by the quality of your decisions</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Read widely. Study decisions that worked and failed. Build mental models.</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Post-mortem every major decision. Build decision log.</w:t>
            </w:r>
          </w:p>
        </w:tc>
        <w:tc>
          <w:tcPr>
            <w:tcW w:type="dxa" w:w="27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Design decision systems so good decisions happen without you</w:t>
            </w:r>
          </w:p>
        </w:tc>
      </w:tr>
      <w:tr>
        <w:tc>
          <w:tcPr>
            <w:tcW w:type="dxa" w:w="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2</w:t>
            </w:r>
          </w:p>
        </w:tc>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Hiring &amp; Talent Assessment</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The quality of your team determines the ceiling of your company's achievement</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Learn to interview for values and potential, not just skills</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Build talent pipeline and employer brand</w:t>
            </w:r>
          </w:p>
        </w:tc>
        <w:tc>
          <w:tcPr>
            <w:tcW w:type="dxa" w:w="2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Design talent systems that attract and develop world-class people</w:t>
            </w:r>
          </w:p>
        </w:tc>
      </w:tr>
      <w:tr>
        <w:tc>
          <w:tcPr>
            <w:tcW w:type="dxa" w:w="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3</w:t>
            </w:r>
          </w:p>
        </w:tc>
        <w:tc>
          <w:tcPr>
            <w:tcW w:type="dxa" w:w="16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Sales</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Revenue is oxygen. In Year 1, founder IS the sales team.</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Do all sales personally. Learn every objection. Close 30 deals yourself.</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Build sales process. Hire first salesperson. Define the playbook.</w:t>
            </w:r>
          </w:p>
        </w:tc>
        <w:tc>
          <w:tcPr>
            <w:tcW w:type="dxa" w:w="27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Design scalable sales system. VP Sales hire.</w:t>
            </w:r>
          </w:p>
        </w:tc>
      </w:tr>
      <w:tr>
        <w:tc>
          <w:tcPr>
            <w:tcW w:type="dxa" w:w="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4</w:t>
            </w:r>
          </w:p>
        </w:tc>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Capital Allocation</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Determines what gets built and what gets killed</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Learn to evaluate ROI of every spend</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Build financial model fluency. Know your unit economics cold.</w:t>
            </w:r>
          </w:p>
        </w:tc>
        <w:tc>
          <w:tcPr>
            <w:tcW w:type="dxa" w:w="2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Capital allocation is now your primary CEO function</w:t>
            </w:r>
          </w:p>
        </w:tc>
      </w:tr>
      <w:tr>
        <w:tc>
          <w:tcPr>
            <w:tcW w:type="dxa" w:w="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5</w:t>
            </w:r>
          </w:p>
        </w:tc>
        <w:tc>
          <w:tcPr>
            <w:tcW w:type="dxa" w:w="16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Communication &amp; Storytelling</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Vision, fundraising, hiring, customers — all require world-class communication</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Practise your 60-second pitch daily. Record and review.</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Keynote speaking. Media training. Investor communication.</w:t>
            </w:r>
          </w:p>
        </w:tc>
        <w:tc>
          <w:tcPr>
            <w:tcW w:type="dxa" w:w="27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Thought leadership. Industry influence. Book or podcast.</w:t>
            </w:r>
          </w:p>
        </w:tc>
      </w:tr>
      <w:tr>
        <w:tc>
          <w:tcPr>
            <w:tcW w:type="dxa" w:w="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6</w:t>
            </w:r>
          </w:p>
        </w:tc>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Product Thinking</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Your product is your company's reason for existing</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Deep customer empathy. Weekly customer calls. Read product management books.</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Hire product leader. Define product strategy. Roadmap process.</w:t>
            </w:r>
          </w:p>
        </w:tc>
        <w:tc>
          <w:tcPr>
            <w:tcW w:type="dxa" w:w="2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Product portfolio management. Acquisition of complementary products.</w:t>
            </w:r>
          </w:p>
        </w:tc>
      </w:tr>
      <w:tr>
        <w:tc>
          <w:tcPr>
            <w:tcW w:type="dxa" w:w="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7</w:t>
            </w:r>
          </w:p>
        </w:tc>
        <w:tc>
          <w:tcPr>
            <w:tcW w:type="dxa" w:w="16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Finance &amp; Accounting</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Financial illiteracy kills companies that good products cannot save</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Learn P&amp;L, burn rate, runway, unit economics — non-negotiably</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Financial model fluency. Capital structure understanding.</w:t>
            </w:r>
          </w:p>
        </w:tc>
        <w:tc>
          <w:tcPr>
            <w:tcW w:type="dxa" w:w="27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Corporate finance, M&amp;A, capital markets</w:t>
            </w:r>
          </w:p>
        </w:tc>
      </w:tr>
      <w:tr>
        <w:tc>
          <w:tcPr>
            <w:tcW w:type="dxa" w:w="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8</w:t>
            </w:r>
          </w:p>
        </w:tc>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Leadership</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Scales your impact from 1× to 1000× through other people</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Lead by example. Give honest feedback. Remove blockers.</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Build management team. Culture design.</w:t>
            </w:r>
          </w:p>
        </w:tc>
        <w:tc>
          <w:tcPr>
            <w:tcW w:type="dxa" w:w="2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CEO of CEOs. Board-level leadership.</w:t>
            </w:r>
          </w:p>
        </w:tc>
      </w:tr>
      <w:tr>
        <w:tc>
          <w:tcPr>
            <w:tcW w:type="dxa" w:w="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9</w:t>
            </w:r>
          </w:p>
        </w:tc>
        <w:tc>
          <w:tcPr>
            <w:tcW w:type="dxa" w:w="16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Strategy</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Choosing what not to do is often more important than what to do</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Market mapping. Competitor analysis. First-principles thinking.</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Portfolio strategy. Adjacent market entry.</w:t>
            </w:r>
          </w:p>
        </w:tc>
        <w:tc>
          <w:tcPr>
            <w:tcW w:type="dxa" w:w="27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Corporate strategy. M&amp;A. Global positioning.</w:t>
            </w:r>
          </w:p>
        </w:tc>
      </w:tr>
      <w:tr>
        <w:tc>
          <w:tcPr>
            <w:tcW w:type="dxa" w:w="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10</w:t>
            </w:r>
          </w:p>
        </w:tc>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Negotiation</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Every relationship is a negotiation — hiring, funding, customer, vendor</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Study the frameworks. Practise in low-stakes situations.</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Enterprise deal negotiation. Major investor terms.</w:t>
            </w:r>
          </w:p>
        </w:tc>
        <w:tc>
          <w:tcPr>
            <w:tcW w:type="dxa" w:w="2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M&amp;A, global partnerships, government deals</w:t>
            </w:r>
          </w:p>
        </w:tc>
      </w:tr>
      <w:tr>
        <w:tc>
          <w:tcPr>
            <w:tcW w:type="dxa" w:w="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11</w:t>
            </w:r>
          </w:p>
        </w:tc>
        <w:tc>
          <w:tcPr>
            <w:tcW w:type="dxa" w:w="16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Marketing &amp; Brand</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The brand is the long-term moat that pricing power and talent attraction flow from</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Personal brand (LinkedIn, speaking). Company brand (logo, website, positioning).</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Content engine. PR strategy. Brand architecture.</w:t>
            </w:r>
          </w:p>
        </w:tc>
        <w:tc>
          <w:tcPr>
            <w:tcW w:type="dxa" w:w="27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Global brand. Category leadership.</w:t>
            </w:r>
          </w:p>
        </w:tc>
      </w:tr>
      <w:tr>
        <w:tc>
          <w:tcPr>
            <w:tcW w:type="dxa" w:w="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12</w:t>
            </w:r>
          </w:p>
        </w:tc>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Investing</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Understanding how capital thinks makes you a better fundraiser and allocator</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Learn VC fund economics. Read about great investors.</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Angel investing. Market intelligence from portfolio.</w:t>
            </w:r>
          </w:p>
        </w:tc>
        <w:tc>
          <w:tcPr>
            <w:tcW w:type="dxa" w:w="2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Family office. LP in VC funds. Corporate venture.</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40" w:before="0"/>
              <w:jc w:val="center"/>
            </w:pPr>
            <w:r>
              <w:rPr>
                <w:rFonts w:ascii="Calibri" w:cs="Calibri" w:eastAsia="Calibri" w:hAnsi="Calibri"/>
                <w:b/>
                <w:bCs/>
                <w:i w:val="false"/>
                <w:iCs w:val="false"/>
                <w:color w:val="FFFFFF"/>
                <w:sz w:val="26"/>
                <w:szCs w:val="26"/>
              </w:rPr>
              <w:t xml:space="preserve">PART 15</w:t>
            </w:r>
          </w:p>
        </w:tc>
        <w:tc>
          <w:tcPr>
            <w:tcW w:type="dxa" w:w="8260"/>
            <w:tcBorders>
              <w:top w:val="none" w:color="FFFFFF" w:sz="0"/>
              <w:left w:val="none" w:color="FFFFFF" w:sz="0"/>
              <w:bottom w:val="none" w:color="FFFFFF" w:sz="0"/>
              <w:right w:val="none" w:color="FFFFFF" w:sz="0"/>
            </w:tcBorders>
            <w:shd w:fill="0A1628" w:val="clear"/>
            <w:tcMar>
              <w:top w:type="dxa" w:w="60"/>
              <w:left w:type="dxa" w:w="200"/>
              <w:bottom w:type="dxa" w:w="60"/>
              <w:right w:type="dxa" w:w="120"/>
            </w:tcMar>
            <w:vAlign w:val="center"/>
          </w:tcPr>
          <w:p>
            <w:pPr>
              <w:spacing w:after="40" w:before="0"/>
              <w:jc w:val="left"/>
            </w:pPr>
            <w:r>
              <w:rPr>
                <w:rFonts w:ascii="Calibri" w:cs="Calibri" w:eastAsia="Calibri" w:hAnsi="Calibri"/>
                <w:b/>
                <w:bCs/>
                <w:i w:val="false"/>
                <w:iCs w:val="false"/>
                <w:color w:val="FFFFFF"/>
                <w:sz w:val="26"/>
                <w:szCs w:val="26"/>
              </w:rPr>
              <w:t xml:space="preserve">THE 20-YEAR FOUNDER ROADMAP</w:t>
            </w:r>
          </w:p>
          <w:p>
            <w:pPr>
              <w:spacing w:after="140" w:before="0"/>
              <w:jc w:val="left"/>
            </w:pPr>
            <w:r>
              <w:rPr>
                <w:rFonts w:ascii="Calibri" w:cs="Calibri" w:eastAsia="Calibri" w:hAnsi="Calibri"/>
                <w:b w:val="false"/>
                <w:bCs w:val="false"/>
                <w:i w:val="false"/>
                <w:iCs w:val="false"/>
                <w:color w:val="AABBCC"/>
                <w:sz w:val="17"/>
                <w:szCs w:val="17"/>
              </w:rPr>
              <w:t xml:space="preserve">From zero to global AI company — a decade-by-decade vision</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15.1 — Years 0–2: Survival and 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800"/>
        <w:gridCol w:w="3160"/>
      </w:tblGrid>
      <w:tr>
        <w:tc>
          <w:tcPr>
            <w:tcW w:type="dxa" w:w="1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Dimension</w:t>
            </w:r>
          </w:p>
        </w:tc>
        <w:tc>
          <w:tcPr>
            <w:tcW w:type="dxa" w:w="20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Target</w:t>
            </w:r>
          </w:p>
        </w:tc>
        <w:tc>
          <w:tcPr>
            <w:tcW w:type="dxa" w:w="28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Critical Actions</w:t>
            </w:r>
          </w:p>
        </w:tc>
        <w:tc>
          <w:tcPr>
            <w:tcW w:type="dxa" w:w="31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Success Signal</w:t>
            </w:r>
          </w:p>
        </w:tc>
      </w:tr>
      <w:tr>
        <w:tc>
          <w:tcPr>
            <w:tcW w:type="dxa" w:w="1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Revenue</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₹0 → ₹60–80 Lakhs ARR</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Ship MVP in 90 days. First 10 paying customers. Iterate weekly based on feedback.</w:t>
            </w:r>
          </w:p>
        </w:tc>
        <w:tc>
          <w:tcPr>
            <w:tcW w:type="dxa" w:w="3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10 paying dealers, NPS &gt; 40, &lt; 5% monthly churn</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Team</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 → 8–10 people</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Hire 2 engineers + domain expert + CS Manager. Culture from Day 1.</w:t>
            </w:r>
          </w:p>
        </w:tc>
        <w:tc>
          <w:tcPr>
            <w:tcW w:type="dxa" w:w="3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Every hire is someone you would fight to keep</w:t>
            </w:r>
          </w:p>
        </w:tc>
      </w:tr>
      <w:tr>
        <w:tc>
          <w:tcPr>
            <w:tcW w:type="dxa" w:w="1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Leadership</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Founder as everything</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Do every function before delegating it. Learn what good looks like.</w:t>
            </w:r>
          </w:p>
        </w:tc>
        <w:tc>
          <w:tcPr>
            <w:tcW w:type="dxa" w:w="3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First-line managers start to emerge organically</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Wealth</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₹50K/month salary</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Survival salary only. No lifestyle inflation. Build emergency fund.</w:t>
            </w:r>
          </w:p>
        </w:tc>
        <w:tc>
          <w:tcPr>
            <w:tcW w:type="dxa" w:w="3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6 months personal emergency fund in place</w:t>
            </w:r>
          </w:p>
        </w:tc>
      </w:tr>
      <w:tr>
        <w:tc>
          <w:tcPr>
            <w:tcW w:type="dxa" w:w="1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Governance</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Board formed</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Monthly board meetings. Monthly investor updates. Clean books.</w:t>
            </w:r>
          </w:p>
        </w:tc>
        <w:tc>
          <w:tcPr>
            <w:tcW w:type="dxa" w:w="3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Zero governance surprises. Books always clean.</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Capital</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₹2 Crore (current)</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Milestone-gated spending. Conservative burn. Weekly cash review.</w:t>
            </w:r>
          </w:p>
        </w:tc>
        <w:tc>
          <w:tcPr>
            <w:tcW w:type="dxa" w:w="3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Runway always &gt; 12 months. Series A metrics building.</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15.2 — Years 3–5: Scale and Product-Market Fit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800"/>
        <w:gridCol w:w="3160"/>
      </w:tblGrid>
      <w:tr>
        <w:tc>
          <w:tcPr>
            <w:tcW w:type="dxa" w:w="1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Dimension</w:t>
            </w:r>
          </w:p>
        </w:tc>
        <w:tc>
          <w:tcPr>
            <w:tcW w:type="dxa" w:w="20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Target</w:t>
            </w:r>
          </w:p>
        </w:tc>
        <w:tc>
          <w:tcPr>
            <w:tcW w:type="dxa" w:w="28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Critical Actions</w:t>
            </w:r>
          </w:p>
        </w:tc>
        <w:tc>
          <w:tcPr>
            <w:tcW w:type="dxa" w:w="31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Success Signal</w:t>
            </w:r>
          </w:p>
        </w:tc>
      </w:tr>
      <w:tr>
        <w:tc>
          <w:tcPr>
            <w:tcW w:type="dxa" w:w="1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Revenue</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₹80L → ₹10–15 Crore ARR</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National expansion. OEM partnership. Module expansion.</w:t>
            </w:r>
          </w:p>
        </w:tc>
        <w:tc>
          <w:tcPr>
            <w:tcW w:type="dxa" w:w="3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Series A raised. NRR &gt; 115%. 300+ dealers.</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Team</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10 → 40–60 people</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CTO, VP Sales, Head of CS hired. Management layer 1 established.</w:t>
            </w:r>
          </w:p>
        </w:tc>
        <w:tc>
          <w:tcPr>
            <w:tcW w:type="dxa" w:w="3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Team performs without founder in daily operations</w:t>
            </w:r>
          </w:p>
        </w:tc>
      </w:tr>
      <w:tr>
        <w:tc>
          <w:tcPr>
            <w:tcW w:type="dxa" w:w="1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Leadership</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Founder becomes CEO</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Delegate all operational decisions. Focus on vision + capital + key hires.</w:t>
            </w:r>
          </w:p>
        </w:tc>
        <w:tc>
          <w:tcPr>
            <w:tcW w:type="dxa" w:w="3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You spend 50%+ of time on external activities (investors, customers, recruiting)</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Wealth</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₹1.5–3L/month salary + first secondary opportunity</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First secondary sale (5–10% of personal stake) at Series B</w:t>
            </w:r>
          </w:p>
        </w:tc>
        <w:tc>
          <w:tcPr>
            <w:tcW w:type="dxa" w:w="3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₹2–5 Crore personal liquid assets from secondary</w:t>
            </w:r>
          </w:p>
        </w:tc>
      </w:tr>
      <w:tr>
        <w:tc>
          <w:tcPr>
            <w:tcW w:type="dxa" w:w="1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Governance</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Series A board + independent director</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Quarterly board meetings. Independent director adds market credibility.</w:t>
            </w:r>
          </w:p>
        </w:tc>
        <w:tc>
          <w:tcPr>
            <w:tcW w:type="dxa" w:w="3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Board functions as a strategic asset, not a compliance exercise</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Capital</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Series A (₹25–50Cr) + Series B in view</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Deploy Series A in team + product + GTM expansion</w:t>
            </w:r>
          </w:p>
        </w:tc>
        <w:tc>
          <w:tcPr>
            <w:tcW w:type="dxa" w:w="3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IRR to investors tracking above 30%</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15.3 — Years 6–10: Market Leadership and Global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800"/>
        <w:gridCol w:w="3160"/>
      </w:tblGrid>
      <w:tr>
        <w:tc>
          <w:tcPr>
            <w:tcW w:type="dxa" w:w="1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Dimension</w:t>
            </w:r>
          </w:p>
        </w:tc>
        <w:tc>
          <w:tcPr>
            <w:tcW w:type="dxa" w:w="20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Target</w:t>
            </w:r>
          </w:p>
        </w:tc>
        <w:tc>
          <w:tcPr>
            <w:tcW w:type="dxa" w:w="28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Critical Actions</w:t>
            </w:r>
          </w:p>
        </w:tc>
        <w:tc>
          <w:tcPr>
            <w:tcW w:type="dxa" w:w="31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Success Signal</w:t>
            </w:r>
          </w:p>
        </w:tc>
      </w:tr>
      <w:tr>
        <w:tc>
          <w:tcPr>
            <w:tcW w:type="dxa" w:w="1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Revenue</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₹15Cr → ₹150–300 Crore ARR</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SEA entry. OEM enterprise deals. Insurance company partnerships.</w:t>
            </w:r>
          </w:p>
        </w:tc>
        <w:tc>
          <w:tcPr>
            <w:tcW w:type="dxa" w:w="3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Category leadership in India. First international ARR &gt; 15%.</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Team</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60 → 200–300 people</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COO hired. Business units forming. International leadership hired.</w:t>
            </w:r>
          </w:p>
        </w:tc>
        <w:tc>
          <w:tcPr>
            <w:tcW w:type="dxa" w:w="3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Organisation runs independent of founder's daily involvement</w:t>
            </w:r>
          </w:p>
        </w:tc>
      </w:tr>
      <w:tr>
        <w:tc>
          <w:tcPr>
            <w:tcW w:type="dxa" w:w="1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Leadership</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CEO of CEOs</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You manage a leadership team of 8–10 VPs. Quarterly OKR process.</w:t>
            </w:r>
          </w:p>
        </w:tc>
        <w:tc>
          <w:tcPr>
            <w:tcW w:type="dxa" w:w="3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The company can operate for 2 weeks without your input</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Wealth</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Market salary (₹3–5L/month) + major secondary</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Second significant secondary at Series C or pre-IPO</w:t>
            </w:r>
          </w:p>
        </w:tc>
        <w:tc>
          <w:tcPr>
            <w:tcW w:type="dxa" w:w="3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₹25–50 Crore personal liquid net worth</w:t>
            </w:r>
          </w:p>
        </w:tc>
      </w:tr>
      <w:tr>
        <w:tc>
          <w:tcPr>
            <w:tcW w:type="dxa" w:w="1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Governance</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Series C/D board + IPO preparation starting</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Audit committee, compensation committee, governance committee formed.</w:t>
            </w:r>
          </w:p>
        </w:tc>
        <w:tc>
          <w:tcPr>
            <w:tcW w:type="dxa" w:w="3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Board meets global institutional governance standards</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Capital</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Series C (₹100–200Cr) targeting</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Profitability target. Positive EBITDA. Path to IPO defined.</w:t>
            </w:r>
          </w:p>
        </w:tc>
        <w:tc>
          <w:tcPr>
            <w:tcW w:type="dxa" w:w="3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Rule of 40 &gt; 50. CAC payback &lt; 12 months.</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15.4 — Years 11–15: Public Company and Multi-Geography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800"/>
        <w:gridCol w:w="3160"/>
      </w:tblGrid>
      <w:tr>
        <w:tc>
          <w:tcPr>
            <w:tcW w:type="dxa" w:w="1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Dimension</w:t>
            </w:r>
          </w:p>
        </w:tc>
        <w:tc>
          <w:tcPr>
            <w:tcW w:type="dxa" w:w="20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Target</w:t>
            </w:r>
          </w:p>
        </w:tc>
        <w:tc>
          <w:tcPr>
            <w:tcW w:type="dxa" w:w="28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Critical Actions</w:t>
            </w:r>
          </w:p>
        </w:tc>
        <w:tc>
          <w:tcPr>
            <w:tcW w:type="dxa" w:w="31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Success Signal</w:t>
            </w:r>
          </w:p>
        </w:tc>
      </w:tr>
      <w:tr>
        <w:tc>
          <w:tcPr>
            <w:tcW w:type="dxa" w:w="1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Revenue</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₹300Cr → ₹1,500–3,000 Crore ARR</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IPO or strategic acquisition. Middle East, Africa expansion.</w:t>
            </w:r>
          </w:p>
        </w:tc>
        <w:tc>
          <w:tcPr>
            <w:tcW w:type="dxa" w:w="3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₹1,000 Crore ARR. Market cap ₹10,000–15,000 Crore.</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Team</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300 → 1,000–2,000 people</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Professional management across all functions. Founder in strategic role only.</w:t>
            </w:r>
          </w:p>
        </w:tc>
        <w:tc>
          <w:tcPr>
            <w:tcW w:type="dxa" w:w="3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World-class leadership in every function — CEO is setting 10-year vision</w:t>
            </w:r>
          </w:p>
        </w:tc>
      </w:tr>
      <w:tr>
        <w:tc>
          <w:tcPr>
            <w:tcW w:type="dxa" w:w="1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Leadership</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Founder as Visionary Chairman or Executive Chairman</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May transition from CEO role. Board governance becomes primary focus.</w:t>
            </w:r>
          </w:p>
        </w:tc>
        <w:tc>
          <w:tcPr>
            <w:tcW w:type="dxa" w:w="3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Company is recognised as a category leader globally</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Wealth</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Significant personal wealth from IPO lock-up expiry</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Family office set up. Diversified portfolio across asset classes.</w:t>
            </w:r>
          </w:p>
        </w:tc>
        <w:tc>
          <w:tcPr>
            <w:tcW w:type="dxa" w:w="3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₹100–500 Crore personal net worth. Fully diversified. Philanthropic foundation started.</w:t>
            </w:r>
          </w:p>
        </w:tc>
      </w:tr>
      <w:tr>
        <w:tc>
          <w:tcPr>
            <w:tcW w:type="dxa" w:w="1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Governance</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Public company board + SEBI compliance</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Investor day. ESG reporting. Board of global standing.</w:t>
            </w:r>
          </w:p>
        </w:tc>
        <w:tc>
          <w:tcPr>
            <w:tcW w:type="dxa" w:w="3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Institutional investors hold &gt;30%. Governance score top quartile.</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Capital</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Public markets access + debt financing</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₹500–1,000Cr bond issuance for infrastructure. International acquisition.</w:t>
            </w:r>
          </w:p>
        </w:tc>
        <w:tc>
          <w:tcPr>
            <w:tcW w:type="dxa" w:w="3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Investment grade credit rating. Global institutional investor base.</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15.5 — Years 16–20: Global AI Company and Legacy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800"/>
        <w:gridCol w:w="3160"/>
      </w:tblGrid>
      <w:tr>
        <w:tc>
          <w:tcPr>
            <w:tcW w:type="dxa" w:w="1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Dimension</w:t>
            </w:r>
          </w:p>
        </w:tc>
        <w:tc>
          <w:tcPr>
            <w:tcW w:type="dxa" w:w="20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Target</w:t>
            </w:r>
          </w:p>
        </w:tc>
        <w:tc>
          <w:tcPr>
            <w:tcW w:type="dxa" w:w="28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Critical Actions</w:t>
            </w:r>
          </w:p>
        </w:tc>
        <w:tc>
          <w:tcPr>
            <w:tcW w:type="dxa" w:w="31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Success Signal</w:t>
            </w:r>
          </w:p>
        </w:tc>
      </w:tr>
      <w:tr>
        <w:tc>
          <w:tcPr>
            <w:tcW w:type="dxa" w:w="1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Revenue</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₹3,000Cr → ₹10,000–30,000 Crore ARR</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Global automotive AI standard. North America entry. OEM pre-install mandates.</w:t>
            </w:r>
          </w:p>
        </w:tc>
        <w:tc>
          <w:tcPr>
            <w:tcW w:type="dxa" w:w="3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₹10,000 Crore ARR. Global operations in 20+ countries.</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Team</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2,000 → 10,000+ people</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Global leadership. Second and third-generation management.</w:t>
            </w:r>
          </w:p>
        </w:tc>
        <w:tc>
          <w:tcPr>
            <w:tcW w:type="dxa" w:w="3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AutoEra is cited as the place where the best automotive AI engineers want to work</w:t>
            </w:r>
          </w:p>
        </w:tc>
      </w:tr>
      <w:tr>
        <w:tc>
          <w:tcPr>
            <w:tcW w:type="dxa" w:w="1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Leadership</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Chairman or Board Oversight Role</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Invest in the next generation of AutoEra leaders. Advisory board of global figures.</w:t>
            </w:r>
          </w:p>
        </w:tc>
        <w:tc>
          <w:tcPr>
            <w:tcW w:type="dxa" w:w="3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Company continues to grow and innovate without the original founder's daily involvement</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Wealth</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₹500Cr–₹5,000Cr personal net worth</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Philanthropic foundation operating at scale. Family office fully operational.</w:t>
            </w:r>
          </w:p>
        </w:tc>
        <w:tc>
          <w:tcPr>
            <w:tcW w:type="dxa" w:w="3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Wealth is building schools, healthcare, and climate solutions — not just accumulating</w:t>
            </w:r>
          </w:p>
        </w:tc>
      </w:tr>
      <w:tr>
        <w:tc>
          <w:tcPr>
            <w:tcW w:type="dxa" w:w="1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Governance</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Global governance standard</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Board includes independent directors from Europe, US, Asia. ESG rated.</w:t>
            </w:r>
          </w:p>
        </w:tc>
        <w:tc>
          <w:tcPr>
            <w:tcW w:type="dxa" w:w="3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Governance cited as model for Indian technology companies</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Legacy</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 company, an industry, and a generation of founders shaped</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Document what you built, how you built it, and what future founders can learn</w:t>
            </w:r>
          </w:p>
        </w:tc>
        <w:tc>
          <w:tcPr>
            <w:tcW w:type="dxa" w:w="3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AutoEra AI is the Salesforce of the automotive industry — a platform company defining a category</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40" w:before="0"/>
              <w:jc w:val="center"/>
            </w:pPr>
            <w:r>
              <w:rPr>
                <w:rFonts w:ascii="Calibri" w:cs="Calibri" w:eastAsia="Calibri" w:hAnsi="Calibri"/>
                <w:b/>
                <w:bCs/>
                <w:i w:val="false"/>
                <w:iCs w:val="false"/>
                <w:color w:val="FFFFFF"/>
                <w:sz w:val="26"/>
                <w:szCs w:val="26"/>
              </w:rPr>
              <w:t xml:space="preserve">FINAL</w:t>
            </w:r>
          </w:p>
        </w:tc>
        <w:tc>
          <w:tcPr>
            <w:tcW w:type="dxa" w:w="8260"/>
            <w:tcBorders>
              <w:top w:val="none" w:color="FFFFFF" w:sz="0"/>
              <w:left w:val="none" w:color="FFFFFF" w:sz="0"/>
              <w:bottom w:val="none" w:color="FFFFFF" w:sz="0"/>
              <w:right w:val="none" w:color="FFFFFF" w:sz="0"/>
            </w:tcBorders>
            <w:shd w:fill="0A1628" w:val="clear"/>
            <w:tcMar>
              <w:top w:type="dxa" w:w="60"/>
              <w:left w:type="dxa" w:w="200"/>
              <w:bottom w:type="dxa" w:w="60"/>
              <w:right w:type="dxa" w:w="120"/>
            </w:tcMar>
            <w:vAlign w:val="center"/>
          </w:tcPr>
          <w:p>
            <w:pPr>
              <w:spacing w:after="40" w:before="0"/>
              <w:jc w:val="left"/>
            </w:pPr>
            <w:r>
              <w:rPr>
                <w:rFonts w:ascii="Calibri" w:cs="Calibri" w:eastAsia="Calibri" w:hAnsi="Calibri"/>
                <w:b/>
                <w:bCs/>
                <w:i w:val="false"/>
                <w:iCs w:val="false"/>
                <w:color w:val="FFFFFF"/>
                <w:sz w:val="26"/>
                <w:szCs w:val="26"/>
              </w:rPr>
              <w:t xml:space="preserve">THE FINAL VERDICT</w:t>
            </w:r>
          </w:p>
          <w:p>
            <w:pPr>
              <w:spacing w:after="140" w:before="0"/>
              <w:jc w:val="left"/>
            </w:pPr>
            <w:r>
              <w:rPr>
                <w:rFonts w:ascii="Calibri" w:cs="Calibri" w:eastAsia="Calibri" w:hAnsi="Calibri"/>
                <w:b w:val="false"/>
                <w:bCs w:val="false"/>
                <w:i w:val="false"/>
                <w:iCs w:val="false"/>
                <w:color w:val="AABBCC"/>
                <w:sz w:val="17"/>
                <w:szCs w:val="17"/>
              </w:rPr>
              <w:t xml:space="preserve">A brutally realistic assessment for the first-time founder who wants to build globally</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The 10 Things That Matter Most</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CC4500" w:val="clear"/>
            <w:tcMar>
              <w:top w:type="dxa" w:w="120"/>
              <w:left w:type="dxa" w:w="80"/>
              <w:bottom w:type="dxa" w:w="120"/>
              <w:right w:type="dxa" w:w="80"/>
            </w:tcMar>
            <w:vAlign w:val="top"/>
          </w:tcPr>
          <w:p>
            <w:pPr>
              <w:spacing w:after="140" w:before="0"/>
              <w:jc w:val="center"/>
            </w:pPr>
            <w:r>
              <w:rPr>
                <w:rFonts w:ascii="Calibri" w:cs="Calibri" w:eastAsia="Calibri" w:hAnsi="Calibri"/>
                <w:b/>
                <w:bCs/>
                <w:i w:val="false"/>
                <w:iCs w:val="false"/>
                <w:color w:val="FFFFFF"/>
                <w:sz w:val="24"/>
                <w:szCs w:val="24"/>
              </w:rPr>
              <w:t xml:space="preserve">1</w:t>
            </w:r>
          </w:p>
        </w:tc>
        <w:tc>
          <w:tcPr>
            <w:tcW w:type="dxa" w:w="8760"/>
            <w:tcBorders>
              <w:top w:val="single" w:color="D1D5DB" w:sz="4"/>
              <w:left w:val="single" w:color="D1D5DB" w:sz="4"/>
              <w:bottom w:val="single" w:color="D1D5DB" w:sz="4"/>
              <w:right w:val="single" w:color="D1D5DB" w:sz="4"/>
            </w:tcBorders>
            <w:shd w:fill="F4F7FB" w:val="clear"/>
            <w:tcMar>
              <w:top w:type="dxa" w:w="120"/>
              <w:left w:type="dxa" w:w="180"/>
              <w:bottom w:type="dxa" w:w="120"/>
              <w:right w:type="dxa" w:w="120"/>
            </w:tcMar>
          </w:tcPr>
          <w:p>
            <w:pPr>
              <w:spacing w:after="80" w:before="0"/>
              <w:jc w:val="left"/>
            </w:pPr>
            <w:r>
              <w:rPr>
                <w:rFonts w:ascii="Calibri" w:cs="Calibri" w:eastAsia="Calibri" w:hAnsi="Calibri"/>
                <w:b/>
                <w:bCs/>
                <w:i w:val="false"/>
                <w:iCs w:val="false"/>
                <w:color w:val="0A1628"/>
                <w:sz w:val="22"/>
                <w:szCs w:val="22"/>
              </w:rPr>
              <w:t xml:space="preserve">Judgment over intelligence</w:t>
            </w:r>
          </w:p>
          <w:p>
            <w:pPr>
              <w:spacing w:after="60" w:before="0"/>
              <w:jc w:val="left"/>
            </w:pPr>
            <w:r>
              <w:rPr>
                <w:rFonts w:ascii="Calibri" w:cs="Calibri" w:eastAsia="Calibri" w:hAnsi="Calibri"/>
                <w:b w:val="false"/>
                <w:bCs w:val="false"/>
                <w:i w:val="false"/>
                <w:iCs w:val="false"/>
                <w:color w:val="374151"/>
                <w:sz w:val="21"/>
                <w:szCs w:val="21"/>
              </w:rPr>
              <w:t xml:space="preserve">Your IQ will not save you if your judgment is poor. Every great founder can identify the most important decisions and make them correctly under uncertainty with incomplete information. Build judgment by studying decisions — yours and others' — obsessively.</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CC4500" w:val="clear"/>
            <w:tcMar>
              <w:top w:type="dxa" w:w="120"/>
              <w:left w:type="dxa" w:w="80"/>
              <w:bottom w:type="dxa" w:w="120"/>
              <w:right w:type="dxa" w:w="80"/>
            </w:tcMar>
            <w:vAlign w:val="top"/>
          </w:tcPr>
          <w:p>
            <w:pPr>
              <w:spacing w:after="140" w:before="0"/>
              <w:jc w:val="center"/>
            </w:pPr>
            <w:r>
              <w:rPr>
                <w:rFonts w:ascii="Calibri" w:cs="Calibri" w:eastAsia="Calibri" w:hAnsi="Calibri"/>
                <w:b/>
                <w:bCs/>
                <w:i w:val="false"/>
                <w:iCs w:val="false"/>
                <w:color w:val="FFFFFF"/>
                <w:sz w:val="24"/>
                <w:szCs w:val="24"/>
              </w:rPr>
              <w:t xml:space="preserve">2</w:t>
            </w:r>
          </w:p>
        </w:tc>
        <w:tc>
          <w:tcPr>
            <w:tcW w:type="dxa" w:w="8760"/>
            <w:tcBorders>
              <w:top w:val="single" w:color="D1D5DB" w:sz="4"/>
              <w:left w:val="single" w:color="D1D5DB" w:sz="4"/>
              <w:bottom w:val="single" w:color="D1D5DB" w:sz="4"/>
              <w:right w:val="single" w:color="D1D5DB" w:sz="4"/>
            </w:tcBorders>
            <w:shd w:fill="F4F7FB" w:val="clear"/>
            <w:tcMar>
              <w:top w:type="dxa" w:w="120"/>
              <w:left w:type="dxa" w:w="180"/>
              <w:bottom w:type="dxa" w:w="120"/>
              <w:right w:type="dxa" w:w="120"/>
            </w:tcMar>
          </w:tcPr>
          <w:p>
            <w:pPr>
              <w:spacing w:after="80" w:before="0"/>
              <w:jc w:val="left"/>
            </w:pPr>
            <w:r>
              <w:rPr>
                <w:rFonts w:ascii="Calibri" w:cs="Calibri" w:eastAsia="Calibri" w:hAnsi="Calibri"/>
                <w:b/>
                <w:bCs/>
                <w:i w:val="false"/>
                <w:iCs w:val="false"/>
                <w:color w:val="0A1628"/>
                <w:sz w:val="22"/>
                <w:szCs w:val="22"/>
              </w:rPr>
              <w:t xml:space="preserve">Revenue is the only validation that matters</w:t>
            </w:r>
          </w:p>
          <w:p>
            <w:pPr>
              <w:spacing w:after="60" w:before="0"/>
              <w:jc w:val="left"/>
            </w:pPr>
            <w:r>
              <w:rPr>
                <w:rFonts w:ascii="Calibri" w:cs="Calibri" w:eastAsia="Calibri" w:hAnsi="Calibri"/>
                <w:b w:val="false"/>
                <w:bCs w:val="false"/>
                <w:i w:val="false"/>
                <w:iCs w:val="false"/>
                <w:color w:val="374151"/>
                <w:sz w:val="21"/>
                <w:szCs w:val="21"/>
              </w:rPr>
              <w:t xml:space="preserve">Advisors who love your idea are not validation. Investors who are 'interested' are not validation. Pilot customers who use your product for free are not validation. Fifty dealers paying ₹15,000 per month who renew — that is validation. Nothing else.</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CC4500" w:val="clear"/>
            <w:tcMar>
              <w:top w:type="dxa" w:w="120"/>
              <w:left w:type="dxa" w:w="80"/>
              <w:bottom w:type="dxa" w:w="120"/>
              <w:right w:type="dxa" w:w="80"/>
            </w:tcMar>
            <w:vAlign w:val="top"/>
          </w:tcPr>
          <w:p>
            <w:pPr>
              <w:spacing w:after="140" w:before="0"/>
              <w:jc w:val="center"/>
            </w:pPr>
            <w:r>
              <w:rPr>
                <w:rFonts w:ascii="Calibri" w:cs="Calibri" w:eastAsia="Calibri" w:hAnsi="Calibri"/>
                <w:b/>
                <w:bCs/>
                <w:i w:val="false"/>
                <w:iCs w:val="false"/>
                <w:color w:val="FFFFFF"/>
                <w:sz w:val="24"/>
                <w:szCs w:val="24"/>
              </w:rPr>
              <w:t xml:space="preserve">3</w:t>
            </w:r>
          </w:p>
        </w:tc>
        <w:tc>
          <w:tcPr>
            <w:tcW w:type="dxa" w:w="8760"/>
            <w:tcBorders>
              <w:top w:val="single" w:color="D1D5DB" w:sz="4"/>
              <w:left w:val="single" w:color="D1D5DB" w:sz="4"/>
              <w:bottom w:val="single" w:color="D1D5DB" w:sz="4"/>
              <w:right w:val="single" w:color="D1D5DB" w:sz="4"/>
            </w:tcBorders>
            <w:shd w:fill="F4F7FB" w:val="clear"/>
            <w:tcMar>
              <w:top w:type="dxa" w:w="120"/>
              <w:left w:type="dxa" w:w="180"/>
              <w:bottom w:type="dxa" w:w="120"/>
              <w:right w:type="dxa" w:w="120"/>
            </w:tcMar>
          </w:tcPr>
          <w:p>
            <w:pPr>
              <w:spacing w:after="80" w:before="0"/>
              <w:jc w:val="left"/>
            </w:pPr>
            <w:r>
              <w:rPr>
                <w:rFonts w:ascii="Calibri" w:cs="Calibri" w:eastAsia="Calibri" w:hAnsi="Calibri"/>
                <w:b/>
                <w:bCs/>
                <w:i w:val="false"/>
                <w:iCs w:val="false"/>
                <w:color w:val="0A1628"/>
                <w:sz w:val="22"/>
                <w:szCs w:val="22"/>
              </w:rPr>
              <w:t xml:space="preserve">The team is the product in the early years</w:t>
            </w:r>
          </w:p>
          <w:p>
            <w:pPr>
              <w:spacing w:after="60" w:before="0"/>
              <w:jc w:val="left"/>
            </w:pPr>
            <w:r>
              <w:rPr>
                <w:rFonts w:ascii="Calibri" w:cs="Calibri" w:eastAsia="Calibri" w:hAnsi="Calibri"/>
                <w:b w:val="false"/>
                <w:bCs w:val="false"/>
                <w:i w:val="false"/>
                <w:iCs w:val="false"/>
                <w:color w:val="374151"/>
                <w:sz w:val="21"/>
                <w:szCs w:val="21"/>
              </w:rPr>
              <w:t xml:space="preserve">Before you have product-market fit, the only asset your company has is the people in it. Hire for values first, skill second, experience third. The wrong person on a critical role in Year 1 can set you back 18 months.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CC4500" w:val="clear"/>
            <w:tcMar>
              <w:top w:type="dxa" w:w="120"/>
              <w:left w:type="dxa" w:w="80"/>
              <w:bottom w:type="dxa" w:w="120"/>
              <w:right w:type="dxa" w:w="80"/>
            </w:tcMar>
            <w:vAlign w:val="top"/>
          </w:tcPr>
          <w:p>
            <w:pPr>
              <w:spacing w:after="140" w:before="0"/>
              <w:jc w:val="center"/>
            </w:pPr>
            <w:r>
              <w:rPr>
                <w:rFonts w:ascii="Calibri" w:cs="Calibri" w:eastAsia="Calibri" w:hAnsi="Calibri"/>
                <w:b/>
                <w:bCs/>
                <w:i w:val="false"/>
                <w:iCs w:val="false"/>
                <w:color w:val="FFFFFF"/>
                <w:sz w:val="24"/>
                <w:szCs w:val="24"/>
              </w:rPr>
              <w:t xml:space="preserve">4</w:t>
            </w:r>
          </w:p>
        </w:tc>
        <w:tc>
          <w:tcPr>
            <w:tcW w:type="dxa" w:w="8760"/>
            <w:tcBorders>
              <w:top w:val="single" w:color="D1D5DB" w:sz="4"/>
              <w:left w:val="single" w:color="D1D5DB" w:sz="4"/>
              <w:bottom w:val="single" w:color="D1D5DB" w:sz="4"/>
              <w:right w:val="single" w:color="D1D5DB" w:sz="4"/>
            </w:tcBorders>
            <w:shd w:fill="F4F7FB" w:val="clear"/>
            <w:tcMar>
              <w:top w:type="dxa" w:w="120"/>
              <w:left w:type="dxa" w:w="180"/>
              <w:bottom w:type="dxa" w:w="120"/>
              <w:right w:type="dxa" w:w="120"/>
            </w:tcMar>
          </w:tcPr>
          <w:p>
            <w:pPr>
              <w:spacing w:after="80" w:before="0"/>
              <w:jc w:val="left"/>
            </w:pPr>
            <w:r>
              <w:rPr>
                <w:rFonts w:ascii="Calibri" w:cs="Calibri" w:eastAsia="Calibri" w:hAnsi="Calibri"/>
                <w:b/>
                <w:bCs/>
                <w:i w:val="false"/>
                <w:iCs w:val="false"/>
                <w:color w:val="0A1628"/>
                <w:sz w:val="22"/>
                <w:szCs w:val="22"/>
              </w:rPr>
              <w:t xml:space="preserve">Capital efficiency is the moat nobody talks about</w:t>
            </w:r>
          </w:p>
          <w:p>
            <w:pPr>
              <w:spacing w:after="60" w:before="0"/>
              <w:jc w:val="left"/>
            </w:pPr>
            <w:r>
              <w:rPr>
                <w:rFonts w:ascii="Calibri" w:cs="Calibri" w:eastAsia="Calibri" w:hAnsi="Calibri"/>
                <w:b w:val="false"/>
                <w:bCs w:val="false"/>
                <w:i w:val="false"/>
                <w:iCs w:val="false"/>
                <w:color w:val="374151"/>
                <w:sz w:val="21"/>
                <w:szCs w:val="21"/>
              </w:rPr>
              <w:t xml:space="preserve">A company that achieves ₹10Cr ARR on ₹2Cr of investment is a 5× better business than one that achieves the same ARR on ₹10Cr of investment. Investors notice. The second round comes faster and at better terms.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CC4500" w:val="clear"/>
            <w:tcMar>
              <w:top w:type="dxa" w:w="120"/>
              <w:left w:type="dxa" w:w="80"/>
              <w:bottom w:type="dxa" w:w="120"/>
              <w:right w:type="dxa" w:w="80"/>
            </w:tcMar>
            <w:vAlign w:val="top"/>
          </w:tcPr>
          <w:p>
            <w:pPr>
              <w:spacing w:after="140" w:before="0"/>
              <w:jc w:val="center"/>
            </w:pPr>
            <w:r>
              <w:rPr>
                <w:rFonts w:ascii="Calibri" w:cs="Calibri" w:eastAsia="Calibri" w:hAnsi="Calibri"/>
                <w:b/>
                <w:bCs/>
                <w:i w:val="false"/>
                <w:iCs w:val="false"/>
                <w:color w:val="FFFFFF"/>
                <w:sz w:val="24"/>
                <w:szCs w:val="24"/>
              </w:rPr>
              <w:t xml:space="preserve">5</w:t>
            </w:r>
          </w:p>
        </w:tc>
        <w:tc>
          <w:tcPr>
            <w:tcW w:type="dxa" w:w="8760"/>
            <w:tcBorders>
              <w:top w:val="single" w:color="D1D5DB" w:sz="4"/>
              <w:left w:val="single" w:color="D1D5DB" w:sz="4"/>
              <w:bottom w:val="single" w:color="D1D5DB" w:sz="4"/>
              <w:right w:val="single" w:color="D1D5DB" w:sz="4"/>
            </w:tcBorders>
            <w:shd w:fill="F4F7FB" w:val="clear"/>
            <w:tcMar>
              <w:top w:type="dxa" w:w="120"/>
              <w:left w:type="dxa" w:w="180"/>
              <w:bottom w:type="dxa" w:w="120"/>
              <w:right w:type="dxa" w:w="120"/>
            </w:tcMar>
          </w:tcPr>
          <w:p>
            <w:pPr>
              <w:spacing w:after="80" w:before="0"/>
              <w:jc w:val="left"/>
            </w:pPr>
            <w:r>
              <w:rPr>
                <w:rFonts w:ascii="Calibri" w:cs="Calibri" w:eastAsia="Calibri" w:hAnsi="Calibri"/>
                <w:b/>
                <w:bCs/>
                <w:i w:val="false"/>
                <w:iCs w:val="false"/>
                <w:color w:val="0A1628"/>
                <w:sz w:val="22"/>
                <w:szCs w:val="22"/>
              </w:rPr>
              <w:t xml:space="preserve">Communication is leverage</w:t>
            </w:r>
          </w:p>
          <w:p>
            <w:pPr>
              <w:spacing w:after="60" w:before="0"/>
              <w:jc w:val="left"/>
            </w:pPr>
            <w:r>
              <w:rPr>
                <w:rFonts w:ascii="Calibri" w:cs="Calibri" w:eastAsia="Calibri" w:hAnsi="Calibri"/>
                <w:b w:val="false"/>
                <w:bCs w:val="false"/>
                <w:i w:val="false"/>
                <w:iCs w:val="false"/>
                <w:color w:val="374151"/>
                <w:sz w:val="21"/>
                <w:szCs w:val="21"/>
              </w:rPr>
              <w:t xml:space="preserve">The best companies have great products. The category-defining companies have founders who can articulate the vision so compellingly that the best engineers, the best salespeople, the best investors, and the best customers all want to be part of it.</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CC4500" w:val="clear"/>
            <w:tcMar>
              <w:top w:type="dxa" w:w="120"/>
              <w:left w:type="dxa" w:w="80"/>
              <w:bottom w:type="dxa" w:w="120"/>
              <w:right w:type="dxa" w:w="80"/>
            </w:tcMar>
            <w:vAlign w:val="top"/>
          </w:tcPr>
          <w:p>
            <w:pPr>
              <w:spacing w:after="140" w:before="0"/>
              <w:jc w:val="center"/>
            </w:pPr>
            <w:r>
              <w:rPr>
                <w:rFonts w:ascii="Calibri" w:cs="Calibri" w:eastAsia="Calibri" w:hAnsi="Calibri"/>
                <w:b/>
                <w:bCs/>
                <w:i w:val="false"/>
                <w:iCs w:val="false"/>
                <w:color w:val="FFFFFF"/>
                <w:sz w:val="24"/>
                <w:szCs w:val="24"/>
              </w:rPr>
              <w:t xml:space="preserve">6</w:t>
            </w:r>
          </w:p>
        </w:tc>
        <w:tc>
          <w:tcPr>
            <w:tcW w:type="dxa" w:w="8760"/>
            <w:tcBorders>
              <w:top w:val="single" w:color="D1D5DB" w:sz="4"/>
              <w:left w:val="single" w:color="D1D5DB" w:sz="4"/>
              <w:bottom w:val="single" w:color="D1D5DB" w:sz="4"/>
              <w:right w:val="single" w:color="D1D5DB" w:sz="4"/>
            </w:tcBorders>
            <w:shd w:fill="F4F7FB" w:val="clear"/>
            <w:tcMar>
              <w:top w:type="dxa" w:w="120"/>
              <w:left w:type="dxa" w:w="180"/>
              <w:bottom w:type="dxa" w:w="120"/>
              <w:right w:type="dxa" w:w="120"/>
            </w:tcMar>
          </w:tcPr>
          <w:p>
            <w:pPr>
              <w:spacing w:after="80" w:before="0"/>
              <w:jc w:val="left"/>
            </w:pPr>
            <w:r>
              <w:rPr>
                <w:rFonts w:ascii="Calibri" w:cs="Calibri" w:eastAsia="Calibri" w:hAnsi="Calibri"/>
                <w:b/>
                <w:bCs/>
                <w:i w:val="false"/>
                <w:iCs w:val="false"/>
                <w:color w:val="0A1628"/>
                <w:sz w:val="22"/>
                <w:szCs w:val="22"/>
              </w:rPr>
              <w:t xml:space="preserve">Never run out of cash</w:t>
            </w:r>
          </w:p>
          <w:p>
            <w:pPr>
              <w:spacing w:after="60" w:before="0"/>
              <w:jc w:val="left"/>
            </w:pPr>
            <w:r>
              <w:rPr>
                <w:rFonts w:ascii="Calibri" w:cs="Calibri" w:eastAsia="Calibri" w:hAnsi="Calibri"/>
                <w:b w:val="false"/>
                <w:bCs w:val="false"/>
                <w:i w:val="false"/>
                <w:iCs w:val="false"/>
                <w:color w:val="374151"/>
                <w:sz w:val="21"/>
                <w:szCs w:val="21"/>
              </w:rPr>
              <w:t xml:space="preserve">Everything else on this list is fixable. Running out of cash is not. Manage burn conservatively. Start the next fundraise 9 months before you need it. Keep emergency reserves sacred. Know your runway to within one week's accuracy at all times.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CC4500" w:val="clear"/>
            <w:tcMar>
              <w:top w:type="dxa" w:w="120"/>
              <w:left w:type="dxa" w:w="80"/>
              <w:bottom w:type="dxa" w:w="120"/>
              <w:right w:type="dxa" w:w="80"/>
            </w:tcMar>
            <w:vAlign w:val="top"/>
          </w:tcPr>
          <w:p>
            <w:pPr>
              <w:spacing w:after="140" w:before="0"/>
              <w:jc w:val="center"/>
            </w:pPr>
            <w:r>
              <w:rPr>
                <w:rFonts w:ascii="Calibri" w:cs="Calibri" w:eastAsia="Calibri" w:hAnsi="Calibri"/>
                <w:b/>
                <w:bCs/>
                <w:i w:val="false"/>
                <w:iCs w:val="false"/>
                <w:color w:val="FFFFFF"/>
                <w:sz w:val="24"/>
                <w:szCs w:val="24"/>
              </w:rPr>
              <w:t xml:space="preserve">7</w:t>
            </w:r>
          </w:p>
        </w:tc>
        <w:tc>
          <w:tcPr>
            <w:tcW w:type="dxa" w:w="8760"/>
            <w:tcBorders>
              <w:top w:val="single" w:color="D1D5DB" w:sz="4"/>
              <w:left w:val="single" w:color="D1D5DB" w:sz="4"/>
              <w:bottom w:val="single" w:color="D1D5DB" w:sz="4"/>
              <w:right w:val="single" w:color="D1D5DB" w:sz="4"/>
            </w:tcBorders>
            <w:shd w:fill="F4F7FB" w:val="clear"/>
            <w:tcMar>
              <w:top w:type="dxa" w:w="120"/>
              <w:left w:type="dxa" w:w="180"/>
              <w:bottom w:type="dxa" w:w="120"/>
              <w:right w:type="dxa" w:w="120"/>
            </w:tcMar>
          </w:tcPr>
          <w:p>
            <w:pPr>
              <w:spacing w:after="80" w:before="0"/>
              <w:jc w:val="left"/>
            </w:pPr>
            <w:r>
              <w:rPr>
                <w:rFonts w:ascii="Calibri" w:cs="Calibri" w:eastAsia="Calibri" w:hAnsi="Calibri"/>
                <w:b/>
                <w:bCs/>
                <w:i w:val="false"/>
                <w:iCs w:val="false"/>
                <w:color w:val="0A1628"/>
                <w:sz w:val="22"/>
                <w:szCs w:val="22"/>
              </w:rPr>
              <w:t xml:space="preserve">Personal wealth and company wealth are different</w:t>
            </w:r>
          </w:p>
          <w:p>
            <w:pPr>
              <w:spacing w:after="60" w:before="0"/>
              <w:jc w:val="left"/>
            </w:pPr>
            <w:r>
              <w:rPr>
                <w:rFonts w:ascii="Calibri" w:cs="Calibri" w:eastAsia="Calibri" w:hAnsi="Calibri"/>
                <w:b w:val="false"/>
                <w:bCs w:val="false"/>
                <w:i w:val="false"/>
                <w:iCs w:val="false"/>
                <w:color w:val="374151"/>
                <w:sz w:val="21"/>
                <w:szCs w:val="21"/>
              </w:rPr>
              <w:t xml:space="preserve">Your company's valuation is not your money until there is a liquidity event. Do not live like you have money you have not received. Build personal financial resilience independently of your startup's success.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CC4500" w:val="clear"/>
            <w:tcMar>
              <w:top w:type="dxa" w:w="120"/>
              <w:left w:type="dxa" w:w="80"/>
              <w:bottom w:type="dxa" w:w="120"/>
              <w:right w:type="dxa" w:w="80"/>
            </w:tcMar>
            <w:vAlign w:val="top"/>
          </w:tcPr>
          <w:p>
            <w:pPr>
              <w:spacing w:after="140" w:before="0"/>
              <w:jc w:val="center"/>
            </w:pPr>
            <w:r>
              <w:rPr>
                <w:rFonts w:ascii="Calibri" w:cs="Calibri" w:eastAsia="Calibri" w:hAnsi="Calibri"/>
                <w:b/>
                <w:bCs/>
                <w:i w:val="false"/>
                <w:iCs w:val="false"/>
                <w:color w:val="FFFFFF"/>
                <w:sz w:val="24"/>
                <w:szCs w:val="24"/>
              </w:rPr>
              <w:t xml:space="preserve">8</w:t>
            </w:r>
          </w:p>
        </w:tc>
        <w:tc>
          <w:tcPr>
            <w:tcW w:type="dxa" w:w="8760"/>
            <w:tcBorders>
              <w:top w:val="single" w:color="D1D5DB" w:sz="4"/>
              <w:left w:val="single" w:color="D1D5DB" w:sz="4"/>
              <w:bottom w:val="single" w:color="D1D5DB" w:sz="4"/>
              <w:right w:val="single" w:color="D1D5DB" w:sz="4"/>
            </w:tcBorders>
            <w:shd w:fill="F4F7FB" w:val="clear"/>
            <w:tcMar>
              <w:top w:type="dxa" w:w="120"/>
              <w:left w:type="dxa" w:w="180"/>
              <w:bottom w:type="dxa" w:w="120"/>
              <w:right w:type="dxa" w:w="120"/>
            </w:tcMar>
          </w:tcPr>
          <w:p>
            <w:pPr>
              <w:spacing w:after="80" w:before="0"/>
              <w:jc w:val="left"/>
            </w:pPr>
            <w:r>
              <w:rPr>
                <w:rFonts w:ascii="Calibri" w:cs="Calibri" w:eastAsia="Calibri" w:hAnsi="Calibri"/>
                <w:b/>
                <w:bCs/>
                <w:i w:val="false"/>
                <w:iCs w:val="false"/>
                <w:color w:val="0A1628"/>
                <w:sz w:val="22"/>
                <w:szCs w:val="22"/>
              </w:rPr>
              <w:t xml:space="preserve">Luxury is the destination, not the signpost</w:t>
            </w:r>
          </w:p>
          <w:p>
            <w:pPr>
              <w:spacing w:after="60" w:before="0"/>
              <w:jc w:val="left"/>
            </w:pPr>
            <w:r>
              <w:rPr>
                <w:rFonts w:ascii="Calibri" w:cs="Calibri" w:eastAsia="Calibri" w:hAnsi="Calibri"/>
                <w:b w:val="false"/>
                <w:bCs w:val="false"/>
                <w:i w:val="false"/>
                <w:iCs w:val="false"/>
                <w:color w:val="374151"/>
                <w:sz w:val="21"/>
                <w:szCs w:val="21"/>
              </w:rPr>
              <w:t xml:space="preserve">A Lamborghini in the parking lot of a founder with 10 customers and 14 months of runway is a threat to the company's survival. A Lamborghini after an IPO where ₹50 Crore has been distributed to the early team is a well-earned celebration. The difference is sequence, not the car.</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CC4500" w:val="clear"/>
            <w:tcMar>
              <w:top w:type="dxa" w:w="120"/>
              <w:left w:type="dxa" w:w="80"/>
              <w:bottom w:type="dxa" w:w="120"/>
              <w:right w:type="dxa" w:w="80"/>
            </w:tcMar>
            <w:vAlign w:val="top"/>
          </w:tcPr>
          <w:p>
            <w:pPr>
              <w:spacing w:after="140" w:before="0"/>
              <w:jc w:val="center"/>
            </w:pPr>
            <w:r>
              <w:rPr>
                <w:rFonts w:ascii="Calibri" w:cs="Calibri" w:eastAsia="Calibri" w:hAnsi="Calibri"/>
                <w:b/>
                <w:bCs/>
                <w:i w:val="false"/>
                <w:iCs w:val="false"/>
                <w:color w:val="FFFFFF"/>
                <w:sz w:val="24"/>
                <w:szCs w:val="24"/>
              </w:rPr>
              <w:t xml:space="preserve">9</w:t>
            </w:r>
          </w:p>
        </w:tc>
        <w:tc>
          <w:tcPr>
            <w:tcW w:type="dxa" w:w="8760"/>
            <w:tcBorders>
              <w:top w:val="single" w:color="D1D5DB" w:sz="4"/>
              <w:left w:val="single" w:color="D1D5DB" w:sz="4"/>
              <w:bottom w:val="single" w:color="D1D5DB" w:sz="4"/>
              <w:right w:val="single" w:color="D1D5DB" w:sz="4"/>
            </w:tcBorders>
            <w:shd w:fill="F4F7FB" w:val="clear"/>
            <w:tcMar>
              <w:top w:type="dxa" w:w="120"/>
              <w:left w:type="dxa" w:w="180"/>
              <w:bottom w:type="dxa" w:w="120"/>
              <w:right w:type="dxa" w:w="120"/>
            </w:tcMar>
          </w:tcPr>
          <w:p>
            <w:pPr>
              <w:spacing w:after="80" w:before="0"/>
              <w:jc w:val="left"/>
            </w:pPr>
            <w:r>
              <w:rPr>
                <w:rFonts w:ascii="Calibri" w:cs="Calibri" w:eastAsia="Calibri" w:hAnsi="Calibri"/>
                <w:b/>
                <w:bCs/>
                <w:i w:val="false"/>
                <w:iCs w:val="false"/>
                <w:color w:val="0A1628"/>
                <w:sz w:val="22"/>
                <w:szCs w:val="22"/>
              </w:rPr>
              <w:t xml:space="preserve">Global is earned, not chosen</w:t>
            </w:r>
          </w:p>
          <w:p>
            <w:pPr>
              <w:spacing w:after="60" w:before="0"/>
              <w:jc w:val="left"/>
            </w:pPr>
            <w:r>
              <w:rPr>
                <w:rFonts w:ascii="Calibri" w:cs="Calibri" w:eastAsia="Calibri" w:hAnsi="Calibri"/>
                <w:b w:val="false"/>
                <w:bCs w:val="false"/>
                <w:i w:val="false"/>
                <w:iCs w:val="false"/>
                <w:color w:val="374151"/>
                <w:sz w:val="21"/>
                <w:szCs w:val="21"/>
              </w:rPr>
              <w:t xml:space="preserve">Every successful global technology company was dominant at home before it was great abroad. Prove your model in Tamil Nadu. Win South India. Build India. Then go global with proven unit economics, proven GTM, and institutional capital.</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CC4500" w:val="clear"/>
            <w:tcMar>
              <w:top w:type="dxa" w:w="120"/>
              <w:left w:type="dxa" w:w="80"/>
              <w:bottom w:type="dxa" w:w="120"/>
              <w:right w:type="dxa" w:w="80"/>
            </w:tcMar>
            <w:vAlign w:val="top"/>
          </w:tcPr>
          <w:p>
            <w:pPr>
              <w:spacing w:after="140" w:before="0"/>
              <w:jc w:val="center"/>
            </w:pPr>
            <w:r>
              <w:rPr>
                <w:rFonts w:ascii="Calibri" w:cs="Calibri" w:eastAsia="Calibri" w:hAnsi="Calibri"/>
                <w:b/>
                <w:bCs/>
                <w:i w:val="false"/>
                <w:iCs w:val="false"/>
                <w:color w:val="FFFFFF"/>
                <w:sz w:val="24"/>
                <w:szCs w:val="24"/>
              </w:rPr>
              <w:t xml:space="preserve">10</w:t>
            </w:r>
          </w:p>
        </w:tc>
        <w:tc>
          <w:tcPr>
            <w:tcW w:type="dxa" w:w="8760"/>
            <w:tcBorders>
              <w:top w:val="single" w:color="D1D5DB" w:sz="4"/>
              <w:left w:val="single" w:color="D1D5DB" w:sz="4"/>
              <w:bottom w:val="single" w:color="D1D5DB" w:sz="4"/>
              <w:right w:val="single" w:color="D1D5DB" w:sz="4"/>
            </w:tcBorders>
            <w:shd w:fill="F4F7FB" w:val="clear"/>
            <w:tcMar>
              <w:top w:type="dxa" w:w="120"/>
              <w:left w:type="dxa" w:w="180"/>
              <w:bottom w:type="dxa" w:w="120"/>
              <w:right w:type="dxa" w:w="120"/>
            </w:tcMar>
          </w:tcPr>
          <w:p>
            <w:pPr>
              <w:spacing w:after="80" w:before="0"/>
              <w:jc w:val="left"/>
            </w:pPr>
            <w:r>
              <w:rPr>
                <w:rFonts w:ascii="Calibri" w:cs="Calibri" w:eastAsia="Calibri" w:hAnsi="Calibri"/>
                <w:b/>
                <w:bCs/>
                <w:i w:val="false"/>
                <w:iCs w:val="false"/>
                <w:color w:val="0A1628"/>
                <w:sz w:val="22"/>
                <w:szCs w:val="22"/>
              </w:rPr>
              <w:t xml:space="preserve">Build for 20 years, not 24 months</w:t>
            </w:r>
          </w:p>
          <w:p>
            <w:pPr>
              <w:spacing w:after="60" w:before="0"/>
              <w:jc w:val="left"/>
            </w:pPr>
            <w:r>
              <w:rPr>
                <w:rFonts w:ascii="Calibri" w:cs="Calibri" w:eastAsia="Calibri" w:hAnsi="Calibri"/>
                <w:b w:val="false"/>
                <w:bCs w:val="false"/>
                <w:i w:val="false"/>
                <w:iCs w:val="false"/>
                <w:color w:val="374151"/>
                <w:sz w:val="21"/>
                <w:szCs w:val="21"/>
              </w:rPr>
              <w:t xml:space="preserve">The greatest companies — Infosys, TCS, Wipro, Zoho, Freshworks — were not built in one funding cycle. They were built by founders who showed up every day for decades, iterated relentlessly, governed carefully, and refused to compromise on quality. The 20-year founder wins. The 24-month flipper sells.</w:t>
            </w:r>
          </w:p>
        </w:tc>
      </w:tr>
    </w:tbl>
    <w:p>
      <w:pPr>
        <w:spacing w:after="20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280"/>
              <w:left w:type="dxa" w:w="360"/>
              <w:bottom w:type="dxa" w:w="280"/>
              <w:right w:type="dxa" w:w="360"/>
            </w:tcMar>
          </w:tcPr>
          <w:p>
            <w:pPr>
              <w:spacing w:after="80" w:before="0"/>
              <w:jc w:val="center"/>
            </w:pPr>
            <w:r>
              <w:rPr>
                <w:rFonts w:ascii="Calibri" w:cs="Calibri" w:eastAsia="Calibri" w:hAnsi="Calibri"/>
                <w:b/>
                <w:bCs/>
                <w:i w:val="false"/>
                <w:iCs w:val="false"/>
                <w:color w:val="CC4500"/>
                <w:sz w:val="40"/>
                <w:szCs w:val="40"/>
              </w:rPr>
              <w:t xml:space="preserve">THE GLOBAL FOUNDER, CEO &amp; WEALTH BUILDER PLAYBOOK</w:t>
            </w:r>
          </w:p>
          <w:p>
            <w:pPr>
              <w:spacing w:after="60" w:before="0"/>
              <w:jc w:val="center"/>
            </w:pPr>
            <w:r>
              <w:rPr>
                <w:rFonts w:ascii="Calibri" w:cs="Calibri" w:eastAsia="Calibri" w:hAnsi="Calibri"/>
                <w:b w:val="false"/>
                <w:bCs w:val="false"/>
                <w:i w:val="false"/>
                <w:iCs w:val="false"/>
                <w:color w:val="FFFFFF"/>
                <w:sz w:val="20"/>
                <w:szCs w:val="20"/>
              </w:rPr>
              <w:t xml:space="preserve">For AutoEra AI Solutions Pvt. Ltd.</w:t>
            </w:r>
          </w:p>
          <w:p>
            <w:pPr>
              <w:spacing w:after="240" w:before="0"/>
              <w:jc w:val="center"/>
            </w:pPr>
            <w:r>
              <w:rPr>
                <w:rFonts w:ascii="Calibri" w:cs="Calibri" w:eastAsia="Calibri" w:hAnsi="Calibri"/>
                <w:b w:val="false"/>
                <w:bCs w:val="false"/>
                <w:i w:val="false"/>
                <w:iCs w:val="false"/>
                <w:color w:val="AABBCC"/>
                <w:sz w:val="18"/>
                <w:szCs w:val="18"/>
              </w:rPr>
              <w:t xml:space="preserve">Version 1.0  |  2026  |  UDYAM-TN-24-0162449</w:t>
            </w:r>
          </w:p>
          <w:p>
            <w:pPr>
              <w:spacing w:after="220" w:before="0"/>
              <w:jc w:val="center"/>
            </w:pPr>
            <w:r>
              <w:rPr>
                <w:rFonts w:ascii="Calibri" w:cs="Calibri" w:eastAsia="Calibri" w:hAnsi="Calibri"/>
                <w:b w:val="false"/>
                <w:bCs w:val="false"/>
                <w:i w:val="false"/>
                <w:iCs w:val="false"/>
                <w:color w:val="CC4500"/>
                <w:sz w:val="22"/>
                <w:szCs w:val="22"/>
              </w:rPr>
              <w:t xml:space="preserve">────────────────────────────────────</w:t>
            </w:r>
          </w:p>
          <w:p>
            <w:pPr>
              <w:spacing w:after="60" w:before="0"/>
              <w:jc w:val="center"/>
            </w:pPr>
            <w:r>
              <w:rPr>
                <w:rFonts w:ascii="Calibri" w:cs="Calibri" w:eastAsia="Calibri" w:hAnsi="Calibri"/>
                <w:b w:val="false"/>
                <w:bCs w:val="false"/>
                <w:i w:val="false"/>
                <w:iCs w:val="false"/>
                <w:color w:val="AABBCC"/>
                <w:sz w:val="18"/>
                <w:szCs w:val="18"/>
              </w:rPr>
              <w:t xml:space="preserve">15 Parts · Founder OS · Leadership · Sales · Global Expansion · Corporate Finance</w:t>
            </w:r>
          </w:p>
          <w:p>
            <w:pPr>
              <w:spacing w:after="200" w:before="0"/>
              <w:jc w:val="center"/>
            </w:pPr>
            <w:r>
              <w:rPr>
                <w:rFonts w:ascii="Calibri" w:cs="Calibri" w:eastAsia="Calibri" w:hAnsi="Calibri"/>
                <w:b w:val="false"/>
                <w:bCs w:val="false"/>
                <w:i w:val="false"/>
                <w:iCs w:val="false"/>
                <w:color w:val="AABBCC"/>
                <w:sz w:val="18"/>
                <w:szCs w:val="18"/>
              </w:rPr>
              <w:t xml:space="preserve">Investor Relations · Corporate Structure · Tax &amp; Wealth · Luxury Framework · 20-Year Roadmap</w:t>
            </w:r>
          </w:p>
          <w:p>
            <w:pPr>
              <w:spacing w:after="140" w:before="0"/>
              <w:jc w:val="center"/>
            </w:pPr>
            <w:r>
              <w:rPr>
                <w:rFonts w:ascii="Calibri" w:cs="Calibri" w:eastAsia="Calibri" w:hAnsi="Calibri"/>
                <w:b w:val="false"/>
                <w:bCs w:val="false"/>
                <w:i/>
                <w:iCs/>
                <w:color w:val="CC4500"/>
                <w:sz w:val="19"/>
                <w:szCs w:val="19"/>
              </w:rPr>
              <w:t xml:space="preserve">"Build for 20 years. The world belongs to the patient, the disciplined, and the long-game thinkers."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pBdr>
      <w:spacing w:after="40" w:before="60"/>
    </w:pPr>
    <w:r>
      <w:rPr>
        <w:rFonts w:ascii="Calibri" w:cs="Calibri" w:eastAsia="Calibri" w:hAnsi="Calibri"/>
        <w:b w:val="false"/>
        <w:bCs w:val="false"/>
        <w:i w:val="false"/>
        <w:iCs w:val="false"/>
        <w:color w:val="1F2937"/>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pPr>
            <w:spacing w:after="140" w:before="0"/>
            <w:jc w:val="left"/>
          </w:pPr>
          <w:r>
            <w:rPr>
              <w:rFonts w:ascii="Calibri" w:cs="Calibri" w:eastAsia="Calibri" w:hAnsi="Calibri"/>
              <w:b w:val="false"/>
              <w:bCs w:val="false"/>
              <w:i w:val="false"/>
              <w:iCs w:val="false"/>
              <w:color w:val="6B7280"/>
              <w:sz w:val="14"/>
              <w:szCs w:val="14"/>
            </w:rPr>
            <w:t xml:space="preserve">AutoEra AI Solutions  |  Founder Education Series  |  Version 1.0 — 2026</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jc w:val="right"/>
          </w:pPr>
          <w:r>
            <w:rPr>
              <w:rFonts w:ascii="Calibri" w:cs="Calibri" w:eastAsia="Calibri" w:hAnsi="Calibri"/>
              <w:b w:val="false"/>
              <w:bCs w:val="false"/>
              <w:i w:val="false"/>
              <w:iCs w:val="false"/>
              <w:color w:val="6B7280"/>
              <w:sz w:val="14"/>
              <w:szCs w:val="14"/>
            </w:rPr>
            <w:t xml:space="preserve">Page </w:t>
          </w:r>
          <w:r>
            <w:rPr>
              <w:rFonts w:ascii="Calibri" w:cs="Calibri" w:hAnsi="Calibri"/>
              <w:color w:val="6B7280"/>
              <w:sz w:val="15"/>
              <w:szCs w:val="15"/>
            </w:rPr>
            <w:fldChar w:fldCharType="begin"/>
          </w:r>
          <w:r>
            <w:rPr>
              <w:rFonts w:ascii="Calibri" w:cs="Calibri" w:hAnsi="Calibri"/>
              <w:color w:val="6B7280"/>
              <w:sz w:val="15"/>
              <w:szCs w:val="15"/>
            </w:rPr>
            <w:instrText xml:space="preserve"> PAGE </w:instrText>
          </w:r>
          <w:r>
            <w:rPr>
              <w:rFonts w:ascii="Calibri" w:cs="Calibri" w:hAnsi="Calibri"/>
              <w:color w:val="6B7280"/>
              <w:sz w:val="15"/>
              <w:szCs w:val="15"/>
            </w:rPr>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pPr>
            <w:spacing w:after="140" w:before="0"/>
            <w:jc w:val="left"/>
          </w:pPr>
          <w:r>
            <w:rPr>
              <w:rFonts w:ascii="Calibri" w:cs="Calibri" w:eastAsia="Calibri" w:hAnsi="Calibri"/>
              <w:b/>
              <w:bCs/>
              <w:i w:val="false"/>
              <w:iCs w:val="false"/>
              <w:color w:val="CC4500"/>
              <w:sz w:val="15"/>
              <w:szCs w:val="15"/>
            </w:rPr>
            <w:t xml:space="preserve">GLOBAL FOUNDER, CEO &amp; WEALTH BUILDER PLAYBOOK</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pPr>
            <w:spacing w:after="140" w:before="0"/>
            <w:jc w:val="right"/>
          </w:pPr>
          <w:r>
            <w:rPr>
              <w:rFonts w:ascii="Calibri" w:cs="Calibri" w:eastAsia="Calibri" w:hAnsi="Calibri"/>
              <w:b w:val="false"/>
              <w:bCs w:val="false"/>
              <w:i w:val="false"/>
              <w:iCs w:val="false"/>
              <w:color w:val="6B7280"/>
              <w:sz w:val="13"/>
              <w:szCs w:val="13"/>
            </w:rPr>
            <w:t xml:space="preserve">For First-Time Founders Building Global Companies  |  CONFIDENTIAL</w:t>
          </w:r>
        </w:p>
      </w:tc>
    </w:tr>
  </w:tbl>
  <w:p>
    <w:pPr>
      <w:pBdr>
        <w:bottom w:val="single" w:color="CC4500" w:sz="6"/>
      </w:pBdr>
      <w:spacing w:after="80" w:before="40"/>
    </w:pPr>
    <w:r>
      <w:rPr>
        <w:rFonts w:ascii="Calibri" w:cs="Calibri" w:eastAsia="Calibri" w:hAnsi="Calibri"/>
        <w:b w:val="false"/>
        <w:bCs w:val="false"/>
        <w:i w:val="false"/>
        <w:iCs w:val="false"/>
        <w:color w:val="1F2937"/>
        <w:sz w:val="22"/>
        <w:szCs w:val="2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C4500" w:sz="8" w:space="4"/>
      </w:pBdr>
      <w:spacing w:after="260" w:before="560"/>
      <w:outlineLvl w:val="0"/>
    </w:pPr>
    <w:rPr>
      <w:rFonts w:ascii="Calibri" w:cs="Calibri" w:eastAsia="Calibri" w:hAnsi="Calibri"/>
      <w:b/>
      <w:bCs/>
      <w:color w:val="0A1628"/>
      <w:sz w:val="40"/>
      <w:szCs w:val="40"/>
    </w:rPr>
  </w:style>
  <w:style w:type="paragraph" w:styleId="Heading2">
    <w:name w:val="Heading 2"/>
    <w:basedOn w:val="Normal"/>
    <w:next w:val="Normal"/>
    <w:qFormat/>
    <w:pPr>
      <w:spacing w:after="200" w:before="380"/>
      <w:outlineLvl w:val="1"/>
    </w:pPr>
    <w:rPr>
      <w:rFonts w:ascii="Calibri" w:cs="Calibri" w:eastAsia="Calibri" w:hAnsi="Calibri"/>
      <w:b/>
      <w:bCs/>
      <w:color w:val="1A3A5C"/>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CC45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2026-07-10T08:20:52.376Z</dcterms:created>
  <dcterms:modified xsi:type="dcterms:W3CDTF">2026-07-10T08:20:52.390Z</dcterms:modified>
</cp:coreProperties>
</file>

<file path=docProps/custom.xml><?xml version="1.0" encoding="utf-8"?>
<Properties xmlns="http://schemas.openxmlformats.org/officeDocument/2006/custom-properties" xmlns:vt="http://schemas.openxmlformats.org/officeDocument/2006/docPropsVTypes"/>
</file>