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rPr>
          <w:rFonts w:ascii="Arial" w:cs="Arial" w:eastAsia="Arial" w:hAnsi="Arial"/>
          <w:b/>
          <w:bCs/>
          <w:i w:val="false"/>
          <w:iCs w:val="false"/>
          <w:color w:val="1F4E79"/>
          <w:sz w:val="32"/>
          <w:szCs w:val="32"/>
        </w:rPr>
        <w:t xml:space="preserve">Planificación Temporal del Proyecto</w:t>
      </w:r>
    </w:p>
    <w:p>
      <w:pPr>
        <w:spacing w:before="0" w:after="160"/>
        <w:jc w:val="both"/>
      </w:pPr>
      <w:r>
        <w:rPr>
          <w:rFonts w:ascii="Arial" w:cs="Arial" w:eastAsia="Arial" w:hAnsi="Arial"/>
          <w:b w:val="false"/>
          <w:bCs w:val="false"/>
          <w:i w:val="false"/>
          <w:iCs w:val="false"/>
          <w:color w:val="374151"/>
          <w:sz w:val="24"/>
          <w:szCs w:val="24"/>
        </w:rPr>
        <w:t xml:space="preserve">El desarrollo de StaffFlow se organiza en cinco fases secuenciales que cubren el período comprendido entre el 2 de marzo de 2026 y el 22 de abril de 2026. El proyecto tiene una duración total de 52 días naturales, de los cuales 42 son días disponibles contando de lunes a sábado y excluyendo los tres festivos de la Comunidad de Madrid que caen en ese período: San José (19 de marzo), Jueves Santo (2 de abril) y Viernes Santo (3 de abril).</w:t>
      </w:r>
    </w:p>
    <w:p>
      <w:pPr>
        <w:spacing w:before="0" w:after="160"/>
        <w:jc w:val="both"/>
      </w:pPr>
      <w:r>
        <w:rPr>
          <w:rFonts w:ascii="Arial" w:cs="Arial" w:eastAsia="Arial" w:hAnsi="Arial"/>
          <w:b w:val="false"/>
          <w:bCs w:val="false"/>
          <w:i w:val="false"/>
          <w:iCs w:val="false"/>
          <w:color w:val="374151"/>
          <w:sz w:val="24"/>
          <w:szCs w:val="24"/>
        </w:rPr>
        <w:t xml:space="preserve">La dedicación estimada es de aproximadamente 5,4 horas por día disponible, lo que suma un total de 225 horas de trabajo efectivo. La distribución de esfuerzo refleja la complejidad real de cada componente: el desarrollo backend concentra el mayor peso con 80 horas, seguido de la documentación y presentación con 50 horas, el desarrollo Android con 35 horas y el análisis y testing con 30 horas cada uno.</w:t>
      </w:r>
    </w:p>
    <w:p>
      <w:pPr>
        <w:spacing w:before="0" w:after="60"/>
      </w:pPr>
      <w:r>
        <w:rPr>
          <w:rFonts w:ascii="Arial" w:cs="Arial" w:eastAsia="Arial" w:hAnsi="Arial"/>
          <w:b w:val="false"/>
          <w:bCs w:val="false"/>
          <w:i w:val="false"/>
          <w:iCs w:val="false"/>
          <w:color w:val="374151"/>
          <w:sz w:val="24"/>
          <w:szCs w:val="24"/>
        </w:rPr>
        <w:t xml:space="preserve"/>
      </w:r>
    </w:p>
    <w:p>
      <w:pPr>
        <w:pStyle w:val="Heading2"/>
        <w:spacing w:before="300" w:after="160"/>
      </w:pPr>
      <w:r>
        <w:rPr>
          <w:rFonts w:ascii="Arial" w:cs="Arial" w:eastAsia="Arial" w:hAnsi="Arial"/>
          <w:b/>
          <w:bCs/>
          <w:i w:val="false"/>
          <w:iCs w:val="false"/>
          <w:color w:val="2E75B6"/>
          <w:sz w:val="27"/>
          <w:szCs w:val="27"/>
        </w:rPr>
        <w:t xml:space="preserve">Tabla resumen de fases</w:t>
      </w:r>
    </w:p>
    <w:p>
      <w:pPr>
        <w:spacing w:before="0" w:after="60"/>
      </w:pPr>
      <w:r>
        <w:rPr>
          <w:rFonts w:ascii="Arial" w:cs="Arial" w:eastAsia="Arial" w:hAnsi="Arial"/>
          <w:b w:val="false"/>
          <w:bCs w:val="false"/>
          <w:i w:val="false"/>
          <w:iCs w:val="false"/>
          <w:color w:val="374151"/>
          <w:sz w:val="24"/>
          <w:szCs w:val="24"/>
        </w:rP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700"/>
        <w:gridCol w:w="700"/>
        <w:gridCol w:w="2426"/>
        <w:gridCol w:w="1900"/>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FFFFFF"/>
                <w:sz w:val="20"/>
                <w:szCs w:val="20"/>
              </w:rPr>
              <w:t xml:space="preserve">Fase</w:t>
            </w:r>
          </w:p>
        </w:tc>
        <w:tc>
          <w:tcPr>
            <w:tcW w:type="dxa" w:w="1700"/>
            <w:tcBorders>
              <w:top w:val="single" w:color="CCCCCC" w:sz="4"/>
              <w:left w:val="single" w:color="CCCCCC" w:sz="4"/>
              <w:bottom w:val="single" w:color="CCCCCC" w:sz="4"/>
              <w:right w:val="single" w:color="CCCCCC" w:sz="4"/>
            </w:tcBorders>
            <w:shd w:fill="1F4E79"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FFFFFF"/>
                <w:sz w:val="20"/>
                <w:szCs w:val="20"/>
              </w:rPr>
              <w:t xml:space="preserve">Período</w:t>
            </w:r>
          </w:p>
        </w:tc>
        <w:tc>
          <w:tcPr>
            <w:tcW w:type="dxa" w:w="700"/>
            <w:tcBorders>
              <w:top w:val="single" w:color="CCCCCC" w:sz="4"/>
              <w:left w:val="single" w:color="CCCCCC" w:sz="4"/>
              <w:bottom w:val="single" w:color="CCCCCC" w:sz="4"/>
              <w:right w:val="single" w:color="CCCCCC" w:sz="4"/>
            </w:tcBorders>
            <w:shd w:fill="1F4E79"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FFFFFF"/>
                <w:sz w:val="20"/>
                <w:szCs w:val="20"/>
              </w:rPr>
              <w:t xml:space="preserve">Días</w:t>
            </w:r>
          </w:p>
        </w:tc>
        <w:tc>
          <w:tcPr>
            <w:tcW w:type="dxa" w:w="700"/>
            <w:tcBorders>
              <w:top w:val="single" w:color="CCCCCC" w:sz="4"/>
              <w:left w:val="single" w:color="CCCCCC" w:sz="4"/>
              <w:bottom w:val="single" w:color="CCCCCC" w:sz="4"/>
              <w:right w:val="single" w:color="CCCCCC" w:sz="4"/>
            </w:tcBorders>
            <w:shd w:fill="1F4E79"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FFFFFF"/>
                <w:sz w:val="20"/>
                <w:szCs w:val="20"/>
              </w:rPr>
              <w:t xml:space="preserve">Horas</w:t>
            </w:r>
          </w:p>
        </w:tc>
        <w:tc>
          <w:tcPr>
            <w:tcW w:type="dxa" w:w="2426"/>
            <w:tcBorders>
              <w:top w:val="single" w:color="CCCCCC" w:sz="4"/>
              <w:left w:val="single" w:color="CCCCCC" w:sz="4"/>
              <w:bottom w:val="single" w:color="CCCCCC" w:sz="4"/>
              <w:right w:val="single" w:color="CCCCCC" w:sz="4"/>
            </w:tcBorders>
            <w:shd w:fill="1F4E79"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FFFFFF"/>
                <w:sz w:val="20"/>
                <w:szCs w:val="20"/>
              </w:rPr>
              <w:t xml:space="preserve">Tecnologías clave</w:t>
            </w:r>
          </w:p>
        </w:tc>
        <w:tc>
          <w:tcPr>
            <w:tcW w:type="dxa" w:w="1900"/>
            <w:tcBorders>
              <w:top w:val="single" w:color="CCCCCC" w:sz="4"/>
              <w:left w:val="single" w:color="CCCCCC" w:sz="4"/>
              <w:bottom w:val="single" w:color="CCCCCC" w:sz="4"/>
              <w:right w:val="single" w:color="CCCCCC" w:sz="4"/>
            </w:tcBorders>
            <w:shd w:fill="1F4E79"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FFFFFF"/>
                <w:sz w:val="20"/>
                <w:szCs w:val="20"/>
              </w:rPr>
              <w:t xml:space="preserve">Hito de cierre</w:t>
            </w:r>
          </w:p>
        </w:tc>
      </w:tr>
      <w:tr>
        <w:tc>
          <w:tcPr>
            <w:tcW w:type="dxa" w:w="1500"/>
            <w:tcBorders>
              <w:top w:val="single" w:color="CCCCCC" w:sz="4"/>
              <w:left w:val="single" w:color="CCCCCC" w:sz="4"/>
              <w:bottom w:val="single" w:color="CCCCCC" w:sz="4"/>
              <w:right w:val="single" w:color="CCCCCC" w:sz="4"/>
            </w:tcBorders>
            <w:shd w:fill="D1FAE5" w:val="clear"/>
            <w:tcMar>
              <w:top w:type="dxa" w:w="90"/>
              <w:left w:type="dxa" w:w="130"/>
              <w:bottom w:type="dxa" w:w="90"/>
              <w:right w:type="dxa" w:w="130"/>
            </w:tcMar>
            <w:vAlign w:val="center"/>
          </w:tcPr>
          <w:p>
            <w:pPr>
              <w:spacing w:before="0" w:after="0"/>
              <w:jc w:val="left"/>
            </w:pPr>
            <w:r>
              <w:rPr>
                <w:rFonts w:ascii="Arial" w:cs="Arial" w:eastAsia="Arial" w:hAnsi="Arial"/>
                <w:b/>
                <w:bCs/>
                <w:i w:val="false"/>
                <w:iCs w:val="false"/>
                <w:color w:val="065F46"/>
                <w:sz w:val="18"/>
                <w:szCs w:val="18"/>
              </w:rPr>
              <w:t xml:space="preserve">FASE 1 — Análisis y Diseño</w:t>
            </w:r>
          </w:p>
        </w:tc>
        <w:tc>
          <w:tcPr>
            <w:tcW w:type="dxa" w:w="1700"/>
            <w:tcBorders>
              <w:top w:val="single" w:color="CCCCCC" w:sz="4"/>
              <w:left w:val="single" w:color="CCCCCC" w:sz="4"/>
              <w:bottom w:val="single" w:color="CCCCCC" w:sz="4"/>
              <w:right w:val="single" w:color="CCCCCC" w:sz="4"/>
            </w:tcBorders>
            <w:shd w:fill="D1FAE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065F46"/>
                <w:sz w:val="18"/>
                <w:szCs w:val="18"/>
              </w:rPr>
              <w:t xml:space="preserve">02 Mar – 08 Mar</w:t>
            </w:r>
          </w:p>
        </w:tc>
        <w:tc>
          <w:tcPr>
            <w:tcW w:type="dxa" w:w="700"/>
            <w:tcBorders>
              <w:top w:val="single" w:color="CCCCCC" w:sz="4"/>
              <w:left w:val="single" w:color="CCCCCC" w:sz="4"/>
              <w:bottom w:val="single" w:color="CCCCCC" w:sz="4"/>
              <w:right w:val="single" w:color="CCCCCC" w:sz="4"/>
            </w:tcBorders>
            <w:shd w:fill="D1FAE5" w:val="clear"/>
            <w:tcMar>
              <w:top w:type="dxa" w:w="90"/>
              <w:left w:type="dxa" w:w="130"/>
              <w:bottom w:type="dxa" w:w="90"/>
              <w:right w:type="dxa" w:w="130"/>
            </w:tcMar>
            <w:vAlign w:val="center"/>
          </w:tcPr>
          <w:p>
            <w:pPr>
              <w:spacing w:before="0" w:after="0"/>
              <w:jc w:val="center"/>
            </w:pPr>
            <w:r>
              <w:rPr>
                <w:rFonts w:ascii="Arial" w:cs="Arial" w:eastAsia="Arial" w:hAnsi="Arial"/>
                <w:b w:val="false"/>
                <w:bCs w:val="false"/>
                <w:i w:val="false"/>
                <w:iCs w:val="false"/>
                <w:color w:val="065F46"/>
                <w:sz w:val="18"/>
                <w:szCs w:val="18"/>
              </w:rPr>
              <w:t xml:space="preserve">7</w:t>
            </w:r>
          </w:p>
        </w:tc>
        <w:tc>
          <w:tcPr>
            <w:tcW w:type="dxa" w:w="700"/>
            <w:tcBorders>
              <w:top w:val="single" w:color="CCCCCC" w:sz="4"/>
              <w:left w:val="single" w:color="CCCCCC" w:sz="4"/>
              <w:bottom w:val="single" w:color="CCCCCC" w:sz="4"/>
              <w:right w:val="single" w:color="CCCCCC" w:sz="4"/>
            </w:tcBorders>
            <w:shd w:fill="D1FAE5"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065F46"/>
                <w:sz w:val="18"/>
                <w:szCs w:val="18"/>
              </w:rPr>
              <w:t xml:space="preserve">30h</w:t>
            </w:r>
          </w:p>
        </w:tc>
        <w:tc>
          <w:tcPr>
            <w:tcW w:type="dxa" w:w="2426"/>
            <w:tcBorders>
              <w:top w:val="single" w:color="CCCCCC" w:sz="4"/>
              <w:left w:val="single" w:color="CCCCCC" w:sz="4"/>
              <w:bottom w:val="single" w:color="CCCCCC" w:sz="4"/>
              <w:right w:val="single" w:color="CCCCCC" w:sz="4"/>
            </w:tcBorders>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374151"/>
                <w:sz w:val="17"/>
                <w:szCs w:val="17"/>
              </w:rPr>
              <w:t xml:space="preserve">H2 · MySQL WB · Postman · Draw.io · Figma</w:t>
            </w:r>
          </w:p>
        </w:tc>
        <w:tc>
          <w:tcPr>
            <w:tcW w:type="dxa" w:w="1900"/>
            <w:tcBorders>
              <w:top w:val="single" w:color="CCCCCC" w:sz="4"/>
              <w:left w:val="single" w:color="CCCCCC" w:sz="4"/>
              <w:bottom w:val="single" w:color="CCCCCC" w:sz="4"/>
              <w:right w:val="single" w:color="CCCCCC" w:sz="4"/>
            </w:tcBorders>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374151"/>
                <w:sz w:val="18"/>
                <w:szCs w:val="18"/>
              </w:rPr>
              <w:t xml:space="preserve">Diseño completo — 08 Mar</w:t>
            </w:r>
          </w:p>
        </w:tc>
      </w:tr>
      <w:tr>
        <w:tc>
          <w:tcPr>
            <w:tcW w:type="dxa" w:w="1500"/>
            <w:tcBorders>
              <w:top w:val="single" w:color="CCCCCC" w:sz="4"/>
              <w:left w:val="single" w:color="CCCCCC" w:sz="4"/>
              <w:bottom w:val="single" w:color="CCCCCC" w:sz="4"/>
              <w:right w:val="single" w:color="CCCCCC" w:sz="4"/>
            </w:tcBorders>
            <w:shd w:fill="DBEAFE" w:val="clear"/>
            <w:tcMar>
              <w:top w:type="dxa" w:w="90"/>
              <w:left w:type="dxa" w:w="130"/>
              <w:bottom w:type="dxa" w:w="90"/>
              <w:right w:type="dxa" w:w="130"/>
            </w:tcMar>
            <w:vAlign w:val="center"/>
          </w:tcPr>
          <w:p>
            <w:pPr>
              <w:spacing w:before="0" w:after="0"/>
              <w:jc w:val="left"/>
            </w:pPr>
            <w:r>
              <w:rPr>
                <w:rFonts w:ascii="Arial" w:cs="Arial" w:eastAsia="Arial" w:hAnsi="Arial"/>
                <w:b/>
                <w:bCs/>
                <w:i w:val="false"/>
                <w:iCs w:val="false"/>
                <w:color w:val="1E3A8A"/>
                <w:sz w:val="18"/>
                <w:szCs w:val="18"/>
              </w:rPr>
              <w:t xml:space="preserve">FASE 2 — Desarrollo Backend</w:t>
            </w:r>
          </w:p>
        </w:tc>
        <w:tc>
          <w:tcPr>
            <w:tcW w:type="dxa" w:w="1700"/>
            <w:tcBorders>
              <w:top w:val="single" w:color="CCCCCC" w:sz="4"/>
              <w:left w:val="single" w:color="CCCCCC" w:sz="4"/>
              <w:bottom w:val="single" w:color="CCCCCC" w:sz="4"/>
              <w:right w:val="single" w:color="CCCCCC" w:sz="4"/>
            </w:tcBorders>
            <w:shd w:fill="DBEAFE" w:val="clear"/>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1E3A8A"/>
                <w:sz w:val="18"/>
                <w:szCs w:val="18"/>
              </w:rPr>
              <w:t xml:space="preserve">09 Mar – 29 Mar</w:t>
            </w:r>
          </w:p>
        </w:tc>
        <w:tc>
          <w:tcPr>
            <w:tcW w:type="dxa" w:w="700"/>
            <w:tcBorders>
              <w:top w:val="single" w:color="CCCCCC" w:sz="4"/>
              <w:left w:val="single" w:color="CCCCCC" w:sz="4"/>
              <w:bottom w:val="single" w:color="CCCCCC" w:sz="4"/>
              <w:right w:val="single" w:color="CCCCCC" w:sz="4"/>
            </w:tcBorders>
            <w:shd w:fill="DBEAFE" w:val="clear"/>
            <w:tcMar>
              <w:top w:type="dxa" w:w="90"/>
              <w:left w:type="dxa" w:w="130"/>
              <w:bottom w:type="dxa" w:w="90"/>
              <w:right w:type="dxa" w:w="130"/>
            </w:tcMar>
            <w:vAlign w:val="center"/>
          </w:tcPr>
          <w:p>
            <w:pPr>
              <w:spacing w:before="0" w:after="0"/>
              <w:jc w:val="center"/>
            </w:pPr>
            <w:r>
              <w:rPr>
                <w:rFonts w:ascii="Arial" w:cs="Arial" w:eastAsia="Arial" w:hAnsi="Arial"/>
                <w:b w:val="false"/>
                <w:bCs w:val="false"/>
                <w:i w:val="false"/>
                <w:iCs w:val="false"/>
                <w:color w:val="1E3A8A"/>
                <w:sz w:val="18"/>
                <w:szCs w:val="18"/>
              </w:rPr>
              <w:t xml:space="preserve">21</w:t>
            </w:r>
          </w:p>
        </w:tc>
        <w:tc>
          <w:tcPr>
            <w:tcW w:type="dxa" w:w="700"/>
            <w:tcBorders>
              <w:top w:val="single" w:color="CCCCCC" w:sz="4"/>
              <w:left w:val="single" w:color="CCCCCC" w:sz="4"/>
              <w:bottom w:val="single" w:color="CCCCCC" w:sz="4"/>
              <w:right w:val="single" w:color="CCCCCC" w:sz="4"/>
            </w:tcBorders>
            <w:shd w:fill="DBEAFE"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1E3A8A"/>
                <w:sz w:val="18"/>
                <w:szCs w:val="18"/>
              </w:rPr>
              <w:t xml:space="preserve">80h</w:t>
            </w:r>
          </w:p>
        </w:tc>
        <w:tc>
          <w:tcPr>
            <w:tcW w:type="dxa" w:w="2426"/>
            <w:tcBorders>
              <w:top w:val="single" w:color="CCCCCC" w:sz="4"/>
              <w:left w:val="single" w:color="CCCCCC" w:sz="4"/>
              <w:bottom w:val="single" w:color="CCCCCC" w:sz="4"/>
              <w:right w:val="single" w:color="CCCCCC" w:sz="4"/>
            </w:tcBorders>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374151"/>
                <w:sz w:val="17"/>
                <w:szCs w:val="17"/>
              </w:rPr>
              <w:t xml:space="preserve">Java 17 · Spring Boot · JPA · Security · JWT · H2 · Swagger</w:t>
            </w:r>
          </w:p>
        </w:tc>
        <w:tc>
          <w:tcPr>
            <w:tcW w:type="dxa" w:w="1900"/>
            <w:tcBorders>
              <w:top w:val="single" w:color="CCCCCC" w:sz="4"/>
              <w:left w:val="single" w:color="CCCCCC" w:sz="4"/>
              <w:bottom w:val="single" w:color="CCCCCC" w:sz="4"/>
              <w:right w:val="single" w:color="CCCCCC" w:sz="4"/>
            </w:tcBorders>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374151"/>
                <w:sz w:val="18"/>
                <w:szCs w:val="18"/>
              </w:rPr>
              <w:t xml:space="preserve">API funcional — 29 Mar</w:t>
            </w:r>
          </w:p>
        </w:tc>
      </w:tr>
      <w:tr>
        <w:tc>
          <w:tcPr>
            <w:tcW w:type="dxa" w:w="1500"/>
            <w:tcBorders>
              <w:top w:val="single" w:color="CCCCCC" w:sz="4"/>
              <w:left w:val="single" w:color="CCCCCC" w:sz="4"/>
              <w:bottom w:val="single" w:color="CCCCCC" w:sz="4"/>
              <w:right w:val="single" w:color="CCCCCC" w:sz="4"/>
            </w:tcBorders>
            <w:shd w:fill="FEE2E2" w:val="clear"/>
            <w:tcMar>
              <w:top w:type="dxa" w:w="90"/>
              <w:left w:type="dxa" w:w="130"/>
              <w:bottom w:type="dxa" w:w="90"/>
              <w:right w:type="dxa" w:w="130"/>
            </w:tcMar>
            <w:vAlign w:val="center"/>
          </w:tcPr>
          <w:p>
            <w:pPr>
              <w:spacing w:before="0" w:after="0"/>
              <w:jc w:val="left"/>
            </w:pPr>
            <w:r>
              <w:rPr>
                <w:rFonts w:ascii="Arial" w:cs="Arial" w:eastAsia="Arial" w:hAnsi="Arial"/>
                <w:b/>
                <w:bCs/>
                <w:i w:val="false"/>
                <w:iCs w:val="false"/>
                <w:color w:val="7F1D1D"/>
                <w:sz w:val="18"/>
                <w:szCs w:val="18"/>
              </w:rPr>
              <w:t xml:space="preserve">FASE 3 — Desarrollo Android</w:t>
            </w:r>
          </w:p>
        </w:tc>
        <w:tc>
          <w:tcPr>
            <w:tcW w:type="dxa" w:w="1700"/>
            <w:tcBorders>
              <w:top w:val="single" w:color="CCCCCC" w:sz="4"/>
              <w:left w:val="single" w:color="CCCCCC" w:sz="4"/>
              <w:bottom w:val="single" w:color="CCCCCC" w:sz="4"/>
              <w:right w:val="single" w:color="CCCCCC" w:sz="4"/>
            </w:tcBorders>
            <w:shd w:fill="FEE2E2" w:val="clear"/>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7F1D1D"/>
                <w:sz w:val="18"/>
                <w:szCs w:val="18"/>
              </w:rPr>
              <w:t xml:space="preserve">30 Mar – 07 Abr</w:t>
            </w:r>
          </w:p>
        </w:tc>
        <w:tc>
          <w:tcPr>
            <w:tcW w:type="dxa" w:w="700"/>
            <w:tcBorders>
              <w:top w:val="single" w:color="CCCCCC" w:sz="4"/>
              <w:left w:val="single" w:color="CCCCCC" w:sz="4"/>
              <w:bottom w:val="single" w:color="CCCCCC" w:sz="4"/>
              <w:right w:val="single" w:color="CCCCCC" w:sz="4"/>
            </w:tcBorders>
            <w:shd w:fill="FEE2E2" w:val="clear"/>
            <w:tcMar>
              <w:top w:type="dxa" w:w="90"/>
              <w:left w:type="dxa" w:w="130"/>
              <w:bottom w:type="dxa" w:w="90"/>
              <w:right w:type="dxa" w:w="130"/>
            </w:tcMar>
            <w:vAlign w:val="center"/>
          </w:tcPr>
          <w:p>
            <w:pPr>
              <w:spacing w:before="0" w:after="0"/>
              <w:jc w:val="center"/>
            </w:pPr>
            <w:r>
              <w:rPr>
                <w:rFonts w:ascii="Arial" w:cs="Arial" w:eastAsia="Arial" w:hAnsi="Arial"/>
                <w:b w:val="false"/>
                <w:bCs w:val="false"/>
                <w:i w:val="false"/>
                <w:iCs w:val="false"/>
                <w:color w:val="7F1D1D"/>
                <w:sz w:val="18"/>
                <w:szCs w:val="18"/>
              </w:rPr>
              <w:t xml:space="preserve">9</w:t>
            </w:r>
          </w:p>
        </w:tc>
        <w:tc>
          <w:tcPr>
            <w:tcW w:type="dxa" w:w="700"/>
            <w:tcBorders>
              <w:top w:val="single" w:color="CCCCCC" w:sz="4"/>
              <w:left w:val="single" w:color="CCCCCC" w:sz="4"/>
              <w:bottom w:val="single" w:color="CCCCCC" w:sz="4"/>
              <w:right w:val="single" w:color="CCCCCC" w:sz="4"/>
            </w:tcBorders>
            <w:shd w:fill="FEE2E2"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7F1D1D"/>
                <w:sz w:val="18"/>
                <w:szCs w:val="18"/>
              </w:rPr>
              <w:t xml:space="preserve">35h</w:t>
            </w:r>
          </w:p>
        </w:tc>
        <w:tc>
          <w:tcPr>
            <w:tcW w:type="dxa" w:w="2426"/>
            <w:tcBorders>
              <w:top w:val="single" w:color="CCCCCC" w:sz="4"/>
              <w:left w:val="single" w:color="CCCCCC" w:sz="4"/>
              <w:bottom w:val="single" w:color="CCCCCC" w:sz="4"/>
              <w:right w:val="single" w:color="CCCCCC" w:sz="4"/>
            </w:tcBorders>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374151"/>
                <w:sz w:val="17"/>
                <w:szCs w:val="17"/>
              </w:rPr>
              <w:t xml:space="preserve">Kotlin · Android SDK · Retrofit · Hilt · Coroutines · DataStore</w:t>
            </w:r>
          </w:p>
        </w:tc>
        <w:tc>
          <w:tcPr>
            <w:tcW w:type="dxa" w:w="1900"/>
            <w:tcBorders>
              <w:top w:val="single" w:color="CCCCCC" w:sz="4"/>
              <w:left w:val="single" w:color="CCCCCC" w:sz="4"/>
              <w:bottom w:val="single" w:color="CCCCCC" w:sz="4"/>
              <w:right w:val="single" w:color="CCCCCC" w:sz="4"/>
            </w:tcBorders>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374151"/>
                <w:sz w:val="18"/>
                <w:szCs w:val="18"/>
              </w:rPr>
              <w:t xml:space="preserve">App funcional — 07 Abr</w:t>
            </w:r>
          </w:p>
        </w:tc>
      </w:tr>
      <w:tr>
        <w:tc>
          <w:tcPr>
            <w:tcW w:type="dxa" w:w="1500"/>
            <w:tcBorders>
              <w:top w:val="single" w:color="CCCCCC" w:sz="4"/>
              <w:left w:val="single" w:color="CCCCCC" w:sz="4"/>
              <w:bottom w:val="single" w:color="CCCCCC" w:sz="4"/>
              <w:right w:val="single" w:color="CCCCCC" w:sz="4"/>
            </w:tcBorders>
            <w:shd w:fill="FEF3C7" w:val="clear"/>
            <w:tcMar>
              <w:top w:type="dxa" w:w="90"/>
              <w:left w:type="dxa" w:w="130"/>
              <w:bottom w:type="dxa" w:w="90"/>
              <w:right w:type="dxa" w:w="130"/>
            </w:tcMar>
            <w:vAlign w:val="center"/>
          </w:tcPr>
          <w:p>
            <w:pPr>
              <w:spacing w:before="0" w:after="0"/>
              <w:jc w:val="left"/>
            </w:pPr>
            <w:r>
              <w:rPr>
                <w:rFonts w:ascii="Arial" w:cs="Arial" w:eastAsia="Arial" w:hAnsi="Arial"/>
                <w:b/>
                <w:bCs/>
                <w:i w:val="false"/>
                <w:iCs w:val="false"/>
                <w:color w:val="78350F"/>
                <w:sz w:val="18"/>
                <w:szCs w:val="18"/>
              </w:rPr>
              <w:t xml:space="preserve">FASE 4 — Testing</w:t>
            </w:r>
          </w:p>
        </w:tc>
        <w:tc>
          <w:tcPr>
            <w:tcW w:type="dxa" w:w="1700"/>
            <w:tcBorders>
              <w:top w:val="single" w:color="CCCCCC" w:sz="4"/>
              <w:left w:val="single" w:color="CCCCCC" w:sz="4"/>
              <w:bottom w:val="single" w:color="CCCCCC" w:sz="4"/>
              <w:right w:val="single" w:color="CCCCCC" w:sz="4"/>
            </w:tcBorders>
            <w:shd w:fill="FEF3C7" w:val="clear"/>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78350F"/>
                <w:sz w:val="18"/>
                <w:szCs w:val="18"/>
              </w:rPr>
              <w:t xml:space="preserve">08 Abr – 14 Abr</w:t>
            </w:r>
          </w:p>
        </w:tc>
        <w:tc>
          <w:tcPr>
            <w:tcW w:type="dxa" w:w="700"/>
            <w:tcBorders>
              <w:top w:val="single" w:color="CCCCCC" w:sz="4"/>
              <w:left w:val="single" w:color="CCCCCC" w:sz="4"/>
              <w:bottom w:val="single" w:color="CCCCCC" w:sz="4"/>
              <w:right w:val="single" w:color="CCCCCC" w:sz="4"/>
            </w:tcBorders>
            <w:shd w:fill="FEF3C7" w:val="clear"/>
            <w:tcMar>
              <w:top w:type="dxa" w:w="90"/>
              <w:left w:type="dxa" w:w="130"/>
              <w:bottom w:type="dxa" w:w="90"/>
              <w:right w:type="dxa" w:w="130"/>
            </w:tcMar>
            <w:vAlign w:val="center"/>
          </w:tcPr>
          <w:p>
            <w:pPr>
              <w:spacing w:before="0" w:after="0"/>
              <w:jc w:val="center"/>
            </w:pPr>
            <w:r>
              <w:rPr>
                <w:rFonts w:ascii="Arial" w:cs="Arial" w:eastAsia="Arial" w:hAnsi="Arial"/>
                <w:b w:val="false"/>
                <w:bCs w:val="false"/>
                <w:i w:val="false"/>
                <w:iCs w:val="false"/>
                <w:color w:val="78350F"/>
                <w:sz w:val="18"/>
                <w:szCs w:val="18"/>
              </w:rPr>
              <w:t xml:space="preserve">7</w:t>
            </w:r>
          </w:p>
        </w:tc>
        <w:tc>
          <w:tcPr>
            <w:tcW w:type="dxa" w:w="700"/>
            <w:tcBorders>
              <w:top w:val="single" w:color="CCCCCC" w:sz="4"/>
              <w:left w:val="single" w:color="CCCCCC" w:sz="4"/>
              <w:bottom w:val="single" w:color="CCCCCC" w:sz="4"/>
              <w:right w:val="single" w:color="CCCCCC" w:sz="4"/>
            </w:tcBorders>
            <w:shd w:fill="FEF3C7"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78350F"/>
                <w:sz w:val="18"/>
                <w:szCs w:val="18"/>
              </w:rPr>
              <w:t xml:space="preserve">30h</w:t>
            </w:r>
          </w:p>
        </w:tc>
        <w:tc>
          <w:tcPr>
            <w:tcW w:type="dxa" w:w="2426"/>
            <w:tcBorders>
              <w:top w:val="single" w:color="CCCCCC" w:sz="4"/>
              <w:left w:val="single" w:color="CCCCCC" w:sz="4"/>
              <w:bottom w:val="single" w:color="CCCCCC" w:sz="4"/>
              <w:right w:val="single" w:color="CCCCCC" w:sz="4"/>
            </w:tcBorders>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374151"/>
                <w:sz w:val="17"/>
                <w:szCs w:val="17"/>
              </w:rPr>
              <w:t xml:space="preserve">Postman · JUnit 5 · Mockito · Android Emulator · H2 Console</w:t>
            </w:r>
          </w:p>
        </w:tc>
        <w:tc>
          <w:tcPr>
            <w:tcW w:type="dxa" w:w="1900"/>
            <w:tcBorders>
              <w:top w:val="single" w:color="CCCCCC" w:sz="4"/>
              <w:left w:val="single" w:color="CCCCCC" w:sz="4"/>
              <w:bottom w:val="single" w:color="CCCCCC" w:sz="4"/>
              <w:right w:val="single" w:color="CCCCCC" w:sz="4"/>
            </w:tcBorders>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374151"/>
                <w:sz w:val="18"/>
                <w:szCs w:val="18"/>
              </w:rPr>
              <w:t xml:space="preserve">Sistema testeado — 14 Abr</w:t>
            </w:r>
          </w:p>
        </w:tc>
      </w:tr>
      <w:tr>
        <w:tc>
          <w:tcPr>
            <w:tcW w:type="dxa" w:w="1500"/>
            <w:tcBorders>
              <w:top w:val="single" w:color="CCCCCC" w:sz="4"/>
              <w:left w:val="single" w:color="CCCCCC" w:sz="4"/>
              <w:bottom w:val="single" w:color="CCCCCC" w:sz="4"/>
              <w:right w:val="single" w:color="CCCCCC" w:sz="4"/>
            </w:tcBorders>
            <w:shd w:fill="EDE9FE" w:val="clear"/>
            <w:tcMar>
              <w:top w:type="dxa" w:w="90"/>
              <w:left w:type="dxa" w:w="130"/>
              <w:bottom w:type="dxa" w:w="90"/>
              <w:right w:type="dxa" w:w="130"/>
            </w:tcMar>
            <w:vAlign w:val="center"/>
          </w:tcPr>
          <w:p>
            <w:pPr>
              <w:spacing w:before="0" w:after="0"/>
              <w:jc w:val="left"/>
            </w:pPr>
            <w:r>
              <w:rPr>
                <w:rFonts w:ascii="Arial" w:cs="Arial" w:eastAsia="Arial" w:hAnsi="Arial"/>
                <w:b/>
                <w:bCs/>
                <w:i w:val="false"/>
                <w:iCs w:val="false"/>
                <w:color w:val="4C1D95"/>
                <w:sz w:val="18"/>
                <w:szCs w:val="18"/>
              </w:rPr>
              <w:t xml:space="preserve">FASE 5 — Documentación y Presentación</w:t>
            </w:r>
          </w:p>
        </w:tc>
        <w:tc>
          <w:tcPr>
            <w:tcW w:type="dxa" w:w="1700"/>
            <w:tcBorders>
              <w:top w:val="single" w:color="CCCCCC" w:sz="4"/>
              <w:left w:val="single" w:color="CCCCCC" w:sz="4"/>
              <w:bottom w:val="single" w:color="CCCCCC" w:sz="4"/>
              <w:right w:val="single" w:color="CCCCCC" w:sz="4"/>
            </w:tcBorders>
            <w:shd w:fill="EDE9FE" w:val="clear"/>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4C1D95"/>
                <w:sz w:val="18"/>
                <w:szCs w:val="18"/>
              </w:rPr>
              <w:t xml:space="preserve">15 Abr – 22 Abr</w:t>
            </w:r>
          </w:p>
        </w:tc>
        <w:tc>
          <w:tcPr>
            <w:tcW w:type="dxa" w:w="700"/>
            <w:tcBorders>
              <w:top w:val="single" w:color="CCCCCC" w:sz="4"/>
              <w:left w:val="single" w:color="CCCCCC" w:sz="4"/>
              <w:bottom w:val="single" w:color="CCCCCC" w:sz="4"/>
              <w:right w:val="single" w:color="CCCCCC" w:sz="4"/>
            </w:tcBorders>
            <w:shd w:fill="EDE9FE" w:val="clear"/>
            <w:tcMar>
              <w:top w:type="dxa" w:w="90"/>
              <w:left w:type="dxa" w:w="130"/>
              <w:bottom w:type="dxa" w:w="90"/>
              <w:right w:type="dxa" w:w="130"/>
            </w:tcMar>
            <w:vAlign w:val="center"/>
          </w:tcPr>
          <w:p>
            <w:pPr>
              <w:spacing w:before="0" w:after="0"/>
              <w:jc w:val="center"/>
            </w:pPr>
            <w:r>
              <w:rPr>
                <w:rFonts w:ascii="Arial" w:cs="Arial" w:eastAsia="Arial" w:hAnsi="Arial"/>
                <w:b w:val="false"/>
                <w:bCs w:val="false"/>
                <w:i w:val="false"/>
                <w:iCs w:val="false"/>
                <w:color w:val="4C1D95"/>
                <w:sz w:val="18"/>
                <w:szCs w:val="18"/>
              </w:rPr>
              <w:t xml:space="preserve">8</w:t>
            </w:r>
          </w:p>
        </w:tc>
        <w:tc>
          <w:tcPr>
            <w:tcW w:type="dxa" w:w="700"/>
            <w:tcBorders>
              <w:top w:val="single" w:color="CCCCCC" w:sz="4"/>
              <w:left w:val="single" w:color="CCCCCC" w:sz="4"/>
              <w:bottom w:val="single" w:color="CCCCCC" w:sz="4"/>
              <w:right w:val="single" w:color="CCCCCC" w:sz="4"/>
            </w:tcBorders>
            <w:shd w:fill="EDE9FE"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4C1D95"/>
                <w:sz w:val="18"/>
                <w:szCs w:val="18"/>
              </w:rPr>
              <w:t xml:space="preserve">50h</w:t>
            </w:r>
          </w:p>
        </w:tc>
        <w:tc>
          <w:tcPr>
            <w:tcW w:type="dxa" w:w="2426"/>
            <w:tcBorders>
              <w:top w:val="single" w:color="CCCCCC" w:sz="4"/>
              <w:left w:val="single" w:color="CCCCCC" w:sz="4"/>
              <w:bottom w:val="single" w:color="CCCCCC" w:sz="4"/>
              <w:right w:val="single" w:color="CCCCCC" w:sz="4"/>
            </w:tcBorders>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374151"/>
                <w:sz w:val="17"/>
                <w:szCs w:val="17"/>
              </w:rPr>
              <w:t xml:space="preserve">Word · Draw.io · OBS Studio · DaVinci Resolve</w:t>
            </w:r>
          </w:p>
        </w:tc>
        <w:tc>
          <w:tcPr>
            <w:tcW w:type="dxa" w:w="1900"/>
            <w:tcBorders>
              <w:top w:val="single" w:color="CCCCCC" w:sz="4"/>
              <w:left w:val="single" w:color="CCCCCC" w:sz="4"/>
              <w:bottom w:val="single" w:color="CCCCCC" w:sz="4"/>
              <w:right w:val="single" w:color="CCCCCC" w:sz="4"/>
            </w:tcBorders>
            <w:tcMar>
              <w:top w:type="dxa" w:w="90"/>
              <w:left w:type="dxa" w:w="130"/>
              <w:bottom w:type="dxa" w:w="90"/>
              <w:right w:type="dxa" w:w="130"/>
            </w:tcMar>
            <w:vAlign w:val="center"/>
          </w:tcPr>
          <w:p>
            <w:pPr>
              <w:spacing w:before="0" w:after="0"/>
              <w:jc w:val="left"/>
            </w:pPr>
            <w:r>
              <w:rPr>
                <w:rFonts w:ascii="Arial" w:cs="Arial" w:eastAsia="Arial" w:hAnsi="Arial"/>
                <w:b/>
                <w:bCs/>
                <w:i w:val="false"/>
                <w:iCs w:val="false"/>
                <w:color w:val="374151"/>
                <w:sz w:val="18"/>
                <w:szCs w:val="18"/>
              </w:rPr>
              <w:t xml:space="preserve">ENTREGA FINAL — 22 Abr</w:t>
            </w:r>
          </w:p>
        </w:tc>
      </w:tr>
      <w:tr>
        <w:tc>
          <w:tcPr>
            <w:tcW w:type="dxa" w:w="1500"/>
            <w:tcBorders>
              <w:top w:val="single" w:color="CCCCCC" w:sz="4"/>
              <w:left w:val="single" w:color="CCCCCC" w:sz="4"/>
              <w:bottom w:val="single" w:color="CCCCCC" w:sz="4"/>
              <w:right w:val="single" w:color="CCCCCC" w:sz="4"/>
            </w:tcBorders>
            <w:shd w:fill="1F4E79" w:val="clear"/>
            <w:tcMar>
              <w:top w:type="dxa" w:w="90"/>
              <w:left w:type="dxa" w:w="130"/>
              <w:bottom w:type="dxa" w:w="90"/>
              <w:right w:type="dxa" w:w="130"/>
            </w:tcMar>
            <w:vAlign w:val="center"/>
          </w:tcPr>
          <w:p>
            <w:pPr>
              <w:spacing w:before="0" w:after="0"/>
              <w:jc w:val="left"/>
            </w:pPr>
            <w:r>
              <w:rPr>
                <w:rFonts w:ascii="Arial" w:cs="Arial" w:eastAsia="Arial" w:hAnsi="Arial"/>
                <w:b/>
                <w:bCs/>
                <w:i w:val="false"/>
                <w:iCs w:val="false"/>
                <w:color w:val="FFFFFF"/>
                <w:sz w:val="20"/>
                <w:szCs w:val="20"/>
              </w:rPr>
              <w:t xml:space="preserve">TOTAL</w:t>
            </w:r>
          </w:p>
        </w:tc>
        <w:tc>
          <w:tcPr>
            <w:tcW w:type="dxa" w:w="1700"/>
            <w:tcBorders>
              <w:top w:val="single" w:color="CCCCCC" w:sz="4"/>
              <w:left w:val="single" w:color="CCCCCC" w:sz="4"/>
              <w:bottom w:val="single" w:color="CCCCCC" w:sz="4"/>
              <w:right w:val="single" w:color="CCCCCC" w:sz="4"/>
            </w:tcBorders>
            <w:shd w:fill="1F4E79" w:val="clear"/>
            <w:tcMar>
              <w:top w:type="dxa" w:w="90"/>
              <w:left w:type="dxa" w:w="130"/>
              <w:bottom w:type="dxa" w:w="90"/>
              <w:right w:type="dxa" w:w="130"/>
            </w:tcMar>
            <w:vAlign w:val="center"/>
          </w:tcPr>
          <w:p>
            <w:pPr>
              <w:spacing w:before="0" w:after="0"/>
              <w:jc w:val="left"/>
            </w:pPr>
            <w:r>
              <w:rPr>
                <w:rFonts w:ascii="Arial" w:cs="Arial" w:eastAsia="Arial" w:hAnsi="Arial"/>
                <w:b/>
                <w:bCs/>
                <w:i w:val="false"/>
                <w:iCs w:val="false"/>
                <w:color w:val="FFFFFF"/>
                <w:sz w:val="18"/>
                <w:szCs w:val="18"/>
              </w:rPr>
              <w:t xml:space="preserve">02 Mar – 22 Abr 2026</w:t>
            </w:r>
          </w:p>
        </w:tc>
        <w:tc>
          <w:tcPr>
            <w:tcW w:type="dxa" w:w="700"/>
            <w:tcBorders>
              <w:top w:val="single" w:color="CCCCCC" w:sz="4"/>
              <w:left w:val="single" w:color="CCCCCC" w:sz="4"/>
              <w:bottom w:val="single" w:color="CCCCCC" w:sz="4"/>
              <w:right w:val="single" w:color="CCCCCC" w:sz="4"/>
            </w:tcBorders>
            <w:shd w:fill="1F4E79"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FFFFFF"/>
                <w:sz w:val="20"/>
                <w:szCs w:val="20"/>
              </w:rPr>
              <w:t xml:space="preserve">52</w:t>
            </w:r>
          </w:p>
        </w:tc>
        <w:tc>
          <w:tcPr>
            <w:tcW w:type="dxa" w:w="700"/>
            <w:tcBorders>
              <w:top w:val="single" w:color="CCCCCC" w:sz="4"/>
              <w:left w:val="single" w:color="CCCCCC" w:sz="4"/>
              <w:bottom w:val="single" w:color="CCCCCC" w:sz="4"/>
              <w:right w:val="single" w:color="CCCCCC" w:sz="4"/>
            </w:tcBorders>
            <w:shd w:fill="1F4E79"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FFFFFF"/>
                <w:sz w:val="20"/>
                <w:szCs w:val="20"/>
              </w:rPr>
              <w:t xml:space="preserve">225h</w:t>
            </w:r>
          </w:p>
        </w:tc>
        <w:tc>
          <w:tcPr>
            <w:tcW w:type="dxa" w:w="2426"/>
            <w:tcBorders>
              <w:top w:val="single" w:color="CCCCCC" w:sz="4"/>
              <w:left w:val="single" w:color="CCCCCC" w:sz="4"/>
              <w:bottom w:val="single" w:color="CCCCCC" w:sz="4"/>
              <w:right w:val="single" w:color="CCCCCC" w:sz="4"/>
            </w:tcBorders>
            <w:shd w:fill="1F4E79" w:val="clear"/>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FFFFFF"/>
                <w:sz w:val="17"/>
                <w:szCs w:val="17"/>
              </w:rPr>
              <w:t xml:space="preserve">42 días disponibles (lun–sáb, sin festivos Madrid)</w:t>
            </w:r>
          </w:p>
        </w:tc>
        <w:tc>
          <w:tcPr>
            <w:tcW w:type="dxa" w:w="1900"/>
            <w:tcBorders>
              <w:top w:val="single" w:color="CCCCCC" w:sz="4"/>
              <w:left w:val="single" w:color="CCCCCC" w:sz="4"/>
              <w:bottom w:val="single" w:color="CCCCCC" w:sz="4"/>
              <w:right w:val="single" w:color="CCCCCC" w:sz="4"/>
            </w:tcBorders>
            <w:shd w:fill="1F4E79" w:val="clear"/>
            <w:tcMar>
              <w:top w:type="dxa" w:w="90"/>
              <w:left w:type="dxa" w:w="130"/>
              <w:bottom w:type="dxa" w:w="90"/>
              <w:right w:type="dxa" w:w="130"/>
            </w:tcMar>
            <w:vAlign w:val="center"/>
          </w:tcPr>
          <w:p>
            <w:pPr>
              <w:spacing w:before="0" w:after="0"/>
              <w:jc w:val="left"/>
            </w:pPr>
            <w:r>
              <w:rPr>
                <w:rFonts w:ascii="Arial" w:cs="Arial" w:eastAsia="Arial" w:hAnsi="Arial"/>
                <w:b w:val="false"/>
                <w:bCs w:val="false"/>
                <w:i w:val="false"/>
                <w:iCs w:val="false"/>
                <w:color w:val="FFFFFF"/>
                <w:sz w:val="17"/>
                <w:szCs w:val="17"/>
              </w:rPr>
              <w:t xml:space="preserve">~5,4 horas por día disponible</w:t>
            </w:r>
          </w:p>
        </w:tc>
      </w:tr>
    </w:tbl>
    <w:p>
      <w:pPr>
        <w:spacing w:before="0" w:after="60"/>
      </w:pPr>
      <w:r>
        <w:rPr>
          <w:rFonts w:ascii="Arial" w:cs="Arial" w:eastAsia="Arial" w:hAnsi="Arial"/>
          <w:b w:val="false"/>
          <w:bCs w:val="false"/>
          <w:i w:val="false"/>
          <w:iCs w:val="false"/>
          <w:color w:val="374151"/>
          <w:sz w:val="24"/>
          <w:szCs w:val="24"/>
        </w:rPr>
        <w:t xml:space="preserve"/>
      </w:r>
    </w:p>
    <w:p>
      <w:pPr>
        <w:pBdr>
          <w:left w:val="single" w:color="93C5FD" w:sz="14" w:space="8"/>
        </w:pBdr>
        <w:spacing w:before="100" w:after="120"/>
        <w:ind w:left="360"/>
      </w:pPr>
      <w:r>
        <w:rPr>
          <w:rFonts w:ascii="Arial" w:cs="Arial" w:eastAsia="Arial" w:hAnsi="Arial"/>
          <w:b w:val="false"/>
          <w:bCs w:val="false"/>
          <w:i/>
          <w:iCs/>
          <w:color w:val="6B7280"/>
          <w:sz w:val="20"/>
          <w:szCs w:val="20"/>
        </w:rPr>
        <w:t xml:space="preserve">Nota: Los festivos de Madrid incluidos en el período son San José (19 Mar), Jueves Santo (02 Abr) y Viernes Santo (03 Abr). Estos días no se computan como días disponibles pero sí como días naturales del proyecto.</w:t>
      </w:r>
    </w:p>
    <w:p>
      <w:pPr>
        <w:spacing w:before="0" w:after="120"/>
      </w:pPr>
      <w:r>
        <w:rPr>
          <w:rFonts w:ascii="Arial" w:cs="Arial" w:eastAsia="Arial" w:hAnsi="Arial"/>
          <w:b w:val="false"/>
          <w:bCs w:val="false"/>
          <w:i w:val="false"/>
          <w:iCs w:val="false"/>
          <w:color w:val="374151"/>
          <w:sz w:val="24"/>
          <w:szCs w:val="24"/>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4"/>
              <w:left w:val="single" w:color="CCCCCC" w:sz="4"/>
              <w:bottom w:val="single" w:color="CCCCCC" w:sz="4"/>
              <w:right w:val="single" w:color="CCCCCC" w:sz="4"/>
            </w:tcBorders>
            <w:shd w:fill="10B981"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FFFFFF"/>
                <w:sz w:val="26"/>
                <w:szCs w:val="26"/>
              </w:rPr>
              <w:t xml:space="preserve">FASE 1</w:t>
            </w:r>
          </w:p>
        </w:tc>
        <w:tc>
          <w:tcPr>
            <w:tcW w:type="dxa" w:w="7626"/>
            <w:tcBorders>
              <w:top w:val="single" w:color="CCCCCC" w:sz="4"/>
              <w:left w:val="single" w:color="CCCCCC" w:sz="4"/>
              <w:bottom w:val="single" w:color="CCCCCC" w:sz="4"/>
              <w:right w:val="single" w:color="CCCCCC" w:sz="4"/>
            </w:tcBorders>
            <w:shd w:fill="D1FAE5" w:val="clear"/>
            <w:tcMar>
              <w:top w:type="dxa" w:w="90"/>
              <w:left w:type="dxa" w:w="130"/>
              <w:bottom w:type="dxa" w:w="90"/>
              <w:right w:type="dxa" w:w="130"/>
            </w:tcMar>
            <w:vAlign w:val="center"/>
          </w:tcPr>
          <w:p>
            <w:pPr>
              <w:spacing w:before="0" w:after="0"/>
              <w:jc w:val="left"/>
            </w:pPr>
            <w:r>
              <w:rPr>
                <w:rFonts w:ascii="Arial" w:cs="Arial" w:eastAsia="Arial" w:hAnsi="Arial"/>
                <w:b/>
                <w:bCs/>
                <w:i w:val="false"/>
                <w:iCs w:val="false"/>
                <w:color w:val="065F46"/>
                <w:sz w:val="26"/>
                <w:szCs w:val="26"/>
              </w:rPr>
              <w:t xml:space="preserve">Análisis y Diseño</w:t>
            </w:r>
            <w:r>
              <w:rPr>
                <w:rFonts w:ascii="Arial" w:cs="Arial" w:eastAsia="Arial" w:hAnsi="Arial"/>
                <w:b w:val="false"/>
                <w:bCs w:val="false"/>
                <w:i w:val="false"/>
                <w:iCs w:val="false"/>
                <w:color w:val="6B7280"/>
                <w:sz w:val="20"/>
                <w:szCs w:val="20"/>
              </w:rPr>
              <w:t xml:space="preserve">   ·   02 Mar – 08 Mar   ·   7 días   ·   30 horas</w:t>
            </w:r>
          </w:p>
        </w:tc>
      </w:tr>
    </w:tbl>
    <w:p>
      <w:pPr>
        <w:spacing w:before="0" w:after="60"/>
      </w:pPr>
      <w:r>
        <w:rPr>
          <w:rFonts w:ascii="Arial" w:cs="Arial" w:eastAsia="Arial" w:hAnsi="Arial"/>
          <w:b w:val="false"/>
          <w:bCs w:val="false"/>
          <w:i w:val="false"/>
          <w:iCs w:val="false"/>
          <w:color w:val="374151"/>
          <w:sz w:val="24"/>
          <w:szCs w:val="24"/>
        </w:rPr>
        <w:t xml:space="preserve"/>
      </w:r>
    </w:p>
    <w:p>
      <w:pPr>
        <w:spacing w:before="0" w:after="160"/>
        <w:jc w:val="both"/>
      </w:pPr>
      <w:r>
        <w:rPr>
          <w:rFonts w:ascii="Arial" w:cs="Arial" w:eastAsia="Arial" w:hAnsi="Arial"/>
          <w:b w:val="false"/>
          <w:bCs w:val="false"/>
          <w:i w:val="false"/>
          <w:iCs w:val="false"/>
          <w:color w:val="374151"/>
          <w:sz w:val="24"/>
          <w:szCs w:val="24"/>
        </w:rPr>
        <w:t xml:space="preserve">La primera fase tiene como objetivo transformar los requisitos del proyecto en artefactos técnicos concretos y verificables. Durante esta semana no se escribe ninguna línea de código. El objetivo es llegar al lunes 9 de marzo con todas las decisiones técnicas tomadas y documentadas, de forma que el desarrollo pueda ejecutarse sin interrupciones ni bloqueos por falta de definición.</w:t>
      </w:r>
    </w:p>
    <w:p>
      <w:pPr>
        <w:spacing w:before="0" w:after="160"/>
        <w:jc w:val="both"/>
      </w:pPr>
      <w:r>
        <w:rPr>
          <w:rFonts w:ascii="Arial" w:cs="Arial" w:eastAsia="Arial" w:hAnsi="Arial"/>
          <w:b w:val="false"/>
          <w:bCs w:val="false"/>
          <w:i w:val="false"/>
          <w:iCs w:val="false"/>
          <w:color w:val="374151"/>
          <w:sz w:val="24"/>
          <w:szCs w:val="24"/>
        </w:rPr>
        <w:t xml:space="preserve">Esta fase se puede acometer en una sola semana gracias a la experiencia previa en legislación laboral y control horario, lo que elimina la necesidad de investigar la normativa aplicable (Real Decreto-ley 8/2019) y permite centrarse directamente en la formalización técnica de los requisitos ya conocidos conceptualmente.</w:t>
      </w:r>
    </w:p>
    <w:p>
      <w:pPr>
        <w:pStyle w:val="Heading3"/>
        <w:spacing w:before="220" w:after="100"/>
      </w:pPr>
      <w:r>
        <w:rPr>
          <w:rFonts w:ascii="Arial" w:cs="Arial" w:eastAsia="Arial" w:hAnsi="Arial"/>
          <w:b/>
          <w:bCs/>
          <w:i w:val="false"/>
          <w:iCs w:val="false"/>
          <w:color w:val="374151"/>
          <w:sz w:val="24"/>
          <w:szCs w:val="24"/>
        </w:rPr>
        <w:t xml:space="preserve">Análisis de requisitos (días 1–2)</w:t>
      </w:r>
    </w:p>
    <w:p>
      <w:pPr>
        <w:spacing w:before="0" w:after="160"/>
        <w:jc w:val="both"/>
      </w:pPr>
      <w:r>
        <w:rPr>
          <w:rFonts w:ascii="Arial" w:cs="Arial" w:eastAsia="Arial" w:hAnsi="Arial"/>
          <w:b w:val="false"/>
          <w:bCs w:val="false"/>
          <w:i w:val="false"/>
          <w:iCs w:val="false"/>
          <w:color w:val="374151"/>
          <w:sz w:val="24"/>
          <w:szCs w:val="24"/>
        </w:rPr>
        <w:t xml:space="preserve">Se elabora la lista completa de casos de uso del sistema, identificando para cada funcionalidad el rol que la ejecuta (ADMINISTRADOR, ENCARGADO o EMPLEADO), los datos de entrada necesarios, el comportamiento esperado del sistema y las reglas de negocio aplicables. Se documentan también todos los flujos de error posibles: acceso con PIN inexistente, intento de doble fichaje en el mismo día, pausa activa al intentar fichar salida, ausencia en fecha ya registrada, etc.</w:t>
      </w:r>
    </w:p>
    <w:p>
      <w:pPr>
        <w:pStyle w:val="Heading3"/>
        <w:spacing w:before="220" w:after="100"/>
      </w:pPr>
      <w:r>
        <w:rPr>
          <w:rFonts w:ascii="Arial" w:cs="Arial" w:eastAsia="Arial" w:hAnsi="Arial"/>
          <w:b/>
          <w:bCs/>
          <w:i w:val="false"/>
          <w:iCs w:val="false"/>
          <w:color w:val="374151"/>
          <w:sz w:val="24"/>
          <w:szCs w:val="24"/>
        </w:rPr>
        <w:t xml:space="preserve">Script DDL MySQL y diagrama ER (días 3–4)</w:t>
      </w:r>
    </w:p>
    <w:p>
      <w:pPr>
        <w:spacing w:before="0" w:after="160"/>
        <w:jc w:val="both"/>
      </w:pPr>
      <w:r>
        <w:rPr>
          <w:rFonts w:ascii="Arial" w:cs="Arial" w:eastAsia="Arial" w:hAnsi="Arial"/>
          <w:b w:val="false"/>
          <w:bCs w:val="false"/>
          <w:i w:val="false"/>
          <w:iCs w:val="false"/>
          <w:color w:val="374151"/>
          <w:sz w:val="24"/>
          <w:szCs w:val="24"/>
        </w:rPr>
        <w:t xml:space="preserve">Se diseña el esquema completo de la base de datos en MySQL Workbench siguiendo los principios de normalización hasta tercera forma normal (3FN). El proceso parte del modelo conceptual definido en los casos de uso y genera el script DDL con todas las tablas, relaciones, restricciones de unicidad, claves foráneas con sus políticas de cascada e índices optimizados para las consultas críticas del sistema.</w:t>
      </w:r>
    </w:p>
    <w:p>
      <w:pPr>
        <w:spacing w:before="0" w:after="160"/>
        <w:jc w:val="both"/>
      </w:pPr>
      <w:r>
        <w:rPr>
          <w:rFonts w:ascii="Arial" w:cs="Arial" w:eastAsia="Arial" w:hAnsi="Arial"/>
          <w:b w:val="false"/>
          <w:bCs w:val="false"/>
          <w:i w:val="false"/>
          <w:iCs w:val="false"/>
          <w:color w:val="374151"/>
          <w:sz w:val="24"/>
          <w:szCs w:val="24"/>
        </w:rPr>
        <w:t xml:space="preserve">Una vez ejecutado el script en una instancia local de MySQL, se utiliza la funcionalidad Reverse Engineer de MySQL Workbench para generar automáticamente el diagrama entidad-relación a partir de las tablas reales. Este diagrama se incluye en el Anexo I de la memoria. El script DDL generado se incluye en el Anexo II como referencia del esquema de producción previsto.</w:t>
      </w:r>
    </w:p>
    <w:p>
      <w:pPr>
        <w:spacing w:before="0" w:after="160"/>
        <w:jc w:val="both"/>
      </w:pPr>
      <w:r>
        <w:rPr>
          <w:rFonts w:ascii="Arial" w:cs="Arial" w:eastAsia="Arial" w:hAnsi="Arial"/>
          <w:b w:val="false"/>
          <w:bCs w:val="false"/>
          <w:i w:val="false"/>
          <w:iCs w:val="false"/>
          <w:color w:val="374151"/>
          <w:sz w:val="24"/>
          <w:szCs w:val="24"/>
        </w:rPr>
        <w:t xml:space="preserve">Para el entorno de desarrollo y la entrega académica se utiliza H2 como base de datos embebida. Hibernate genera el esquema automáticamente a partir de las entidades JPA mediante la configuración ddl-auto: create-drop, sin necesidad de ejecutar el script MySQL. Ambos entornos comparten el mismo modelo de datos; solo difieren en el motor de persistencia.</w:t>
      </w:r>
    </w:p>
    <w:p>
      <w:pPr>
        <w:pStyle w:val="Heading3"/>
        <w:spacing w:before="220" w:after="100"/>
      </w:pPr>
      <w:r>
        <w:rPr>
          <w:rFonts w:ascii="Arial" w:cs="Arial" w:eastAsia="Arial" w:hAnsi="Arial"/>
          <w:b/>
          <w:bCs/>
          <w:i w:val="false"/>
          <w:iCs w:val="false"/>
          <w:color w:val="374151"/>
          <w:sz w:val="24"/>
          <w:szCs w:val="24"/>
        </w:rPr>
        <w:t xml:space="preserve">Especificación de endpoints (día 5)</w:t>
      </w:r>
    </w:p>
    <w:p>
      <w:pPr>
        <w:spacing w:before="0" w:after="160"/>
        <w:jc w:val="both"/>
      </w:pPr>
      <w:r>
        <w:rPr>
          <w:rFonts w:ascii="Arial" w:cs="Arial" w:eastAsia="Arial" w:hAnsi="Arial"/>
          <w:b w:val="false"/>
          <w:bCs w:val="false"/>
          <w:i w:val="false"/>
          <w:iCs w:val="false"/>
          <w:color w:val="374151"/>
          <w:sz w:val="24"/>
          <w:szCs w:val="24"/>
        </w:rPr>
        <w:t xml:space="preserve">Se especifican todos los endpoints de la API REST en formato OpenAPI, documentando para cada uno el método HTTP, la ruta completa, los roles autorizados, la estructura del cuerpo de la petición, la estructura de la respuesta en caso de éxito y los códigos de error posibles con su significado. El objetivo de esta especificación es que al comenzar la Fase 2 no sea necesario tomar ninguna decisión sobre el contrato de la API: solo implementar lo ya definido.</w:t>
      </w:r>
    </w:p>
    <w:p>
      <w:pPr>
        <w:pStyle w:val="Heading3"/>
        <w:spacing w:before="220" w:after="100"/>
      </w:pPr>
      <w:r>
        <w:rPr>
          <w:rFonts w:ascii="Arial" w:cs="Arial" w:eastAsia="Arial" w:hAnsi="Arial"/>
          <w:b/>
          <w:bCs/>
          <w:i w:val="false"/>
          <w:iCs w:val="false"/>
          <w:color w:val="374151"/>
          <w:sz w:val="24"/>
          <w:szCs w:val="24"/>
        </w:rPr>
        <w:t xml:space="preserve">Wireframes de la aplicación Android (días 6–7)</w:t>
      </w:r>
    </w:p>
    <w:p>
      <w:pPr>
        <w:spacing w:before="0" w:after="160"/>
        <w:jc w:val="both"/>
      </w:pPr>
      <w:r>
        <w:rPr>
          <w:rFonts w:ascii="Arial" w:cs="Arial" w:eastAsia="Arial" w:hAnsi="Arial"/>
          <w:b w:val="false"/>
          <w:bCs w:val="false"/>
          <w:i w:val="false"/>
          <w:iCs w:val="false"/>
          <w:color w:val="374151"/>
          <w:sz w:val="24"/>
          <w:szCs w:val="24"/>
        </w:rPr>
        <w:t xml:space="preserve">Se diseñan los wireframes de todas las pantallas de la aplicación Android: pantalla de login para el encargado, teclado numérico para introducción del PIN, confirmación de fichaje de entrada y salida, selector de tipo de pausa, consulta de saldo del empleado, listado de fichajes del día y registro de ausencias. Los wireframes no necesitan alta fidelidad, pero deben ser suficientemente detallados para que el desarrollo de la interfaz en la Fase 3 no requiera tomar decisiones adicionales de diseño.</w:t>
      </w:r>
    </w:p>
    <w:p>
      <w:pPr>
        <w:spacing w:before="0" w:after="60"/>
      </w:pPr>
      <w:r>
        <w:rPr>
          <w:rFonts w:ascii="Arial" w:cs="Arial" w:eastAsia="Arial" w:hAnsi="Arial"/>
          <w:b w:val="false"/>
          <w:bCs w:val="false"/>
          <w:i w:val="false"/>
          <w:iCs w:val="false"/>
          <w:color w:val="374151"/>
          <w:sz w:val="24"/>
          <w:szCs w:val="24"/>
        </w:rPr>
        <w:t xml:space="preserve"/>
      </w:r>
    </w:p>
    <w:p>
      <w:pPr>
        <w:spacing w:before="100" w:after="100"/>
        <w:jc w:val="both"/>
      </w:pPr>
      <w:r>
        <w:rPr>
          <w:rFonts w:ascii="Arial" w:cs="Arial" w:eastAsia="Arial" w:hAnsi="Arial"/>
          <w:b/>
          <w:bCs/>
          <w:i w:val="false"/>
          <w:iCs w:val="false"/>
          <w:color w:val="065F46"/>
          <w:sz w:val="24"/>
          <w:szCs w:val="24"/>
        </w:rPr>
        <w:t xml:space="preserve">Hito — 08 de marzo: </w:t>
      </w:r>
      <w:r>
        <w:rPr>
          <w:rFonts w:ascii="Arial" w:cs="Arial" w:eastAsia="Arial" w:hAnsi="Arial"/>
          <w:b w:val="false"/>
          <w:bCs w:val="false"/>
          <w:i w:val="false"/>
          <w:iCs w:val="false"/>
          <w:color w:val="374151"/>
          <w:sz w:val="24"/>
          <w:szCs w:val="24"/>
        </w:rPr>
        <w:t xml:space="preserve">script DDL MySQL funcional, diagrama ER generado, especificación OpenAPI completa y wireframes de todas las pantallas Android.</w:t>
      </w:r>
    </w:p>
    <w:p>
      <w:pPr>
        <w:spacing w:before="0" w:after="120"/>
      </w:pPr>
      <w:r>
        <w:rPr>
          <w:rFonts w:ascii="Arial" w:cs="Arial" w:eastAsia="Arial" w:hAnsi="Arial"/>
          <w:b w:val="false"/>
          <w:bCs w:val="false"/>
          <w:i w:val="false"/>
          <w:iCs w:val="false"/>
          <w:color w:val="374151"/>
          <w:sz w:val="24"/>
          <w:szCs w:val="24"/>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4"/>
              <w:left w:val="single" w:color="CCCCCC" w:sz="4"/>
              <w:bottom w:val="single" w:color="CCCCCC" w:sz="4"/>
              <w:right w:val="single" w:color="CCCCCC" w:sz="4"/>
            </w:tcBorders>
            <w:shd w:fill="3B82F6"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FFFFFF"/>
                <w:sz w:val="26"/>
                <w:szCs w:val="26"/>
              </w:rPr>
              <w:t xml:space="preserve">FASE 2</w:t>
            </w:r>
          </w:p>
        </w:tc>
        <w:tc>
          <w:tcPr>
            <w:tcW w:type="dxa" w:w="7626"/>
            <w:tcBorders>
              <w:top w:val="single" w:color="CCCCCC" w:sz="4"/>
              <w:left w:val="single" w:color="CCCCCC" w:sz="4"/>
              <w:bottom w:val="single" w:color="CCCCCC" w:sz="4"/>
              <w:right w:val="single" w:color="CCCCCC" w:sz="4"/>
            </w:tcBorders>
            <w:shd w:fill="DBEAFE" w:val="clear"/>
            <w:tcMar>
              <w:top w:type="dxa" w:w="90"/>
              <w:left w:type="dxa" w:w="130"/>
              <w:bottom w:type="dxa" w:w="90"/>
              <w:right w:type="dxa" w:w="130"/>
            </w:tcMar>
            <w:vAlign w:val="center"/>
          </w:tcPr>
          <w:p>
            <w:pPr>
              <w:spacing w:before="0" w:after="0"/>
              <w:jc w:val="left"/>
            </w:pPr>
            <w:r>
              <w:rPr>
                <w:rFonts w:ascii="Arial" w:cs="Arial" w:eastAsia="Arial" w:hAnsi="Arial"/>
                <w:b/>
                <w:bCs/>
                <w:i w:val="false"/>
                <w:iCs w:val="false"/>
                <w:color w:val="1E3A8A"/>
                <w:sz w:val="26"/>
                <w:szCs w:val="26"/>
              </w:rPr>
              <w:t xml:space="preserve">Desarrollo Backend</w:t>
            </w:r>
            <w:r>
              <w:rPr>
                <w:rFonts w:ascii="Arial" w:cs="Arial" w:eastAsia="Arial" w:hAnsi="Arial"/>
                <w:b w:val="false"/>
                <w:bCs w:val="false"/>
                <w:i w:val="false"/>
                <w:iCs w:val="false"/>
                <w:color w:val="6B7280"/>
                <w:sz w:val="20"/>
                <w:szCs w:val="20"/>
              </w:rPr>
              <w:t xml:space="preserve">   ·   09 Mar – 29 Mar   ·   21 días   ·   80 horas</w:t>
            </w:r>
          </w:p>
        </w:tc>
      </w:tr>
    </w:tbl>
    <w:p>
      <w:pPr>
        <w:spacing w:before="0" w:after="60"/>
      </w:pPr>
      <w:r>
        <w:rPr>
          <w:rFonts w:ascii="Arial" w:cs="Arial" w:eastAsia="Arial" w:hAnsi="Arial"/>
          <w:b w:val="false"/>
          <w:bCs w:val="false"/>
          <w:i w:val="false"/>
          <w:iCs w:val="false"/>
          <w:color w:val="374151"/>
          <w:sz w:val="24"/>
          <w:szCs w:val="24"/>
        </w:rPr>
        <w:t xml:space="preserve"/>
      </w:r>
    </w:p>
    <w:p>
      <w:pPr>
        <w:spacing w:before="0" w:after="160"/>
        <w:jc w:val="both"/>
      </w:pPr>
      <w:r>
        <w:rPr>
          <w:rFonts w:ascii="Arial" w:cs="Arial" w:eastAsia="Arial" w:hAnsi="Arial"/>
          <w:b w:val="false"/>
          <w:bCs w:val="false"/>
          <w:i w:val="false"/>
          <w:iCs w:val="false"/>
          <w:color w:val="374151"/>
          <w:sz w:val="24"/>
          <w:szCs w:val="24"/>
        </w:rPr>
        <w:t xml:space="preserve">El backend es el núcleo del sistema y la fase de mayor complejidad técnica del proyecto. Concentra toda la lógica de negocio: el cálculo de jornadas laborales, los redondeos que benefician al empleado, la gestión de saldos anuales, los procesos automáticos nocturnos y la seguridad de la API. Un error en cualquiera de estos componentes invalida el comportamiento de todo el sistema, razón por la que esta fase recibe el mayor número de horas y días del proyecto.</w:t>
      </w:r>
    </w:p>
    <w:p>
      <w:pPr>
        <w:spacing w:before="0" w:after="160"/>
        <w:jc w:val="both"/>
      </w:pPr>
      <w:r>
        <w:rPr>
          <w:rFonts w:ascii="Arial" w:cs="Arial" w:eastAsia="Arial" w:hAnsi="Arial"/>
          <w:b w:val="false"/>
          <w:bCs w:val="false"/>
          <w:i w:val="false"/>
          <w:iCs w:val="false"/>
          <w:color w:val="374151"/>
          <w:sz w:val="24"/>
          <w:szCs w:val="24"/>
        </w:rPr>
        <w:t xml:space="preserve">Se ha ampliado esta fase a 80 horas y 21 días respecto a estimaciones anteriores para garantizar que existe margen suficiente para afrontar los bugs complejos que inevitablemente aparecen en componentes como SaldoService o la configuración de Spring Security. Cada servicio se prueba unitariamente con JUnit 5 antes de avanzar al siguiente, siguiendo el principio de que un componente no está terminado hasta que sus tests pasan.</w:t>
      </w:r>
    </w:p>
    <w:p>
      <w:pPr>
        <w:pStyle w:val="Heading3"/>
        <w:spacing w:before="220" w:after="100"/>
      </w:pPr>
      <w:r>
        <w:rPr>
          <w:rFonts w:ascii="Arial" w:cs="Arial" w:eastAsia="Arial" w:hAnsi="Arial"/>
          <w:b/>
          <w:bCs/>
          <w:i w:val="false"/>
          <w:iCs w:val="false"/>
          <w:color w:val="374151"/>
          <w:sz w:val="24"/>
          <w:szCs w:val="24"/>
        </w:rPr>
        <w:t xml:space="preserve">Semana 1 — Setup, entidades JPA y repositorios (09–15 Mar)</w:t>
      </w:r>
    </w:p>
    <w:p>
      <w:pPr>
        <w:spacing w:before="0" w:after="160"/>
        <w:jc w:val="both"/>
      </w:pPr>
      <w:r>
        <w:rPr>
          <w:rFonts w:ascii="Arial" w:cs="Arial" w:eastAsia="Arial" w:hAnsi="Arial"/>
          <w:b w:val="false"/>
          <w:bCs w:val="false"/>
          <w:i w:val="false"/>
          <w:iCs w:val="false"/>
          <w:color w:val="374151"/>
          <w:sz w:val="24"/>
          <w:szCs w:val="24"/>
        </w:rPr>
        <w:t xml:space="preserve">Se crea el proyecto Spring Boot desde Spring Initializr con las dependencias: Spring Web, Spring Data JPA, Spring Security, MySQL Driver, Lombok, Validation y SpringDoc OpenAPI. Se configura el fichero application.yml con el perfil de desarrollo usando H2 en modo compatibilidad MySQL. Se crea el DataLoader con la anotación @Profile("dev") que genera automáticamente los datos de prueba al arrancar la aplicación, usando BCrypt para el cifrado de contraseñas.</w:t>
      </w:r>
    </w:p>
    <w:p>
      <w:pPr>
        <w:spacing w:before="0" w:after="160"/>
        <w:jc w:val="both"/>
      </w:pPr>
      <w:r>
        <w:rPr>
          <w:rFonts w:ascii="Arial" w:cs="Arial" w:eastAsia="Arial" w:hAnsi="Arial"/>
          <w:b w:val="false"/>
          <w:bCs w:val="false"/>
          <w:i w:val="false"/>
          <w:iCs w:val="false"/>
          <w:color w:val="374151"/>
          <w:sz w:val="24"/>
          <w:szCs w:val="24"/>
        </w:rPr>
        <w:t xml:space="preserve">Se crean las 7 entidades @Entity que mapean el esquema de la base de datos, con sus anotaciones JPA, enumerados (@Enumerated) para los campos de tipo ENUM y restricciones de unicidad. A continuación se crean los 7 repositorios que extienden JpaRepository, añadiendo los métodos de consulta derivados que necesitará la capa de servicio: findByPinTerminal, findByEmpleadoIdAndFecha, findByFechaAndProcesadoFalse y findByEmpleadoIdAndAnio, entre otros.</w:t>
      </w:r>
    </w:p>
    <w:p>
      <w:pPr>
        <w:pStyle w:val="Heading3"/>
        <w:spacing w:before="220" w:after="100"/>
      </w:pPr>
      <w:r>
        <w:rPr>
          <w:rFonts w:ascii="Arial" w:cs="Arial" w:eastAsia="Arial" w:hAnsi="Arial"/>
          <w:b/>
          <w:bCs/>
          <w:i w:val="false"/>
          <w:iCs w:val="false"/>
          <w:color w:val="374151"/>
          <w:sz w:val="24"/>
          <w:szCs w:val="24"/>
        </w:rPr>
        <w:t xml:space="preserve">Semana 2 — Servicios y lógica de negocio (16–22 Mar)</w:t>
      </w:r>
    </w:p>
    <w:p>
      <w:pPr>
        <w:spacing w:before="0" w:after="160"/>
        <w:jc w:val="both"/>
      </w:pPr>
      <w:r>
        <w:rPr>
          <w:rFonts w:ascii="Arial" w:cs="Arial" w:eastAsia="Arial" w:hAnsi="Arial"/>
          <w:b w:val="false"/>
          <w:bCs w:val="false"/>
          <w:i w:val="false"/>
          <w:iCs w:val="false"/>
          <w:color w:val="374151"/>
          <w:sz w:val="24"/>
          <w:szCs w:val="24"/>
        </w:rPr>
        <w:t xml:space="preserve">Esta es la semana de mayor densidad técnica del proyecto. Se implementan los cuatro servicios que contienen toda la inteligencia del sistema:</w:t>
      </w:r>
    </w:p>
    <w:p>
      <w:pPr>
        <w:pStyle w:val="ListParagraph"/>
        <w:numPr>
          <w:ilvl w:val="0"/>
          <w:numId w:val="2"/>
        </w:numPr>
        <w:spacing w:before="40" w:after="40"/>
      </w:pPr>
      <w:r>
        <w:rPr>
          <w:rFonts w:ascii="Arial" w:cs="Arial" w:eastAsia="Arial" w:hAnsi="Arial"/>
          <w:b w:val="false"/>
          <w:bCs w:val="false"/>
          <w:i w:val="false"/>
          <w:iCs w:val="false"/>
          <w:color w:val="374151"/>
          <w:sz w:val="24"/>
          <w:szCs w:val="24"/>
        </w:rPr>
        <w:t xml:space="preserve">FichajeService: valida que el empleado existe y está activo, comprueba que no existe fichaje duplicado para esa fecha, registra la hora de entrada y calcula la jornada efectiva al fichar la salida aplicando Math.ceil sobre los minutos brutos menos las pausas no retribuidas.</w:t>
      </w:r>
    </w:p>
    <w:p>
      <w:pPr>
        <w:pStyle w:val="ListParagraph"/>
        <w:numPr>
          <w:ilvl w:val="0"/>
          <w:numId w:val="2"/>
        </w:numPr>
        <w:spacing w:before="40" w:after="40"/>
      </w:pPr>
      <w:r>
        <w:rPr>
          <w:rFonts w:ascii="Arial" w:cs="Arial" w:eastAsia="Arial" w:hAnsi="Arial"/>
          <w:b w:val="false"/>
          <w:bCs w:val="false"/>
          <w:i w:val="false"/>
          <w:iCs w:val="false"/>
          <w:color w:val="374151"/>
          <w:sz w:val="24"/>
          <w:szCs w:val="24"/>
        </w:rPr>
        <w:t xml:space="preserve">PausaService: gestiona el inicio y fin de pausas, calculando la duración con Math.floor para las pausas no retribuidas y sin redondeo para las de tipo AUSENCIA_RETRIBUIDA. Cada caso límite se cubre con tests unitarios.</w:t>
      </w:r>
    </w:p>
    <w:p>
      <w:pPr>
        <w:pStyle w:val="ListParagraph"/>
        <w:numPr>
          <w:ilvl w:val="0"/>
          <w:numId w:val="2"/>
        </w:numPr>
        <w:spacing w:before="40" w:after="40"/>
      </w:pPr>
      <w:r>
        <w:rPr>
          <w:rFonts w:ascii="Arial" w:cs="Arial" w:eastAsia="Arial" w:hAnsi="Arial"/>
          <w:b w:val="false"/>
          <w:bCs w:val="false"/>
          <w:i w:val="false"/>
          <w:iCs w:val="false"/>
          <w:color w:val="374151"/>
          <w:sz w:val="24"/>
          <w:szCs w:val="24"/>
        </w:rPr>
        <w:t xml:space="preserve">AusenciaService: planifica ausencias individuales y festivos globales. Cuando empleado_id es nulo, el servicio obtiene todos los empleados activos y crea un registro de planificación para cada uno.</w:t>
      </w:r>
    </w:p>
    <w:p>
      <w:pPr>
        <w:pStyle w:val="ListParagraph"/>
        <w:numPr>
          <w:ilvl w:val="0"/>
          <w:numId w:val="2"/>
        </w:numPr>
        <w:spacing w:before="40" w:after="40"/>
      </w:pPr>
      <w:r>
        <w:rPr>
          <w:rFonts w:ascii="Arial" w:cs="Arial" w:eastAsia="Arial" w:hAnsi="Arial"/>
          <w:b w:val="false"/>
          <w:bCs w:val="false"/>
          <w:i w:val="false"/>
          <w:iCs w:val="false"/>
          <w:color w:val="374151"/>
          <w:sz w:val="24"/>
          <w:szCs w:val="24"/>
        </w:rPr>
        <w:t xml:space="preserve">SaldoService: el más complejo del sistema. Calcula y actualiza saldos anuales, implementa el prorrateo de vacaciones para altas a mitad de año mediante Math.ceil(22 * diasDesdeAlta / 365.0) y expone un método de recálculo completo que reconstruye el saldo desde cero leyendo todos los fichajes del año.</w:t>
      </w:r>
    </w:p>
    <w:p>
      <w:pPr>
        <w:spacing w:before="0" w:after="36"/>
      </w:pPr>
      <w:r>
        <w:rPr>
          <w:rFonts w:ascii="Arial" w:cs="Arial" w:eastAsia="Arial" w:hAnsi="Arial"/>
          <w:b w:val="false"/>
          <w:bCs w:val="false"/>
          <w:i w:val="false"/>
          <w:iCs w:val="false"/>
          <w:color w:val="374151"/>
          <w:sz w:val="24"/>
          <w:szCs w:val="24"/>
        </w:rPr>
        <w:t xml:space="preserve"/>
      </w:r>
    </w:p>
    <w:p>
      <w:pPr>
        <w:pStyle w:val="Heading3"/>
        <w:spacing w:before="220" w:after="100"/>
      </w:pPr>
      <w:r>
        <w:rPr>
          <w:rFonts w:ascii="Arial" w:cs="Arial" w:eastAsia="Arial" w:hAnsi="Arial"/>
          <w:b/>
          <w:bCs/>
          <w:i w:val="false"/>
          <w:iCs w:val="false"/>
          <w:color w:val="374151"/>
          <w:sz w:val="24"/>
          <w:szCs w:val="24"/>
        </w:rPr>
        <w:t xml:space="preserve">Semana 3 — Controllers, seguridad y procesos automáticos (23–29 Mar)</w:t>
      </w:r>
    </w:p>
    <w:p>
      <w:pPr>
        <w:spacing w:before="0" w:after="160"/>
        <w:jc w:val="both"/>
      </w:pPr>
      <w:r>
        <w:rPr>
          <w:rFonts w:ascii="Arial" w:cs="Arial" w:eastAsia="Arial" w:hAnsi="Arial"/>
          <w:b w:val="false"/>
          <w:bCs w:val="false"/>
          <w:i w:val="false"/>
          <w:iCs w:val="false"/>
          <w:color w:val="374151"/>
          <w:sz w:val="24"/>
          <w:szCs w:val="24"/>
        </w:rPr>
        <w:t xml:space="preserve">Se crean los controladores REST para cada grupo de endpoints. Cada método de controlador realiza únicamente tres operaciones: valida la entrada con @Valid, delega en el servicio correspondiente y devuelve el DTO de respuesta con el código HTTP adecuado. Ninguna lógica de negocio reside en esta capa.</w:t>
      </w:r>
    </w:p>
    <w:p>
      <w:pPr>
        <w:spacing w:before="0" w:after="160"/>
        <w:jc w:val="both"/>
      </w:pPr>
      <w:r>
        <w:rPr>
          <w:rFonts w:ascii="Arial" w:cs="Arial" w:eastAsia="Arial" w:hAnsi="Arial"/>
          <w:b w:val="false"/>
          <w:bCs w:val="false"/>
          <w:i w:val="false"/>
          <w:iCs w:val="false"/>
          <w:color w:val="374151"/>
          <w:sz w:val="24"/>
          <w:szCs w:val="24"/>
        </w:rPr>
        <w:t xml:space="preserve">Se configura Spring Security con autenticación JWT stateless. El filtro JwtAuthFilter intercepta cada petición, extrae el token del header Authorization, valida la firma y carga el usuario en el contexto de seguridad. Los tokens de acceso tienen una expiración de una hora, complementados con tokens de refresco de siete días.</w:t>
      </w:r>
    </w:p>
    <w:p>
      <w:pPr>
        <w:spacing w:before="0" w:after="160"/>
        <w:jc w:val="both"/>
      </w:pPr>
      <w:r>
        <w:rPr>
          <w:rFonts w:ascii="Arial" w:cs="Arial" w:eastAsia="Arial" w:hAnsi="Arial"/>
          <w:b w:val="false"/>
          <w:bCs w:val="false"/>
          <w:i w:val="false"/>
          <w:iCs w:val="false"/>
          <w:color w:val="374151"/>
          <w:sz w:val="24"/>
          <w:szCs w:val="24"/>
        </w:rPr>
        <w:t xml:space="preserve">Se implementan los tres procesos automáticos con @Scheduled: el proceso de las 00:01 que convierte las ausencias planificadas del día en fichajes reales y expande los festivos globales a todos los empleados activos; el cierre diario de las 23:30 que actualiza saldos_anuales procesando todos los fichajes del día; y el cierre anual del 31 de diciembre a las 23:59 que crea los registros de saldo para el año siguiente con el arrastre de días pendientes.</w:t>
      </w:r>
    </w:p>
    <w:p>
      <w:pPr>
        <w:spacing w:before="0" w:after="60"/>
      </w:pPr>
      <w:r>
        <w:rPr>
          <w:rFonts w:ascii="Arial" w:cs="Arial" w:eastAsia="Arial" w:hAnsi="Arial"/>
          <w:b w:val="false"/>
          <w:bCs w:val="false"/>
          <w:i w:val="false"/>
          <w:iCs w:val="false"/>
          <w:color w:val="374151"/>
          <w:sz w:val="24"/>
          <w:szCs w:val="24"/>
        </w:rPr>
        <w:t xml:space="preserve"/>
      </w:r>
    </w:p>
    <w:p>
      <w:pPr>
        <w:spacing w:before="100" w:after="100"/>
        <w:jc w:val="both"/>
      </w:pPr>
      <w:r>
        <w:rPr>
          <w:rFonts w:ascii="Arial" w:cs="Arial" w:eastAsia="Arial" w:hAnsi="Arial"/>
          <w:b/>
          <w:bCs/>
          <w:i w:val="false"/>
          <w:iCs w:val="false"/>
          <w:color w:val="1E3A8A"/>
          <w:sz w:val="24"/>
          <w:szCs w:val="24"/>
        </w:rPr>
        <w:t xml:space="preserve">Hito — 29 de marzo: </w:t>
      </w:r>
      <w:r>
        <w:rPr>
          <w:rFonts w:ascii="Arial" w:cs="Arial" w:eastAsia="Arial" w:hAnsi="Arial"/>
          <w:b w:val="false"/>
          <w:bCs w:val="false"/>
          <w:i w:val="false"/>
          <w:iCs w:val="false"/>
          <w:color w:val="374151"/>
          <w:sz w:val="24"/>
          <w:szCs w:val="24"/>
        </w:rPr>
        <w:t xml:space="preserve">API REST completamente funcional, documentada en Swagger UI, con todos los endpoints respondiendo correctamente y los tres procesos automáticos ejecutándose en sus horarios definidos.</w:t>
      </w:r>
    </w:p>
    <w:p>
      <w:pPr>
        <w:spacing w:before="0" w:after="120"/>
      </w:pPr>
      <w:r>
        <w:rPr>
          <w:rFonts w:ascii="Arial" w:cs="Arial" w:eastAsia="Arial" w:hAnsi="Arial"/>
          <w:b w:val="false"/>
          <w:bCs w:val="false"/>
          <w:i w:val="false"/>
          <w:iCs w:val="false"/>
          <w:color w:val="374151"/>
          <w:sz w:val="24"/>
          <w:szCs w:val="24"/>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4"/>
              <w:left w:val="single" w:color="CCCCCC" w:sz="4"/>
              <w:bottom w:val="single" w:color="CCCCCC" w:sz="4"/>
              <w:right w:val="single" w:color="CCCCCC" w:sz="4"/>
            </w:tcBorders>
            <w:shd w:fill="EF4444"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FFFFFF"/>
                <w:sz w:val="26"/>
                <w:szCs w:val="26"/>
              </w:rPr>
              <w:t xml:space="preserve">FASE 3</w:t>
            </w:r>
          </w:p>
        </w:tc>
        <w:tc>
          <w:tcPr>
            <w:tcW w:type="dxa" w:w="7626"/>
            <w:tcBorders>
              <w:top w:val="single" w:color="CCCCCC" w:sz="4"/>
              <w:left w:val="single" w:color="CCCCCC" w:sz="4"/>
              <w:bottom w:val="single" w:color="CCCCCC" w:sz="4"/>
              <w:right w:val="single" w:color="CCCCCC" w:sz="4"/>
            </w:tcBorders>
            <w:shd w:fill="FEE2E2" w:val="clear"/>
            <w:tcMar>
              <w:top w:type="dxa" w:w="90"/>
              <w:left w:type="dxa" w:w="130"/>
              <w:bottom w:type="dxa" w:w="90"/>
              <w:right w:type="dxa" w:w="130"/>
            </w:tcMar>
            <w:vAlign w:val="center"/>
          </w:tcPr>
          <w:p>
            <w:pPr>
              <w:spacing w:before="0" w:after="0"/>
              <w:jc w:val="left"/>
            </w:pPr>
            <w:r>
              <w:rPr>
                <w:rFonts w:ascii="Arial" w:cs="Arial" w:eastAsia="Arial" w:hAnsi="Arial"/>
                <w:b/>
                <w:bCs/>
                <w:i w:val="false"/>
                <w:iCs w:val="false"/>
                <w:color w:val="7F1D1D"/>
                <w:sz w:val="26"/>
                <w:szCs w:val="26"/>
              </w:rPr>
              <w:t xml:space="preserve">Desarrollo Android</w:t>
            </w:r>
            <w:r>
              <w:rPr>
                <w:rFonts w:ascii="Arial" w:cs="Arial" w:eastAsia="Arial" w:hAnsi="Arial"/>
                <w:b w:val="false"/>
                <w:bCs w:val="false"/>
                <w:i w:val="false"/>
                <w:iCs w:val="false"/>
                <w:color w:val="6B7280"/>
                <w:sz w:val="20"/>
                <w:szCs w:val="20"/>
              </w:rPr>
              <w:t xml:space="preserve">   ·   30 Mar – 07 Abr   ·   9 días   ·   35 horas</w:t>
            </w:r>
          </w:p>
        </w:tc>
      </w:tr>
    </w:tbl>
    <w:p>
      <w:pPr>
        <w:spacing w:before="0" w:after="60"/>
      </w:pPr>
      <w:r>
        <w:rPr>
          <w:rFonts w:ascii="Arial" w:cs="Arial" w:eastAsia="Arial" w:hAnsi="Arial"/>
          <w:b w:val="false"/>
          <w:bCs w:val="false"/>
          <w:i w:val="false"/>
          <w:iCs w:val="false"/>
          <w:color w:val="374151"/>
          <w:sz w:val="24"/>
          <w:szCs w:val="24"/>
        </w:rPr>
        <w:t xml:space="preserve"/>
      </w:r>
    </w:p>
    <w:p>
      <w:pPr>
        <w:spacing w:before="0" w:after="160"/>
        <w:jc w:val="both"/>
      </w:pPr>
      <w:r>
        <w:rPr>
          <w:rFonts w:ascii="Arial" w:cs="Arial" w:eastAsia="Arial" w:hAnsi="Arial"/>
          <w:b w:val="false"/>
          <w:bCs w:val="false"/>
          <w:i w:val="false"/>
          <w:iCs w:val="false"/>
          <w:color w:val="374151"/>
          <w:sz w:val="24"/>
          <w:szCs w:val="24"/>
        </w:rPr>
        <w:t xml:space="preserve">La aplicación Android es el terminal de fichaje del sistema. Su responsabilidad es exclusivamente presentar la interfaz al usuario y comunicarse con la API; no contiene lógica de negocio propia. Toda la inteligencia del dominio está resuelta en la capa de servicios del servidor, lo que simplifica considerablemente el desarrollo de la aplicación y justifica su menor asignación de horas respecto al backend.</w:t>
      </w:r>
    </w:p>
    <w:p>
      <w:pPr>
        <w:spacing w:before="0" w:after="160"/>
        <w:jc w:val="both"/>
      </w:pPr>
      <w:r>
        <w:rPr>
          <w:rFonts w:ascii="Arial" w:cs="Arial" w:eastAsia="Arial" w:hAnsi="Arial"/>
          <w:b w:val="false"/>
          <w:bCs w:val="false"/>
          <w:i w:val="false"/>
          <w:iCs w:val="false"/>
          <w:color w:val="374151"/>
          <w:sz w:val="24"/>
          <w:szCs w:val="24"/>
        </w:rPr>
        <w:t xml:space="preserve">La aplicación está diseñada para funcionar en modo kiosco sobre una tablet situada en el lugar de trabajo. La pantalla principal es un teclado numérico de dígitos grandes, usable con un solo dedo, que el empleado utiliza para introducir su PIN de cuatro dígitos y registrar su fichaje.</w:t>
      </w:r>
    </w:p>
    <w:p>
      <w:pPr>
        <w:pStyle w:val="Heading3"/>
        <w:spacing w:before="220" w:after="100"/>
      </w:pPr>
      <w:r>
        <w:rPr>
          <w:rFonts w:ascii="Arial" w:cs="Arial" w:eastAsia="Arial" w:hAnsi="Arial"/>
          <w:b/>
          <w:bCs/>
          <w:i w:val="false"/>
          <w:iCs w:val="false"/>
          <w:color w:val="374151"/>
          <w:sz w:val="24"/>
          <w:szCs w:val="24"/>
        </w:rPr>
        <w:t xml:space="preserve">Semana 1 — Infraestructura y pantallas base (30 Mar – 02 Abr)</w:t>
      </w:r>
    </w:p>
    <w:p>
      <w:pPr>
        <w:spacing w:before="0" w:after="160"/>
        <w:jc w:val="both"/>
      </w:pPr>
      <w:r>
        <w:rPr>
          <w:rFonts w:ascii="Arial" w:cs="Arial" w:eastAsia="Arial" w:hAnsi="Arial"/>
          <w:b w:val="false"/>
          <w:bCs w:val="false"/>
          <w:i w:val="false"/>
          <w:iCs w:val="false"/>
          <w:color w:val="374151"/>
          <w:sz w:val="24"/>
          <w:szCs w:val="24"/>
        </w:rPr>
        <w:t xml:space="preserve">Se crea el proyecto en Android Studio con Kotlin y SDK mínimo API 24, que cubre más del 95% de dispositivos activos. Se añaden las dependencias: Retrofit 2 con convertidor Gson, Kotlin Coroutines, Hilt para inyección de dependencias, Navigation Component y Material Design 3. Se configura Hilt en la clase Application y se crea el módulo de red que provee el cliente Retrofit apuntando a la dirección 10.0.2.2:8080, que es la IP especial que el emulador de Android Studio usa para acceder al servidor que corre en el ordenador anfitrión.</w:t>
      </w:r>
    </w:p>
    <w:p>
      <w:pPr>
        <w:spacing w:before="0" w:after="160"/>
        <w:jc w:val="both"/>
      </w:pPr>
      <w:r>
        <w:rPr>
          <w:rFonts w:ascii="Arial" w:cs="Arial" w:eastAsia="Arial" w:hAnsi="Arial"/>
          <w:b w:val="false"/>
          <w:bCs w:val="false"/>
          <w:i w:val="false"/>
          <w:iCs w:val="false"/>
          <w:color w:val="374151"/>
          <w:sz w:val="24"/>
          <w:szCs w:val="24"/>
        </w:rPr>
        <w:t xml:space="preserve">Se implementa AuthInterceptor para añadir automáticamente el header de autorización a cada petición, y TokenDataStore para almacenar y recuperar el JWT de forma segura entre sesiones. Se implementan la pantalla de login del encargado y la pantalla principal del terminal con el teclado numérico.</w:t>
      </w:r>
    </w:p>
    <w:p>
      <w:pPr>
        <w:pStyle w:val="Heading3"/>
        <w:spacing w:before="220" w:after="100"/>
      </w:pPr>
      <w:r>
        <w:rPr>
          <w:rFonts w:ascii="Arial" w:cs="Arial" w:eastAsia="Arial" w:hAnsi="Arial"/>
          <w:b/>
          <w:bCs/>
          <w:i w:val="false"/>
          <w:iCs w:val="false"/>
          <w:color w:val="374151"/>
          <w:sz w:val="24"/>
          <w:szCs w:val="24"/>
        </w:rPr>
        <w:t xml:space="preserve">Semana 2 — Funcionalidad completa (04 Abr – 07 Abr)</w:t>
      </w:r>
    </w:p>
    <w:p>
      <w:pPr>
        <w:spacing w:before="0" w:after="160"/>
        <w:jc w:val="both"/>
      </w:pPr>
      <w:r>
        <w:rPr>
          <w:rFonts w:ascii="Arial" w:cs="Arial" w:eastAsia="Arial" w:hAnsi="Arial"/>
          <w:b w:val="false"/>
          <w:bCs w:val="false"/>
          <w:i w:val="false"/>
          <w:iCs w:val="false"/>
          <w:color w:val="374151"/>
          <w:sz w:val="24"/>
          <w:szCs w:val="24"/>
        </w:rPr>
        <w:t xml:space="preserve">Se implementan el resto de pantallas siguiendo el patrón MVVM: ViewModel expone StateFlow, Fragment observa y actualiza la UI, repositorio gestiona las llamadas a Retrofit mediante coroutines. Las pantallas implementadas son: confirmación de fichaje de entrada y salida mostrando nombre del empleado y hora registrada, gestión de pausas con selector de tipo y detección automática de pausa activa, consulta de saldo con días trabajados y vacaciones disponibles, y registro de ausencias accesible solo para encargado y administrador.</w:t>
      </w:r>
    </w:p>
    <w:p>
      <w:pPr>
        <w:spacing w:before="0" w:after="60"/>
      </w:pPr>
      <w:r>
        <w:rPr>
          <w:rFonts w:ascii="Arial" w:cs="Arial" w:eastAsia="Arial" w:hAnsi="Arial"/>
          <w:b w:val="false"/>
          <w:bCs w:val="false"/>
          <w:i w:val="false"/>
          <w:iCs w:val="false"/>
          <w:color w:val="374151"/>
          <w:sz w:val="24"/>
          <w:szCs w:val="24"/>
        </w:rPr>
        <w:t xml:space="preserve"/>
      </w:r>
    </w:p>
    <w:p>
      <w:pPr>
        <w:spacing w:before="100" w:after="100"/>
        <w:jc w:val="both"/>
      </w:pPr>
      <w:r>
        <w:rPr>
          <w:rFonts w:ascii="Arial" w:cs="Arial" w:eastAsia="Arial" w:hAnsi="Arial"/>
          <w:b/>
          <w:bCs/>
          <w:i w:val="false"/>
          <w:iCs w:val="false"/>
          <w:color w:val="7F1D1D"/>
          <w:sz w:val="24"/>
          <w:szCs w:val="24"/>
        </w:rPr>
        <w:t xml:space="preserve">Hito — 07 de abril: </w:t>
      </w:r>
      <w:r>
        <w:rPr>
          <w:rFonts w:ascii="Arial" w:cs="Arial" w:eastAsia="Arial" w:hAnsi="Arial"/>
          <w:b w:val="false"/>
          <w:bCs w:val="false"/>
          <w:i w:val="false"/>
          <w:iCs w:val="false"/>
          <w:color w:val="374151"/>
          <w:sz w:val="24"/>
          <w:szCs w:val="24"/>
        </w:rPr>
        <w:t xml:space="preserve">aplicación Android instalable en emulador que cubre todos los casos de uso del terminal: fichaje por PIN, gestión de pausas, consulta de saldo y registro de ausencias.</w:t>
      </w:r>
    </w:p>
    <w:p>
      <w:pPr>
        <w:spacing w:before="0" w:after="120"/>
      </w:pPr>
      <w:r>
        <w:rPr>
          <w:rFonts w:ascii="Arial" w:cs="Arial" w:eastAsia="Arial" w:hAnsi="Arial"/>
          <w:b w:val="false"/>
          <w:bCs w:val="false"/>
          <w:i w:val="false"/>
          <w:iCs w:val="false"/>
          <w:color w:val="374151"/>
          <w:sz w:val="24"/>
          <w:szCs w:val="24"/>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4"/>
              <w:left w:val="single" w:color="CCCCCC" w:sz="4"/>
              <w:bottom w:val="single" w:color="CCCCCC" w:sz="4"/>
              <w:right w:val="single" w:color="CCCCCC" w:sz="4"/>
            </w:tcBorders>
            <w:shd w:fill="F59E0B"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FFFFFF"/>
                <w:sz w:val="26"/>
                <w:szCs w:val="26"/>
              </w:rPr>
              <w:t xml:space="preserve">FASE 4</w:t>
            </w:r>
          </w:p>
        </w:tc>
        <w:tc>
          <w:tcPr>
            <w:tcW w:type="dxa" w:w="7626"/>
            <w:tcBorders>
              <w:top w:val="single" w:color="CCCCCC" w:sz="4"/>
              <w:left w:val="single" w:color="CCCCCC" w:sz="4"/>
              <w:bottom w:val="single" w:color="CCCCCC" w:sz="4"/>
              <w:right w:val="single" w:color="CCCCCC" w:sz="4"/>
            </w:tcBorders>
            <w:shd w:fill="FEF3C7" w:val="clear"/>
            <w:tcMar>
              <w:top w:type="dxa" w:w="90"/>
              <w:left w:type="dxa" w:w="130"/>
              <w:bottom w:type="dxa" w:w="90"/>
              <w:right w:type="dxa" w:w="130"/>
            </w:tcMar>
            <w:vAlign w:val="center"/>
          </w:tcPr>
          <w:p>
            <w:pPr>
              <w:spacing w:before="0" w:after="0"/>
              <w:jc w:val="left"/>
            </w:pPr>
            <w:r>
              <w:rPr>
                <w:rFonts w:ascii="Arial" w:cs="Arial" w:eastAsia="Arial" w:hAnsi="Arial"/>
                <w:b/>
                <w:bCs/>
                <w:i w:val="false"/>
                <w:iCs w:val="false"/>
                <w:color w:val="78350F"/>
                <w:sz w:val="26"/>
                <w:szCs w:val="26"/>
              </w:rPr>
              <w:t xml:space="preserve">Testing</w:t>
            </w:r>
            <w:r>
              <w:rPr>
                <w:rFonts w:ascii="Arial" w:cs="Arial" w:eastAsia="Arial" w:hAnsi="Arial"/>
                <w:b w:val="false"/>
                <w:bCs w:val="false"/>
                <w:i w:val="false"/>
                <w:iCs w:val="false"/>
                <w:color w:val="6B7280"/>
                <w:sz w:val="20"/>
                <w:szCs w:val="20"/>
              </w:rPr>
              <w:t xml:space="preserve">   ·   08 Abr – 14 Abr   ·   7 días   ·   30 horas</w:t>
            </w:r>
          </w:p>
        </w:tc>
      </w:tr>
    </w:tbl>
    <w:p>
      <w:pPr>
        <w:spacing w:before="0" w:after="60"/>
      </w:pPr>
      <w:r>
        <w:rPr>
          <w:rFonts w:ascii="Arial" w:cs="Arial" w:eastAsia="Arial" w:hAnsi="Arial"/>
          <w:b w:val="false"/>
          <w:bCs w:val="false"/>
          <w:i w:val="false"/>
          <w:iCs w:val="false"/>
          <w:color w:val="374151"/>
          <w:sz w:val="24"/>
          <w:szCs w:val="24"/>
        </w:rPr>
        <w:t xml:space="preserve"/>
      </w:r>
    </w:p>
    <w:p>
      <w:pPr>
        <w:spacing w:before="0" w:after="160"/>
        <w:jc w:val="both"/>
      </w:pPr>
      <w:r>
        <w:rPr>
          <w:rFonts w:ascii="Arial" w:cs="Arial" w:eastAsia="Arial" w:hAnsi="Arial"/>
          <w:b w:val="false"/>
          <w:bCs w:val="false"/>
          <w:i w:val="false"/>
          <w:iCs w:val="false"/>
          <w:color w:val="374151"/>
          <w:sz w:val="24"/>
          <w:szCs w:val="24"/>
        </w:rPr>
        <w:t xml:space="preserve">El objetivo de esta fase no es verificar que el sistema funciona en condiciones ideales, sino encontrar los casos en los que falla. Los tests unitarios de los servicios del backend ya han sido escritos durante la Fase 2; aquí se ejecutan los tests de integración end-to-end con backend y aplicación Android corriendo simultáneamente sobre el entorno completo.</w:t>
      </w:r>
    </w:p>
    <w:p>
      <w:pPr>
        <w:pStyle w:val="Heading3"/>
        <w:spacing w:before="220" w:after="100"/>
      </w:pPr>
      <w:r>
        <w:rPr>
          <w:rFonts w:ascii="Arial" w:cs="Arial" w:eastAsia="Arial" w:hAnsi="Arial"/>
          <w:b/>
          <w:bCs/>
          <w:i w:val="false"/>
          <w:iCs w:val="false"/>
          <w:color w:val="374151"/>
          <w:sz w:val="24"/>
          <w:szCs w:val="24"/>
        </w:rPr>
        <w:t xml:space="preserve">Testing de integración (08–11 Abr)</w:t>
      </w:r>
    </w:p>
    <w:p>
      <w:pPr>
        <w:spacing w:before="0" w:after="160"/>
        <w:jc w:val="both"/>
      </w:pPr>
      <w:r>
        <w:rPr>
          <w:rFonts w:ascii="Arial" w:cs="Arial" w:eastAsia="Arial" w:hAnsi="Arial"/>
          <w:b w:val="false"/>
          <w:bCs w:val="false"/>
          <w:i w:val="false"/>
          <w:iCs w:val="false"/>
          <w:color w:val="374151"/>
          <w:sz w:val="24"/>
          <w:szCs w:val="24"/>
        </w:rPr>
        <w:t xml:space="preserve">Se ejecutan los flujos completos probando tanto el camino feliz como todos los errores posibles. Los flujos que se validan obligatoriamente son:</w:t>
      </w:r>
    </w:p>
    <w:p>
      <w:pPr>
        <w:pStyle w:val="ListParagraph"/>
        <w:numPr>
          <w:ilvl w:val="0"/>
          <w:numId w:val="2"/>
        </w:numPr>
        <w:spacing w:before="40" w:after="40"/>
      </w:pPr>
      <w:r>
        <w:rPr>
          <w:rFonts w:ascii="Arial" w:cs="Arial" w:eastAsia="Arial" w:hAnsi="Arial"/>
          <w:b w:val="false"/>
          <w:bCs w:val="false"/>
          <w:i w:val="false"/>
          <w:iCs w:val="false"/>
          <w:color w:val="374151"/>
          <w:sz w:val="24"/>
          <w:szCs w:val="24"/>
        </w:rPr>
        <w:t xml:space="preserve">Fichaje de entrada, pausa y salida completa, verificando que el saldo se actualiza correctamente en el cierre diario de las 23:30.</w:t>
      </w:r>
    </w:p>
    <w:p>
      <w:pPr>
        <w:pStyle w:val="ListParagraph"/>
        <w:numPr>
          <w:ilvl w:val="0"/>
          <w:numId w:val="2"/>
        </w:numPr>
        <w:spacing w:before="40" w:after="40"/>
      </w:pPr>
      <w:r>
        <w:rPr>
          <w:rFonts w:ascii="Arial" w:cs="Arial" w:eastAsia="Arial" w:hAnsi="Arial"/>
          <w:b w:val="false"/>
          <w:bCs w:val="false"/>
          <w:i w:val="false"/>
          <w:iCs w:val="false"/>
          <w:color w:val="374151"/>
          <w:sz w:val="24"/>
          <w:szCs w:val="24"/>
        </w:rPr>
        <w:t xml:space="preserve">Festivo global, comprobando que a las 00:01 se generan fichajes para todos los empleados activos.</w:t>
      </w:r>
    </w:p>
    <w:p>
      <w:pPr>
        <w:pStyle w:val="ListParagraph"/>
        <w:numPr>
          <w:ilvl w:val="0"/>
          <w:numId w:val="2"/>
        </w:numPr>
        <w:spacing w:before="40" w:after="40"/>
      </w:pPr>
      <w:r>
        <w:rPr>
          <w:rFonts w:ascii="Arial" w:cs="Arial" w:eastAsia="Arial" w:hAnsi="Arial"/>
          <w:b w:val="false"/>
          <w:bCs w:val="false"/>
          <w:i w:val="false"/>
          <w:iCs w:val="false"/>
          <w:color w:val="374151"/>
          <w:sz w:val="24"/>
          <w:szCs w:val="24"/>
        </w:rPr>
        <w:t xml:space="preserve">Corrección retroactiva de un fichaje, verificando que el recálculo de saldos produce el resultado correcto.</w:t>
      </w:r>
    </w:p>
    <w:p>
      <w:pPr>
        <w:pStyle w:val="ListParagraph"/>
        <w:numPr>
          <w:ilvl w:val="0"/>
          <w:numId w:val="2"/>
        </w:numPr>
        <w:spacing w:before="40" w:after="40"/>
      </w:pPr>
      <w:r>
        <w:rPr>
          <w:rFonts w:ascii="Arial" w:cs="Arial" w:eastAsia="Arial" w:hAnsi="Arial"/>
          <w:b w:val="false"/>
          <w:bCs w:val="false"/>
          <w:i w:val="false"/>
          <w:iCs w:val="false"/>
          <w:color w:val="374151"/>
          <w:sz w:val="24"/>
          <w:szCs w:val="24"/>
        </w:rPr>
        <w:t xml:space="preserve">Alta de un empleado a mitad de año, comprobando el prorrateo de vacaciones con la fórmula Math.ceil(22 * diasDesdeAlta / 365.0).</w:t>
      </w:r>
    </w:p>
    <w:p>
      <w:pPr>
        <w:pStyle w:val="ListParagraph"/>
        <w:numPr>
          <w:ilvl w:val="0"/>
          <w:numId w:val="2"/>
        </w:numPr>
        <w:spacing w:before="40" w:after="40"/>
      </w:pPr>
      <w:r>
        <w:rPr>
          <w:rFonts w:ascii="Arial" w:cs="Arial" w:eastAsia="Arial" w:hAnsi="Arial"/>
          <w:b w:val="false"/>
          <w:bCs w:val="false"/>
          <w:i w:val="false"/>
          <w:iCs w:val="false"/>
          <w:color w:val="374151"/>
          <w:sz w:val="24"/>
          <w:szCs w:val="24"/>
        </w:rPr>
        <w:t xml:space="preserve">Cierre anual, verificando el arrastre de días pendientes al año siguiente.</w:t>
      </w:r>
    </w:p>
    <w:p>
      <w:pPr>
        <w:spacing w:before="0" w:after="36"/>
      </w:pPr>
      <w:r>
        <w:rPr>
          <w:rFonts w:ascii="Arial" w:cs="Arial" w:eastAsia="Arial" w:hAnsi="Arial"/>
          <w:b w:val="false"/>
          <w:bCs w:val="false"/>
          <w:i w:val="false"/>
          <w:iCs w:val="false"/>
          <w:color w:val="374151"/>
          <w:sz w:val="24"/>
          <w:szCs w:val="24"/>
        </w:rPr>
        <w:t xml:space="preserve"/>
      </w:r>
    </w:p>
    <w:p>
      <w:pPr>
        <w:spacing w:before="0" w:after="160"/>
        <w:jc w:val="both"/>
      </w:pPr>
      <w:r>
        <w:rPr>
          <w:rFonts w:ascii="Arial" w:cs="Arial" w:eastAsia="Arial" w:hAnsi="Arial"/>
          <w:b w:val="false"/>
          <w:bCs w:val="false"/>
          <w:i w:val="false"/>
          <w:iCs w:val="false"/>
          <w:color w:val="374151"/>
          <w:sz w:val="24"/>
          <w:szCs w:val="24"/>
        </w:rPr>
        <w:t xml:space="preserve">Cada bug encontrado se documenta con su descripción, los pasos exactos para reproducirlo y el comportamiento esperado frente al real.</w:t>
      </w:r>
    </w:p>
    <w:p>
      <w:pPr>
        <w:pStyle w:val="Heading3"/>
        <w:spacing w:before="220" w:after="100"/>
      </w:pPr>
      <w:r>
        <w:rPr>
          <w:rFonts w:ascii="Arial" w:cs="Arial" w:eastAsia="Arial" w:hAnsi="Arial"/>
          <w:b/>
          <w:bCs/>
          <w:i w:val="false"/>
          <w:iCs w:val="false"/>
          <w:color w:val="374151"/>
          <w:sz w:val="24"/>
          <w:szCs w:val="24"/>
        </w:rPr>
        <w:t xml:space="preserve">Corrección y validación (12–14 Abr)</w:t>
      </w:r>
    </w:p>
    <w:p>
      <w:pPr>
        <w:spacing w:before="0" w:after="160"/>
        <w:jc w:val="both"/>
      </w:pPr>
      <w:r>
        <w:rPr>
          <w:rFonts w:ascii="Arial" w:cs="Arial" w:eastAsia="Arial" w:hAnsi="Arial"/>
          <w:b w:val="false"/>
          <w:bCs w:val="false"/>
          <w:i w:val="false"/>
          <w:iCs w:val="false"/>
          <w:color w:val="374151"/>
          <w:sz w:val="24"/>
          <w:szCs w:val="24"/>
        </w:rPr>
        <w:t xml:space="preserve">Los bugs se priorizan por impacto: primero los que producen datos incorrectos en saldos o jornadas, después los que bloquean flujos completos y finalmente los errores de presentación. Para cada corrección en el backend se verifica que los tests unitarios existentes siguen pasando.</w:t>
      </w:r>
    </w:p>
    <w:p>
      <w:pPr>
        <w:spacing w:before="0" w:after="60"/>
      </w:pPr>
      <w:r>
        <w:rPr>
          <w:rFonts w:ascii="Arial" w:cs="Arial" w:eastAsia="Arial" w:hAnsi="Arial"/>
          <w:b w:val="false"/>
          <w:bCs w:val="false"/>
          <w:i w:val="false"/>
          <w:iCs w:val="false"/>
          <w:color w:val="374151"/>
          <w:sz w:val="24"/>
          <w:szCs w:val="24"/>
        </w:rPr>
        <w:t xml:space="preserve"/>
      </w:r>
    </w:p>
    <w:p>
      <w:pPr>
        <w:spacing w:before="100" w:after="100"/>
        <w:jc w:val="both"/>
      </w:pPr>
      <w:r>
        <w:rPr>
          <w:rFonts w:ascii="Arial" w:cs="Arial" w:eastAsia="Arial" w:hAnsi="Arial"/>
          <w:b/>
          <w:bCs/>
          <w:i w:val="false"/>
          <w:iCs w:val="false"/>
          <w:color w:val="78350F"/>
          <w:sz w:val="24"/>
          <w:szCs w:val="24"/>
        </w:rPr>
        <w:t xml:space="preserve">Hito — 14 de abril: </w:t>
      </w:r>
      <w:r>
        <w:rPr>
          <w:rFonts w:ascii="Arial" w:cs="Arial" w:eastAsia="Arial" w:hAnsi="Arial"/>
          <w:b w:val="false"/>
          <w:bCs w:val="false"/>
          <w:i w:val="false"/>
          <w:iCs w:val="false"/>
          <w:color w:val="374151"/>
          <w:sz w:val="24"/>
          <w:szCs w:val="24"/>
        </w:rPr>
        <w:t xml:space="preserve">sistema completo funcionando correctamente, sin bugs críticos conocidos, con evidencia de pruebas documentada.</w:t>
      </w:r>
    </w:p>
    <w:p>
      <w:pPr>
        <w:spacing w:before="0" w:after="120"/>
      </w:pPr>
      <w:r>
        <w:rPr>
          <w:rFonts w:ascii="Arial" w:cs="Arial" w:eastAsia="Arial" w:hAnsi="Arial"/>
          <w:b w:val="false"/>
          <w:bCs w:val="false"/>
          <w:i w:val="false"/>
          <w:iCs w:val="false"/>
          <w:color w:val="374151"/>
          <w:sz w:val="24"/>
          <w:szCs w:val="24"/>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4"/>
              <w:left w:val="single" w:color="CCCCCC" w:sz="4"/>
              <w:bottom w:val="single" w:color="CCCCCC" w:sz="4"/>
              <w:right w:val="single" w:color="CCCCCC" w:sz="4"/>
            </w:tcBorders>
            <w:shd w:fill="8B5CF6" w:val="clear"/>
            <w:tcMar>
              <w:top w:type="dxa" w:w="90"/>
              <w:left w:type="dxa" w:w="130"/>
              <w:bottom w:type="dxa" w:w="90"/>
              <w:right w:type="dxa" w:w="130"/>
            </w:tcMar>
            <w:vAlign w:val="center"/>
          </w:tcPr>
          <w:p>
            <w:pPr>
              <w:spacing w:before="0" w:after="0"/>
              <w:jc w:val="center"/>
            </w:pPr>
            <w:r>
              <w:rPr>
                <w:rFonts w:ascii="Arial" w:cs="Arial" w:eastAsia="Arial" w:hAnsi="Arial"/>
                <w:b/>
                <w:bCs/>
                <w:i w:val="false"/>
                <w:iCs w:val="false"/>
                <w:color w:val="FFFFFF"/>
                <w:sz w:val="26"/>
                <w:szCs w:val="26"/>
              </w:rPr>
              <w:t xml:space="preserve">FASE 5</w:t>
            </w:r>
          </w:p>
        </w:tc>
        <w:tc>
          <w:tcPr>
            <w:tcW w:type="dxa" w:w="7626"/>
            <w:tcBorders>
              <w:top w:val="single" w:color="CCCCCC" w:sz="4"/>
              <w:left w:val="single" w:color="CCCCCC" w:sz="4"/>
              <w:bottom w:val="single" w:color="CCCCCC" w:sz="4"/>
              <w:right w:val="single" w:color="CCCCCC" w:sz="4"/>
            </w:tcBorders>
            <w:shd w:fill="EDE9FE" w:val="clear"/>
            <w:tcMar>
              <w:top w:type="dxa" w:w="90"/>
              <w:left w:type="dxa" w:w="130"/>
              <w:bottom w:type="dxa" w:w="90"/>
              <w:right w:type="dxa" w:w="130"/>
            </w:tcMar>
            <w:vAlign w:val="center"/>
          </w:tcPr>
          <w:p>
            <w:pPr>
              <w:spacing w:before="0" w:after="0"/>
              <w:jc w:val="left"/>
            </w:pPr>
            <w:r>
              <w:rPr>
                <w:rFonts w:ascii="Arial" w:cs="Arial" w:eastAsia="Arial" w:hAnsi="Arial"/>
                <w:b/>
                <w:bCs/>
                <w:i w:val="false"/>
                <w:iCs w:val="false"/>
                <w:color w:val="4C1D95"/>
                <w:sz w:val="26"/>
                <w:szCs w:val="26"/>
              </w:rPr>
              <w:t xml:space="preserve">Documentación y Presentación</w:t>
            </w:r>
            <w:r>
              <w:rPr>
                <w:rFonts w:ascii="Arial" w:cs="Arial" w:eastAsia="Arial" w:hAnsi="Arial"/>
                <w:b w:val="false"/>
                <w:bCs w:val="false"/>
                <w:i w:val="false"/>
                <w:iCs w:val="false"/>
                <w:color w:val="6B7280"/>
                <w:sz w:val="20"/>
                <w:szCs w:val="20"/>
              </w:rPr>
              <w:t xml:space="preserve">   ·   15 Abr – 22 Abr   ·   8 días   ·   50 horas</w:t>
            </w:r>
          </w:p>
        </w:tc>
      </w:tr>
    </w:tbl>
    <w:p>
      <w:pPr>
        <w:spacing w:before="0" w:after="60"/>
      </w:pPr>
      <w:r>
        <w:rPr>
          <w:rFonts w:ascii="Arial" w:cs="Arial" w:eastAsia="Arial" w:hAnsi="Arial"/>
          <w:b w:val="false"/>
          <w:bCs w:val="false"/>
          <w:i w:val="false"/>
          <w:iCs w:val="false"/>
          <w:color w:val="374151"/>
          <w:sz w:val="24"/>
          <w:szCs w:val="24"/>
        </w:rPr>
        <w:t xml:space="preserve"/>
      </w:r>
    </w:p>
    <w:p>
      <w:pPr>
        <w:spacing w:before="0" w:after="160"/>
        <w:jc w:val="both"/>
      </w:pPr>
      <w:r>
        <w:rPr>
          <w:rFonts w:ascii="Arial" w:cs="Arial" w:eastAsia="Arial" w:hAnsi="Arial"/>
          <w:b w:val="false"/>
          <w:bCs w:val="false"/>
          <w:i w:val="false"/>
          <w:iCs w:val="false"/>
          <w:color w:val="374151"/>
          <w:sz w:val="24"/>
          <w:szCs w:val="24"/>
        </w:rPr>
        <w:t xml:space="preserve">La fase de documentación recibe la mayor asignación de horas tras el backend, con 50 horas en 8 días. Esta decisión es intencionada: la memoria de un TFG es el documento que los evaluadores leen antes de ver el código, y su calidad influye directamente en la nota final. Además, el vídeo de presentación tiene un límite de 25 minutos y requiere preparación, grabación y edición cuidadosas.</w:t>
      </w:r>
    </w:p>
    <w:p>
      <w:pPr>
        <w:spacing w:before="0" w:after="160"/>
        <w:jc w:val="both"/>
      </w:pPr>
      <w:r>
        <w:rPr>
          <w:rFonts w:ascii="Arial" w:cs="Arial" w:eastAsia="Arial" w:hAnsi="Arial"/>
          <w:b w:val="false"/>
          <w:bCs w:val="false"/>
          <w:i w:val="false"/>
          <w:iCs w:val="false"/>
          <w:color w:val="374151"/>
          <w:sz w:val="24"/>
          <w:szCs w:val="24"/>
        </w:rPr>
        <w:t xml:space="preserve">Cabe señalar que los capítulos técnicos de la memoria (diseño de base de datos, especificación de la API, arquitectura del sistema) se van redactando de forma incremental desde la Fase 2, aprovechando que el material está fresco en el momento en que se produce. Lo que se ejecuta en esta última fase es completar los capítulos de contexto y conclusiones, revisar el documento completo y producir el vídeo.</w:t>
      </w:r>
    </w:p>
    <w:p>
      <w:pPr>
        <w:pStyle w:val="Heading3"/>
        <w:spacing w:before="220" w:after="100"/>
      </w:pPr>
      <w:r>
        <w:rPr>
          <w:rFonts w:ascii="Arial" w:cs="Arial" w:eastAsia="Arial" w:hAnsi="Arial"/>
          <w:b/>
          <w:bCs/>
          <w:i w:val="false"/>
          <w:iCs w:val="false"/>
          <w:color w:val="374151"/>
          <w:sz w:val="24"/>
          <w:szCs w:val="24"/>
        </w:rPr>
        <w:t xml:space="preserve">Completar la memoria TFG (15–19 Abr)</w:t>
      </w:r>
    </w:p>
    <w:p>
      <w:pPr>
        <w:spacing w:before="0" w:after="160"/>
        <w:jc w:val="both"/>
      </w:pPr>
      <w:r>
        <w:rPr>
          <w:rFonts w:ascii="Arial" w:cs="Arial" w:eastAsia="Arial" w:hAnsi="Arial"/>
          <w:b w:val="false"/>
          <w:bCs w:val="false"/>
          <w:i w:val="false"/>
          <w:iCs w:val="false"/>
          <w:color w:val="374151"/>
          <w:sz w:val="24"/>
          <w:szCs w:val="24"/>
        </w:rPr>
        <w:t xml:space="preserve">Se redactan los capítulos que no pueden escribirse hasta que el proyecto está terminado: la introducción con el problema que resuelve StaffFlow (coste de soluciones comerciales, obligatoriedad del RDL 8/2019, necesidades de las PYMEs), el estado del arte comparando con soluciones existentes en el mercado, y las conclusiones reflejando los objetivos alcanzados, las dificultades encontradas y el roadmap de versiones futuras.</w:t>
      </w:r>
    </w:p>
    <w:p>
      <w:pPr>
        <w:spacing w:before="0" w:after="160"/>
        <w:jc w:val="both"/>
      </w:pPr>
      <w:r>
        <w:rPr>
          <w:rFonts w:ascii="Arial" w:cs="Arial" w:eastAsia="Arial" w:hAnsi="Arial"/>
          <w:b w:val="false"/>
          <w:bCs w:val="false"/>
          <w:i w:val="false"/>
          <w:iCs w:val="false"/>
          <w:color w:val="374151"/>
          <w:sz w:val="24"/>
          <w:szCs w:val="24"/>
        </w:rPr>
        <w:t xml:space="preserve">Se lee la memoria completa de una vez para detectar inconsistencias, mejorar la redacción de los párrafos confusos y verificar que todas las figuras tienen pie de figura y están referenciadas en el texto. Se comprueba también que el repositorio de GitHub está ordenado con un README.md claro, el script SQL en su carpeta correspondiente y sin credenciales en el historial de commits.</w:t>
      </w:r>
    </w:p>
    <w:p>
      <w:pPr>
        <w:pStyle w:val="Heading3"/>
        <w:spacing w:before="220" w:after="100"/>
      </w:pPr>
      <w:r>
        <w:rPr>
          <w:rFonts w:ascii="Arial" w:cs="Arial" w:eastAsia="Arial" w:hAnsi="Arial"/>
          <w:b/>
          <w:bCs/>
          <w:i w:val="false"/>
          <w:iCs w:val="false"/>
          <w:color w:val="374151"/>
          <w:sz w:val="24"/>
          <w:szCs w:val="24"/>
        </w:rPr>
        <w:t xml:space="preserve">Guion y grabación del vídeo (19–22 Abr)</w:t>
      </w:r>
    </w:p>
    <w:p>
      <w:pPr>
        <w:spacing w:before="0" w:after="160"/>
        <w:jc w:val="both"/>
      </w:pPr>
      <w:r>
        <w:rPr>
          <w:rFonts w:ascii="Arial" w:cs="Arial" w:eastAsia="Arial" w:hAnsi="Arial"/>
          <w:b w:val="false"/>
          <w:bCs w:val="false"/>
          <w:i w:val="false"/>
          <w:iCs w:val="false"/>
          <w:color w:val="374151"/>
          <w:sz w:val="24"/>
          <w:szCs w:val="24"/>
        </w:rPr>
        <w:t xml:space="preserve">El vídeo de presentación tiene un límite de 25 minutos y se estructura en los siguientes bloques:</w:t>
      </w:r>
    </w:p>
    <w:p>
      <w:pPr>
        <w:pStyle w:val="ListParagraph"/>
        <w:numPr>
          <w:ilvl w:val="0"/>
          <w:numId w:val="2"/>
        </w:numPr>
        <w:spacing w:before="40" w:after="40"/>
      </w:pPr>
      <w:r>
        <w:rPr>
          <w:rFonts w:ascii="Arial" w:cs="Arial" w:eastAsia="Arial" w:hAnsi="Arial"/>
          <w:b w:val="false"/>
          <w:bCs w:val="false"/>
          <w:i w:val="false"/>
          <w:iCs w:val="false"/>
          <w:color w:val="374151"/>
          <w:sz w:val="24"/>
          <w:szCs w:val="24"/>
        </w:rPr>
        <w:t xml:space="preserve">0:00–2:00 — Presentación del problema y motivación del proyecto.</w:t>
      </w:r>
    </w:p>
    <w:p>
      <w:pPr>
        <w:pStyle w:val="ListParagraph"/>
        <w:numPr>
          <w:ilvl w:val="0"/>
          <w:numId w:val="2"/>
        </w:numPr>
        <w:spacing w:before="40" w:after="40"/>
      </w:pPr>
      <w:r>
        <w:rPr>
          <w:rFonts w:ascii="Arial" w:cs="Arial" w:eastAsia="Arial" w:hAnsi="Arial"/>
          <w:b w:val="false"/>
          <w:bCs w:val="false"/>
          <w:i w:val="false"/>
          <w:iCs w:val="false"/>
          <w:color w:val="374151"/>
          <w:sz w:val="24"/>
          <w:szCs w:val="24"/>
        </w:rPr>
        <w:t xml:space="preserve">2:00–5:00 — Arquitectura técnica del sistema en tres capas y stack tecnológico.</w:t>
      </w:r>
    </w:p>
    <w:p>
      <w:pPr>
        <w:pStyle w:val="ListParagraph"/>
        <w:numPr>
          <w:ilvl w:val="0"/>
          <w:numId w:val="2"/>
        </w:numPr>
        <w:spacing w:before="40" w:after="40"/>
      </w:pPr>
      <w:r>
        <w:rPr>
          <w:rFonts w:ascii="Arial" w:cs="Arial" w:eastAsia="Arial" w:hAnsi="Arial"/>
          <w:b w:val="false"/>
          <w:bCs w:val="false"/>
          <w:i w:val="false"/>
          <w:iCs w:val="false"/>
          <w:color w:val="374151"/>
          <w:sz w:val="24"/>
          <w:szCs w:val="24"/>
        </w:rPr>
        <w:t xml:space="preserve">5:00–18:00 — Demostración en directo: fichaje por PIN, gestión de pausas, festivo global, consulta de saldo y corrección retroactiva.</w:t>
      </w:r>
    </w:p>
    <w:p>
      <w:pPr>
        <w:pStyle w:val="ListParagraph"/>
        <w:numPr>
          <w:ilvl w:val="0"/>
          <w:numId w:val="2"/>
        </w:numPr>
        <w:spacing w:before="40" w:after="40"/>
      </w:pPr>
      <w:r>
        <w:rPr>
          <w:rFonts w:ascii="Arial" w:cs="Arial" w:eastAsia="Arial" w:hAnsi="Arial"/>
          <w:b w:val="false"/>
          <w:bCs w:val="false"/>
          <w:i w:val="false"/>
          <w:iCs w:val="false"/>
          <w:color w:val="374151"/>
          <w:sz w:val="24"/>
          <w:szCs w:val="24"/>
        </w:rPr>
        <w:t xml:space="preserve">18:00–22:00 — Revisión del código de los componentes más relevantes: FichajeService, los procesos @Scheduled y el filtro JWT.</w:t>
      </w:r>
    </w:p>
    <w:p>
      <w:pPr>
        <w:pStyle w:val="ListParagraph"/>
        <w:numPr>
          <w:ilvl w:val="0"/>
          <w:numId w:val="2"/>
        </w:numPr>
        <w:spacing w:before="40" w:after="40"/>
      </w:pPr>
      <w:r>
        <w:rPr>
          <w:rFonts w:ascii="Arial" w:cs="Arial" w:eastAsia="Arial" w:hAnsi="Arial"/>
          <w:b w:val="false"/>
          <w:bCs w:val="false"/>
          <w:i w:val="false"/>
          <w:iCs w:val="false"/>
          <w:color w:val="374151"/>
          <w:sz w:val="24"/>
          <w:szCs w:val="24"/>
        </w:rPr>
        <w:t xml:space="preserve">22:00–25:00 — Conclusiones, dificultades encontradas y trabajo futuro.</w:t>
      </w:r>
    </w:p>
    <w:p>
      <w:pPr>
        <w:spacing w:before="0" w:after="36"/>
      </w:pPr>
      <w:r>
        <w:rPr>
          <w:rFonts w:ascii="Arial" w:cs="Arial" w:eastAsia="Arial" w:hAnsi="Arial"/>
          <w:b w:val="false"/>
          <w:bCs w:val="false"/>
          <w:i w:val="false"/>
          <w:iCs w:val="false"/>
          <w:color w:val="374151"/>
          <w:sz w:val="24"/>
          <w:szCs w:val="24"/>
        </w:rPr>
        <w:t xml:space="preserve"/>
      </w:r>
    </w:p>
    <w:p>
      <w:pPr>
        <w:spacing w:before="0" w:after="160"/>
        <w:jc w:val="both"/>
      </w:pPr>
      <w:r>
        <w:rPr>
          <w:rFonts w:ascii="Arial" w:cs="Arial" w:eastAsia="Arial" w:hAnsi="Arial"/>
          <w:b w:val="false"/>
          <w:bCs w:val="false"/>
          <w:i w:val="false"/>
          <w:iCs w:val="false"/>
          <w:color w:val="374151"/>
          <w:sz w:val="24"/>
          <w:szCs w:val="24"/>
        </w:rPr>
        <w:t xml:space="preserve">La grabación se realiza con el sistema funcionando sobre el entorno real, nunca en local, para garantizar que lo que se muestra es el sistema entregado. Se utiliza OBS Studio para la captura de pantalla con narración, grabando por bloques que se montan posteriormente con DaVinci Resolve.</w:t>
      </w:r>
    </w:p>
    <w:p>
      <w:pPr>
        <w:spacing w:before="0" w:after="60"/>
      </w:pPr>
      <w:r>
        <w:rPr>
          <w:rFonts w:ascii="Arial" w:cs="Arial" w:eastAsia="Arial" w:hAnsi="Arial"/>
          <w:b w:val="false"/>
          <w:bCs w:val="false"/>
          <w:i w:val="false"/>
          <w:iCs w:val="false"/>
          <w:color w:val="374151"/>
          <w:sz w:val="24"/>
          <w:szCs w:val="24"/>
        </w:rPr>
        <w:t xml:space="preserve"/>
      </w:r>
    </w:p>
    <w:p>
      <w:pPr>
        <w:spacing w:before="100" w:after="100"/>
        <w:jc w:val="both"/>
      </w:pPr>
      <w:r>
        <w:rPr>
          <w:rFonts w:ascii="Arial" w:cs="Arial" w:eastAsia="Arial" w:hAnsi="Arial"/>
          <w:b/>
          <w:bCs/>
          <w:i w:val="false"/>
          <w:iCs w:val="false"/>
          <w:color w:val="4C1D95"/>
          <w:sz w:val="24"/>
          <w:szCs w:val="24"/>
        </w:rPr>
        <w:t xml:space="preserve">Hito — 22 de abril: </w:t>
      </w:r>
      <w:r>
        <w:rPr>
          <w:rFonts w:ascii="Arial" w:cs="Arial" w:eastAsia="Arial" w:hAnsi="Arial"/>
          <w:b w:val="false"/>
          <w:bCs w:val="false"/>
          <w:i w:val="false"/>
          <w:iCs w:val="false"/>
          <w:color w:val="374151"/>
          <w:sz w:val="24"/>
          <w:szCs w:val="24"/>
        </w:rPr>
        <w:t xml:space="preserve">memoria TFG entregada, vídeo de presentación de máximo 25 minutos entregado y repositorio GitHub público y documentado.</w:t>
      </w:r>
    </w:p>
    <w:sectPr>
      <w:headerReference w:type="default" r:id="rId6"/>
      <w:footerReference w:type="default" r:id="rId7"/>
      <w:pgSz w:w="11906" w:h="16838" w:orient="portrait"/>
      <w:pgMar w:top="1440" w:right="13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after="0"/>
      <w:jc w:val="right"/>
    </w:pPr>
    <w:r>
      <w:rPr>
        <w:rFonts w:ascii="Arial" w:cs="Arial" w:eastAsia="Arial" w:hAnsi="Arial"/>
        <w:b w:val="false"/>
        <w:bCs w:val="false"/>
        <w:i w:val="false"/>
        <w:iCs w:val="false"/>
        <w:color w:val="6B7280"/>
        <w:sz w:val="18"/>
        <w:szCs w:val="18"/>
      </w:rPr>
      <w:t xml:space="preserve">Planificación Temporal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before="0" w:after="120"/>
    </w:pPr>
    <w:r>
      <w:rPr>
        <w:rFonts w:ascii="Arial" w:cs="Arial" w:eastAsia="Arial" w:hAnsi="Arial"/>
        <w:b w:val="false"/>
        <w:bCs w:val="false"/>
        <w:i w:val="false"/>
        <w:iCs w:val="false"/>
        <w:color w:val="6B7280"/>
        <w:sz w:val="18"/>
        <w:szCs w:val="18"/>
      </w:rPr>
      <w:t xml:space="preserve">StaffFlow  —  Planificación Temporal</w:t>
    </w:r>
    <w:r>
      <w:rPr>
        <w:rFonts w:ascii="Arial" w:cs="Arial" w:eastAsia="Arial" w:hAnsi="Arial"/>
        <w:b w:val="false"/>
        <w:bCs w:val="false"/>
        <w:i w:val="false"/>
        <w:iCs w:val="false"/>
        <w:color w:val="2E75B6"/>
        <w:sz w:val="18"/>
        <w:szCs w:val="18"/>
      </w:rPr>
      <w:t xml:space="preserve">   |   TFG DAM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7"/>
      <w:szCs w:val="27"/>
    </w:rPr>
  </w:style>
  <w:style w:type="paragraph" w:styleId="Heading3">
    <w:name w:val="Heading 3"/>
    <w:basedOn w:val="Normal"/>
    <w:next w:val="Normal"/>
    <w:qFormat/>
    <w:pPr>
      <w:spacing w:before="22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2026-03-04T07:59:18.095Z</dcterms:created>
  <dcterms:modified xsi:type="dcterms:W3CDTF">2026-03-04T07:59:18.096Z</dcterms:modified>
</cp:coreProperties>
</file>

<file path=docProps/custom.xml><?xml version="1.0" encoding="utf-8"?>
<Properties xmlns="http://schemas.openxmlformats.org/officeDocument/2006/custom-properties" xmlns:vt="http://schemas.openxmlformats.org/officeDocument/2006/docPropsVTypes"/>
</file>