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StaffFlow v3.0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37474F"/>
          <w:sz w:val="36"/>
          <w:szCs w:val="36"/>
        </w:rPr>
        <w:t xml:space="preserve">Diagramas de Casos de Uso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1565C0"/>
          <w:sz w:val="26"/>
          <w:szCs w:val="26"/>
        </w:rPr>
        <w:t xml:space="preserve">Fase 1 · Bloque 3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Autor: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Santiago Castillo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Centro: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iLERNA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Ciclo: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DAM · TFG 2025/2026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Ficheros fuente: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staffflow_usecase_by_role.puml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staffflow_usecase_gestion.puml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staffflow_usecase_acceso.puml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37E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Introducción y posición en el proyecto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Los diagramas de casos de uso son artefactos de análisis que responden a la pregunta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¿quién puede hacer qué en el sistema?</w:t>
      </w:r>
      <w:r>
        <w:rPr>
          <w:rFonts w:ascii="Arial" w:cs="Arial" w:eastAsia="Arial" w:hAnsi="Arial"/>
          <w:sz w:val="22"/>
          <w:szCs w:val="22"/>
        </w:rPr>
        <w:t xml:space="preserve"> antes de entrar en el detalle técnico de cómo se implementa cada operación. En StaffFlow se elaboraron en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Fase 1, Bloque 3</w:t>
      </w:r>
      <w:r>
        <w:rPr>
          <w:rFonts w:ascii="Arial" w:cs="Arial" w:eastAsia="Arial" w:hAnsi="Arial"/>
          <w:sz w:val="22"/>
          <w:szCs w:val="22"/>
        </w:rPr>
        <w:t xml:space="preserve">, una vez cerrado el modelo de datos (diagrama de clases y DDL, Bloque 2) y como paso previo a la especificación definitiva de endpoints (documento StaffFlow_Endpoints).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4"/>
              <w:left w:val="single" w:color="1565C0" w:sz="12"/>
              <w:bottom w:val="single" w:color="1565C0" w:sz="4"/>
              <w:right w:val="none" w:color="FFFFFF" w:sz="0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Orden de diseño en Fase 1: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Bloque 2: Diagrama de clases (PlantUML) → DDL MySQL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Bloque 3: Diagramas de casos de uso (PlantUML) → Especificación de endpoints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Los casos de uso definen «quién hace qué». Los endpoints concretan «verbo HTTP, ruta y DTOs». No al revés.</w:t>
            </w:r>
          </w:p>
        </w:tc>
      </w:tr>
    </w:tbl>
    <w:p>
      <w:pPr>
        <w:spacing w:before="120" w:after="8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modelado de casos de uso sirve para tres propósitos concretos en este TFG: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Documentar los requisitos funcionales de forma visual antes de escribir código.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Dejar registrado qué endpoints son accesibles por cada rol, sirviendo de base para la configuración de Spring Security.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Facilitar la revisión del tribunal: el diagrama permite verificar que la implementación es coherente con el diseño.</w:t>
      </w:r>
    </w:p>
    <w:p>
      <w:pPr>
        <w:pStyle w:val="Heading1"/>
        <w:pBdr>
          <w:bottom w:val="single" w:color="1A237E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Actores del sistema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StaffFlow define tres actores, correspondientes a los tres roles de la tabla «rol» de la base de datos: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#B71C1C (rojo)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Acceso total al sistema. No tiene perfil de empleado y nunca registra fichajes mediante PIN/NFC.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ENCARGADO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#1565C0 (azul)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Operativa diaria: gestión de fichajes, ausencias, pausas, saldos e informes. Tiene perfil de empleado y puede fichar con PIN/NFC desde el terminal.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EMPLEADO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#2E7D32 (verde)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Acceso restringido a sus propios datos. Spring Security devuelve HTTP 403 si intenta acceder a datos de otro empleado. Puede fichar con PIN/NFC.</w:t>
            </w:r>
          </w:p>
        </w:tc>
      </w:tr>
    </w:tbl>
    <w:p>
      <w:pPr>
        <w:spacing w:before="280" w:after="0"/>
      </w:pPr>
    </w:p>
    <w:p>
      <w:pPr>
        <w:pStyle w:val="Heading1"/>
        <w:pBdr>
          <w:bottom w:val="single" w:color="1A237E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Los tres diagramas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volumen total del sistema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(52 endpoints, 3 actores, 12 módulos)</w:t>
      </w:r>
      <w:r>
        <w:rPr>
          <w:rFonts w:ascii="Arial" w:cs="Arial" w:eastAsia="Arial" w:hAnsi="Arial"/>
          <w:sz w:val="22"/>
          <w:szCs w:val="22"/>
        </w:rPr>
        <w:t xml:space="preserve"> hace inviable un único diagrama PlantUML legible: Graphviz, el motor de renderizado subyacente, no puede organizar más de ~30 nodos con flechas en un solo gráfico. La solución adoptada es dividir en tres diagramas complementarios, cada uno con un propósito distinto.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13"/>
        <w:gridCol w:w="3213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Enfoque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staffflow_usecase_by_role.puml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Actor → Módulo (vista global)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Visión completa del sistema para el tribunal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staffflow_usecase_gestion.puml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 + ENCARGADO, módulos de gestión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Detalle de permisos en back-office (requiere JWT)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staffflow_usecase_acceso.puml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actores, Auth + Terminal + Datos propios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Endpoints públicos y autenticación PIN/NFC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3.1 Diagrama por rol (vista global)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fichero </w:t>
      </w:r>
      <w:r>
        <w:rPr>
          <w:rFonts w:ascii="Courier New" w:cs="Courier New" w:eastAsia="Courier New" w:hAnsi="Courier New"/>
          <w:sz w:val="22"/>
          <w:szCs w:val="22"/>
        </w:rPr>
        <w:t xml:space="preserve">staffflow_usecase_by_role.puml</w:t>
      </w:r>
      <w:r>
        <w:rPr>
          <w:rFonts w:ascii="Arial" w:cs="Arial" w:eastAsia="Arial" w:hAnsi="Arial"/>
          <w:sz w:val="22"/>
          <w:szCs w:val="22"/>
        </w:rPr>
        <w:t xml:space="preserve"> muestra los 12 módulos del sistema y qué actores tienen acceso a cada uno. Cada nodo representa un módulo completo con sus endpoints listados internamente, en lugar de conectar cada flecha a un endpoint individual. Este diseño reduce las conexiones a 25 flechas, permitiendo que Graphviz genere un gráfico legible.</w:t>
      </w:r>
    </w:p>
    <w:p>
      <w:pPr>
        <w:spacing w:before="80"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3238500" cy="790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1 — staffflow_usecase_by_role: los tres actores conectados a sus módulos accesibles</w:t>
      </w:r>
    </w:p>
    <w:p>
      <w:pPr>
        <w:spacing w:before="120" w:after="8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Las decisiones de diseño reflejadas en este diagrama son: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no conecta al módulo Terminal porque nunca registra fichajes mediante PIN/NFC. Su acceso es exclusivamente por API REST con JWT.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ENCARGADO y EMPLEADO sí acceden al Terminal porque ambos tienen perfil de empleado en la base de datos.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EMPLEADO solo aparece conectado a los módulos donde tiene acceso real: Auth, Fichajes (solo E24), Ausencias (solo E32), Saldos (solo E39), Informes (sus propios) y Terminal.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 módulos Empresa y Usuarios son exclusivos de ADMIN: contienen configuración global y gestión de cuentas.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3.2 Diagrama de gestión (ADMIN + ENCARGADO)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fichero </w:t>
      </w:r>
      <w:r>
        <w:rPr>
          <w:rFonts w:ascii="Courier New" w:cs="Courier New" w:eastAsia="Courier New" w:hAnsi="Courier New"/>
          <w:sz w:val="22"/>
          <w:szCs w:val="22"/>
        </w:rPr>
        <w:t xml:space="preserve">staffflow_usecase_gestion.puml</w:t>
      </w:r>
      <w:r>
        <w:rPr>
          <w:rFonts w:ascii="Arial" w:cs="Arial" w:eastAsia="Arial" w:hAnsi="Arial"/>
          <w:sz w:val="22"/>
          <w:szCs w:val="22"/>
        </w:rPr>
        <w:t xml:space="preserve"> detalla los módulos de back-office que requieren JWT. Los dos actores con rol de gestión (ADMIN y ENCARGADO) aparecen conectados a los módulos a los que tienen acceso, con notas que identifican los endpoints exclusivos de ADMIN dentro de módulos compartidos.</w:t>
      </w:r>
    </w:p>
    <w:p>
      <w:pPr>
        <w:spacing w:before="80"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3524250" cy="767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2 — staffflow_usecase_gestion: ADMIN accede a todos los módulos de gestión; ENCARGADO a los operativos</w:t>
      </w:r>
    </w:p>
    <w:p>
      <w:pPr>
        <w:spacing w:before="120" w:after="8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Restricciones específicas de este diagrama: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 y Usuarios:</w:t>
      </w:r>
      <w:r>
        <w:rPr>
          <w:rFonts w:ascii="Arial" w:cs="Arial" w:eastAsia="Arial" w:hAnsi="Arial"/>
          <w:sz w:val="22"/>
          <w:szCs w:val="22"/>
        </w:rPr>
        <w:t xml:space="preserve"> solo ADMIN. Contienen operaciones de configuración global (nombre, CIF, logo) y gestión de cuentas de usuario que no forman parte de la operativa diaria.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Saldos E40/E41:</w:t>
      </w:r>
      <w:r>
        <w:rPr>
          <w:rFonts w:ascii="Arial" w:cs="Arial" w:eastAsia="Arial" w:hAnsi="Arial"/>
          <w:sz w:val="22"/>
          <w:szCs w:val="22"/>
        </w:rPr>
        <w:t xml:space="preserve"> recalcular saldo manualmente y ejecutar el cierre anual son acciones destructivas que solo puede realizar el ADMIN (Decisión nº2).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Ausencias E34:</w:t>
      </w:r>
      <w:r>
        <w:rPr>
          <w:rFonts w:ascii="Arial" w:cs="Arial" w:eastAsia="Arial" w:hAnsi="Arial"/>
          <w:sz w:val="22"/>
          <w:szCs w:val="22"/>
        </w:rPr>
        <w:t xml:space="preserve"> el DELETE solo es posible si el campo procesado=false. Disponible para ADMIN y ENCARGADO, pero nunca para EMPLEADO.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Empleados E13/E17–21:</w:t>
      </w:r>
      <w:r>
        <w:rPr>
          <w:rFonts w:ascii="Arial" w:cs="Arial" w:eastAsia="Arial" w:hAnsi="Arial"/>
          <w:sz w:val="22"/>
          <w:szCs w:val="22"/>
        </w:rPr>
        <w:t xml:space="preserve"> la creación, actualización completa (PUT), baja lógica y regeneración de credenciales son exclusivas de ADMIN. ENCARGADO solo puede listar, consultar y buscar.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3.3 Diagrama de acceso (Auth + Terminal + Datos propios)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fichero </w:t>
      </w:r>
      <w:r>
        <w:rPr>
          <w:rFonts w:ascii="Courier New" w:cs="Courier New" w:eastAsia="Courier New" w:hAnsi="Courier New"/>
          <w:sz w:val="22"/>
          <w:szCs w:val="22"/>
        </w:rPr>
        <w:t xml:space="preserve">staffflow_usecase_acceso.puml</w:t>
      </w:r>
      <w:r>
        <w:rPr>
          <w:rFonts w:ascii="Arial" w:cs="Arial" w:eastAsia="Arial" w:hAnsi="Arial"/>
          <w:sz w:val="22"/>
          <w:szCs w:val="22"/>
        </w:rPr>
        <w:t xml:space="preserve"> agrupa los endpoints públicos y los relacionados con la identidad del usuario: autenticación, datos propios y la cadena del terminal de fichaje. Es el diagrama más horizontal porque incluye los tres actores y varios módulos sin JWT.</w:t>
      </w:r>
    </w:p>
    <w:p>
      <w:pPr>
        <w:spacing w:before="80"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4762500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3 — staffflow_usecase_acceso: Auth, Terminal (sin JWT) y datos propios para los tres roles</w:t>
      </w:r>
    </w:p>
    <w:p>
      <w:pPr>
        <w:spacing w:before="120" w:after="8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Aspectos relevantes de este diagrama: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E04 y E05 (reset de contraseña):</w:t>
      </w:r>
      <w:r>
        <w:rPr>
          <w:rFonts w:ascii="Arial" w:cs="Arial" w:eastAsia="Arial" w:hAnsi="Arial"/>
          <w:sz w:val="22"/>
          <w:szCs w:val="22"/>
        </w:rPr>
        <w:t xml:space="preserve"> son endpoints públicos, sin JWT. El token de reset tiene uso único y expira en 30 minutos (RNF-S04, Decisión nº9).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Terminal [SIN JWT]:</w:t>
      </w:r>
      <w:r>
        <w:rPr>
          <w:rFonts w:ascii="Arial" w:cs="Arial" w:eastAsia="Arial" w:hAnsi="Arial"/>
          <w:sz w:val="22"/>
          <w:szCs w:val="22"/>
        </w:rPr>
        <w:t xml:space="preserve"> los endpoints E48–E51 utilizan autenticación por PIN de 6 dígitos o tarjeta NFC. Tras 5 intentos fallidos se activa un bloqueo de 30 segundos (Decisión nº16, RNF-S05).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Datos propios:</w:t>
      </w:r>
      <w:r>
        <w:rPr>
          <w:rFonts w:ascii="Arial" w:cs="Arial" w:eastAsia="Arial" w:hAnsi="Arial"/>
          <w:sz w:val="22"/>
          <w:szCs w:val="22"/>
        </w:rPr>
        <w:t xml:space="preserve"> EMPLEADO puede consultar su fichaje (E24), su ausencia (E32), su saldo anual (E39) y sus informes (E42, E43, E45, E46). Spring Security rechaza con HTTP 403 cualquier intento de acceder a datos de otro empleado (Decisión nº10 y nº14).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E52 (health check):</w:t>
      </w:r>
      <w:r>
        <w:rPr>
          <w:rFonts w:ascii="Arial" w:cs="Arial" w:eastAsia="Arial" w:hAnsi="Arial"/>
          <w:sz w:val="22"/>
          <w:szCs w:val="22"/>
        </w:rPr>
        <w:t xml:space="preserve"> endpoint público GET /api/health que devuelve {status: UP}. Sin autenticación.</w:t>
      </w:r>
    </w:p>
    <w:p>
      <w:r>
        <w:br w:type="page"/>
      </w:r>
    </w:p>
    <w:p>
      <w:pPr>
        <w:pStyle w:val="Heading1"/>
        <w:pBdr>
          <w:bottom w:val="single" w:color="1A237E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Tabla resumen de acceso por módulo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siguiente tabla consolida el acceso de los tres roles sobre cada módulo. Los endpoints marcados con (*) son de solo lectura de datos propios para EMPLEADO, con Spring Security aplicando el filtro por ID.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42"/>
        <w:gridCol w:w="2142"/>
        <w:gridCol w:w="2142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ENCARGADO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EMPLEADO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 /api/v1/auth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E01–E03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E01–E03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E01–E05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Empresa /api/v1/empresa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E06–E07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Usuarios /api/v1/usuarios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E08–E12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Empleados /api/v1/empleados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E13–E21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E14–E16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Fichajes /api/v1/fichajes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E22–E26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E22–E26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E24 (*)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Pausas /api/v1/pausas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E27–E29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E27–E29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Ausencias /api/v1/ausencias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E30–E34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E30–E34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E32 (*)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Presencia /api/v1/presencia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E35–E37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E35–E37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Saldos /api/v1/saldos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E38–E41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E38–E39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E39 (*)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Informes /api/v1/informes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E42–E47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E42–E47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E42–E43, E45–E46 (*)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Terminal /api/v1/terminal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E48–E51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E48–E51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 /api/health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E52 (pub.)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E52 (pub.)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E52 (pub.)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4"/>
              <w:left w:val="single" w:color="1565C0" w:sz="12"/>
              <w:bottom w:val="single" w:color="1565C0" w:sz="4"/>
              <w:right w:val="none" w:color="FFFFFF" w:sz="0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(*) EMPLEADO accede únicamente a sus propios registros. El controlador recibe el ID del empleado desde el token JWT (no del path variable), y Spring Security verifica que el empleado autenticado coincida con el recurso solicitado.</w:t>
            </w:r>
          </w:p>
        </w:tc>
      </w:tr>
    </w:tbl>
    <w:p>
      <w:pPr>
        <w:spacing w:before="280" w:after="0"/>
      </w:pPr>
    </w:p>
    <w:p>
      <w:pPr>
        <w:pStyle w:val="Heading1"/>
        <w:pBdr>
          <w:bottom w:val="single" w:color="1A237E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Herramienta y regeneración de los diagramas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Los tres diagramas están escritos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PlantUML</w:t>
      </w:r>
      <w:r>
        <w:rPr>
          <w:rFonts w:ascii="Arial" w:cs="Arial" w:eastAsia="Arial" w:hAnsi="Arial"/>
          <w:sz w:val="22"/>
          <w:szCs w:val="22"/>
        </w:rPr>
        <w:t xml:space="preserve"> y se pueden regenerar en cualquier momento sin instalar software adicional: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plantuml.com/plantuml/uml/</w:t>
      </w:r>
      <w:r>
        <w:rPr>
          <w:rFonts w:ascii="Arial" w:cs="Arial" w:eastAsia="Arial" w:hAnsi="Arial"/>
          <w:sz w:val="22"/>
          <w:szCs w:val="22"/>
        </w:rPr>
        <w:t xml:space="preserve"> — pegar el contenido del .puml y descargar el PNG.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IntelliJ IDEA</w:t>
      </w:r>
      <w:r>
        <w:rPr>
          <w:rFonts w:ascii="Arial" w:cs="Arial" w:eastAsia="Arial" w:hAnsi="Arial"/>
          <w:sz w:val="22"/>
          <w:szCs w:val="22"/>
        </w:rPr>
        <w:t xml:space="preserve"> con el plugin «PlantUML Integration» — previsualización en tiempo real al editar el .puml.</w:t>
      </w:r>
    </w:p>
    <w:p>
      <w:pPr>
        <w:spacing w:before="80" w:after="8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Los ficheros fuente se encuentran en la raíz del repositorio junto al resto de artefactos de diseño: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staffflow_usecase_by_role.puml  /  .png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staffflow_usecase_gestion.puml  /  .png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staffflow_usecase_acceso.puml   /  .png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4"/>
              <w:left w:val="single" w:color="1565C0" w:sz="12"/>
              <w:bottom w:val="single" w:color="1565C0" w:sz="4"/>
              <w:right w:val="none" w:color="FFFFFF" w:sz="0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Nota sobre el motor de renderizado: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PlantUML usa Graphviz internamente. Con más de ~30 nodos individuales y muchas flechas, el layout se vuelve ilegible independientemente de la orientación. La decisión de conectar actores a módulos completos (en lugar de a cada endpoint) es deliberada y reduce la complejidad visual manteniendo toda la información relevante.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200"/>
    </w:pPr>
    <w:r>
      <w:rPr>
        <w:rFonts w:ascii="Arial" w:cs="Arial" w:eastAsia="Arial" w:hAnsi="Arial"/>
        <w:color w:val="888888"/>
        <w:sz w:val="18"/>
        <w:szCs w:val="18"/>
      </w:rPr>
      <w:t xml:space="preserve">Santiago Castillo  ·  iLERNA DAM 2025/2026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StaffFlow v3.0  ·  Diagramas de Casos de Uso  ·  Fase 1, Bloque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747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6be098bd9872b785b6342006e30310bdc809986.jpg"/><Relationship Id="rId9" Type="http://schemas.openxmlformats.org/officeDocument/2006/relationships/image" Target="media/77e2b8bbce0b6b0f0f1641ade6bdbd0dd075facf.jpg"/><Relationship Id="rId10" Type="http://schemas.openxmlformats.org/officeDocument/2006/relationships/image" Target="media/af9b8eb5bbae34fccd8b13a018577a73c38b6573.jp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2026-03-09T15:58:39.370Z</dcterms:created>
  <dcterms:modified xsi:type="dcterms:W3CDTF">2026-03-09T15:58:39.371Z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