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ind w:left="-5" w:firstLine="0"/>
        <w:jc w:val="center"/>
        <w:rPr>
          <w:rFonts w:ascii="Garamond" w:cs="Garamond" w:eastAsia="Garamond" w:hAnsi="Garamond"/>
          <w:b w:val="1"/>
          <w:sz w:val="45"/>
          <w:szCs w:val="45"/>
        </w:rPr>
      </w:pPr>
      <w:r w:rsidDel="00000000" w:rsidR="00000000" w:rsidRPr="00000000">
        <w:rPr>
          <w:rFonts w:ascii="Garamond" w:cs="Garamond" w:eastAsia="Garamond" w:hAnsi="Garamond"/>
          <w:b w:val="1"/>
          <w:sz w:val="45"/>
          <w:szCs w:val="45"/>
          <w:rtl w:val="0"/>
        </w:rPr>
        <w:t xml:space="preserve">Universidad Tecnológica Nacional </w:t>
      </w:r>
    </w:p>
    <w:p w:rsidR="00000000" w:rsidDel="00000000" w:rsidP="00000000" w:rsidRDefault="00000000" w:rsidRPr="00000000" w14:paraId="00000002">
      <w:pPr>
        <w:spacing w:line="259" w:lineRule="auto"/>
        <w:ind w:left="-5" w:firstLine="0"/>
        <w:jc w:val="center"/>
        <w:rPr>
          <w:rFonts w:ascii="Garamond" w:cs="Garamond" w:eastAsia="Garamond" w:hAnsi="Garamond"/>
          <w:b w:val="1"/>
          <w:sz w:val="45"/>
          <w:szCs w:val="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59" w:lineRule="auto"/>
        <w:ind w:left="-5" w:firstLine="0"/>
        <w:jc w:val="center"/>
        <w:rPr>
          <w:rFonts w:ascii="Garamond" w:cs="Garamond" w:eastAsia="Garamond" w:hAnsi="Garamond"/>
          <w:b w:val="1"/>
          <w:sz w:val="45"/>
          <w:szCs w:val="45"/>
        </w:rPr>
      </w:pPr>
      <w:r w:rsidDel="00000000" w:rsidR="00000000" w:rsidRPr="00000000">
        <w:rPr>
          <w:rFonts w:ascii="Garamond" w:cs="Garamond" w:eastAsia="Garamond" w:hAnsi="Garamond"/>
          <w:b w:val="1"/>
          <w:sz w:val="45"/>
          <w:szCs w:val="45"/>
          <w:rtl w:val="0"/>
        </w:rPr>
        <w:t xml:space="preserve">Diseño de Sistemas </w:t>
      </w:r>
    </w:p>
    <w:p w:rsidR="00000000" w:rsidDel="00000000" w:rsidP="00000000" w:rsidRDefault="00000000" w:rsidRPr="00000000" w14:paraId="00000004">
      <w:pPr>
        <w:spacing w:line="259" w:lineRule="auto"/>
        <w:ind w:left="-5" w:firstLine="0"/>
        <w:jc w:val="center"/>
        <w:rPr>
          <w:rFonts w:ascii="Garamond" w:cs="Garamond" w:eastAsia="Garamond" w:hAnsi="Garamond"/>
          <w:b w:val="1"/>
          <w:sz w:val="45"/>
          <w:szCs w:val="4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120" w:before="480" w:line="259" w:lineRule="auto"/>
        <w:ind w:left="-5" w:firstLine="0"/>
        <w:jc w:val="center"/>
        <w:rPr>
          <w:rFonts w:ascii="Garamond" w:cs="Garamond" w:eastAsia="Garamond" w:hAnsi="Garamond"/>
          <w:sz w:val="45"/>
          <w:szCs w:val="45"/>
          <w:u w:val="single"/>
        </w:rPr>
      </w:pPr>
      <w:bookmarkStart w:colFirst="0" w:colLast="0" w:name="_mt3rztk9mpya" w:id="0"/>
      <w:bookmarkEnd w:id="0"/>
      <w:r w:rsidDel="00000000" w:rsidR="00000000" w:rsidRPr="00000000">
        <w:rPr>
          <w:rFonts w:ascii="Garamond" w:cs="Garamond" w:eastAsia="Garamond" w:hAnsi="Garamond"/>
          <w:b w:val="1"/>
          <w:sz w:val="47"/>
          <w:szCs w:val="47"/>
          <w:u w:val="single"/>
          <w:rtl w:val="0"/>
        </w:rPr>
        <w:t xml:space="preserve">Modelo de Pruebas Tipo Caso   </w:t>
      </w:r>
      <w:r w:rsidDel="00000000" w:rsidR="00000000" w:rsidRPr="00000000">
        <w:rPr>
          <w:rFonts w:ascii="Garamond" w:cs="Garamond" w:eastAsia="Garamond" w:hAnsi="Garamond"/>
          <w:sz w:val="45"/>
          <w:szCs w:val="45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59" w:lineRule="auto"/>
        <w:ind w:left="-5" w:firstLine="0"/>
        <w:jc w:val="center"/>
        <w:rPr>
          <w:rFonts w:ascii="Garamond" w:cs="Garamond" w:eastAsia="Garamond" w:hAnsi="Garamond"/>
          <w:sz w:val="43"/>
          <w:szCs w:val="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59" w:lineRule="auto"/>
        <w:ind w:left="-5" w:firstLine="0"/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45"/>
          <w:szCs w:val="45"/>
          <w:rtl w:val="0"/>
        </w:rPr>
        <w:t xml:space="preserve">Los Resurgidos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ind w:left="-5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59" w:lineRule="auto"/>
        <w:ind w:left="10"/>
        <w:jc w:val="center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3"/>
          <w:szCs w:val="23"/>
        </w:rPr>
        <w:drawing>
          <wp:inline distB="114300" distT="114300" distL="114300" distR="114300">
            <wp:extent cx="4977048" cy="4710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7048" cy="471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ind w:left="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rFonts w:ascii="Garamond" w:cs="Garamond" w:eastAsia="Garamond" w:hAnsi="Garamond"/>
          <w:b w:val="1"/>
          <w:sz w:val="23"/>
          <w:szCs w:val="23"/>
          <w:u w:val="single"/>
        </w:rPr>
      </w:pPr>
      <w:r w:rsidDel="00000000" w:rsidR="00000000" w:rsidRPr="00000000">
        <w:rPr>
          <w:rFonts w:ascii="Garamond" w:cs="Garamond" w:eastAsia="Garamond" w:hAnsi="Garamond"/>
          <w:b w:val="1"/>
          <w:sz w:val="27"/>
          <w:szCs w:val="27"/>
          <w:u w:val="single"/>
          <w:rtl w:val="0"/>
        </w:rPr>
        <w:t xml:space="preserve">Descripción de Escenarios Resultantes</w:t>
      </w:r>
      <w:r w:rsidDel="00000000" w:rsidR="00000000" w:rsidRPr="00000000">
        <w:rPr>
          <w:rtl w:val="0"/>
        </w:rPr>
      </w:r>
    </w:p>
    <w:tbl>
      <w:tblPr>
        <w:tblStyle w:val="Table1"/>
        <w:tblW w:w="9140.511811023625" w:type="dxa"/>
        <w:jc w:val="left"/>
        <w:tblInd w:w="-48.0" w:type="dxa"/>
        <w:tblLayout w:type="fixed"/>
        <w:tblLook w:val="0400"/>
      </w:tblPr>
      <w:tblGrid>
        <w:gridCol w:w="938.0384427357294"/>
        <w:gridCol w:w="2445.5305762798434"/>
        <w:gridCol w:w="1476.289191582011"/>
        <w:gridCol w:w="1846.8241273819872"/>
        <w:gridCol w:w="1216.9147365220274"/>
        <w:gridCol w:w="1216.9147365220274"/>
        <w:tblGridChange w:id="0">
          <w:tblGrid>
            <w:gridCol w:w="938.0384427357294"/>
            <w:gridCol w:w="2445.5305762798434"/>
            <w:gridCol w:w="1476.289191582011"/>
            <w:gridCol w:w="1846.8241273819872"/>
            <w:gridCol w:w="1216.9147365220274"/>
            <w:gridCol w:w="1216.9147365220274"/>
          </w:tblGrid>
        </w:tblGridChange>
      </w:tblGrid>
      <w:tr>
        <w:trPr>
          <w:trHeight w:val="653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1">
            <w:pPr>
              <w:spacing w:after="13" w:line="22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ID Caso de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right="190"/>
              <w:jc w:val="right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Prueba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3">
            <w:pPr>
              <w:spacing w:line="240" w:lineRule="auto"/>
              <w:ind w:right="172"/>
              <w:jc w:val="right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Descripción del Escenario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4">
            <w:pPr>
              <w:spacing w:line="240" w:lineRule="auto"/>
              <w:ind w:left="7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Tipo de resultado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Caso de Uso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relacionado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Construcción relacionada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rFonts w:ascii="Verdana" w:cs="Verdana" w:eastAsia="Verdana" w:hAnsi="Verdana"/>
                <w:i w:val="1"/>
                <w:sz w:val="17"/>
                <w:szCs w:val="17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7"/>
                <w:szCs w:val="17"/>
                <w:rtl w:val="0"/>
              </w:rPr>
              <w:t xml:space="preserve">Nro Página</w:t>
            </w:r>
          </w:p>
        </w:tc>
      </w:tr>
      <w:tr>
        <w:trPr>
          <w:trHeight w:val="27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BT001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9">
            <w:pPr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Dar de Baja a un TipoCaso con codTipoCaso existente , con nombreTipoCaso distinto de nulo y fechaFinVigencia igual a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Éxito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B">
            <w:pPr>
              <w:spacing w:line="240" w:lineRule="auto"/>
              <w:ind w:left="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ABMTipoCaso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>
                <w:rFonts w:ascii="Verdana" w:cs="Verdana" w:eastAsia="Verdana" w:hAnsi="Verdana"/>
                <w:sz w:val="19"/>
                <w:szCs w:val="19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2</w:t>
            </w:r>
          </w:p>
        </w:tc>
      </w:tr>
      <w:tr>
        <w:trPr>
          <w:trHeight w:val="264" w:hRule="atLeast"/>
        </w:trPr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i w:val="1"/>
                <w:sz w:val="19"/>
                <w:szCs w:val="19"/>
                <w:rtl w:val="0"/>
              </w:rPr>
              <w:t xml:space="preserve"> BT002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1F">
            <w:pPr>
              <w:spacing w:line="240" w:lineRule="auto"/>
              <w:ind w:left="2" w:firstLine="0"/>
              <w:rPr>
                <w:rFonts w:ascii="Garamond" w:cs="Garamond" w:eastAsia="Garamond" w:hAnsi="Garamond"/>
                <w:sz w:val="23"/>
                <w:szCs w:val="23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3"/>
                <w:szCs w:val="23"/>
                <w:rtl w:val="0"/>
              </w:rPr>
              <w:t xml:space="preserve">Dar de Baja un TipoCaso con codTipoCaso existente y fechaFinVigencia distinta de null</w:t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Fracaso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1">
            <w:pPr>
              <w:spacing w:line="240" w:lineRule="auto"/>
              <w:ind w:left="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ABMTipoCaso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3365" w:space="0" w:sz="4" w:val="single"/>
              <w:left w:color="003365" w:space="0" w:sz="4" w:val="single"/>
              <w:bottom w:color="003365" w:space="0" w:sz="4" w:val="single"/>
              <w:right w:color="003365" w:space="0" w:sz="4" w:val="single"/>
            </w:tcBorders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>
                <w:rFonts w:ascii="Verdana" w:cs="Verdana" w:eastAsia="Verdana" w:hAnsi="Verdana"/>
                <w:sz w:val="19"/>
                <w:szCs w:val="19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3</w:t>
            </w:r>
          </w:p>
        </w:tc>
      </w:tr>
    </w:tbl>
    <w:p w:rsidR="00000000" w:rsidDel="00000000" w:rsidP="00000000" w:rsidRDefault="00000000" w:rsidRPr="00000000" w14:paraId="00000024">
      <w:pPr>
        <w:spacing w:line="259" w:lineRule="auto"/>
        <w:ind w:left="14" w:firstLine="0"/>
        <w:rPr>
          <w:rFonts w:ascii="Garamond" w:cs="Garamond" w:eastAsia="Garamond" w:hAnsi="Garamond"/>
          <w:b w:val="1"/>
          <w:sz w:val="23"/>
          <w:szCs w:val="23"/>
          <w:u w:val="singl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ind w:left="14" w:firstLine="0"/>
        <w:rPr>
          <w:rFonts w:ascii="Garamond" w:cs="Garamond" w:eastAsia="Garamond" w:hAnsi="Garamond"/>
          <w:b w:val="1"/>
          <w:sz w:val="23"/>
          <w:szCs w:val="23"/>
          <w:u w:val="singl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2"/>
        <w:tblW w:w="8325.0" w:type="dxa"/>
        <w:jc w:val="left"/>
        <w:tblInd w:w="826.0" w:type="dxa"/>
        <w:tblLayout w:type="fixed"/>
        <w:tblLook w:val="0400"/>
      </w:tblPr>
      <w:tblGrid>
        <w:gridCol w:w="915"/>
        <w:gridCol w:w="7410"/>
        <w:tblGridChange w:id="0">
          <w:tblGrid>
            <w:gridCol w:w="915"/>
            <w:gridCol w:w="7410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6">
            <w:pPr>
              <w:spacing w:after="20" w:line="240" w:lineRule="auto"/>
              <w:ind w:left="381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BT001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9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Dar de Baja a un TipoCaso con fechaFinVigenciaTC nula, con codTipoCaso  existente , con nombreTipoCaso distinto de nulo.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B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D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ABMTipoCaso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F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CodTipoCaso=1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1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Instancia de TipoCaso  con codTipoCaso=1 existente con nombreTipoCaso “Lentitud del servicio”  y fechaFinVigenciaTipoCaso=null. Instancia de TipoCaso existente y vigente con código 2 y nombreTipoCaso=“Cortes intermitentes del Servicio”. Instancia de TipoCaso existente y no vigente con código 3 y nombreTipoCaso=“Sin Servicio”. </w:t>
            </w:r>
          </w:p>
          <w:p w:rsidR="00000000" w:rsidDel="00000000" w:rsidP="00000000" w:rsidRDefault="00000000" w:rsidRPr="00000000" w14:paraId="00000033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FechaActual=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34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spacing w:line="240" w:lineRule="auto"/>
              <w:rPr>
                <w:rFonts w:ascii="Verdana" w:cs="Verdana" w:eastAsia="Verdana" w:hAnsi="Verdana"/>
                <w:b w:val="1"/>
                <w:sz w:val="17"/>
                <w:szCs w:val="17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Procedimiento de prueba: </w:t>
            </w:r>
          </w:p>
          <w:p w:rsidR="00000000" w:rsidDel="00000000" w:rsidP="00000000" w:rsidRDefault="00000000" w:rsidRPr="00000000" w14:paraId="00000036">
            <w:pPr>
              <w:spacing w:line="240" w:lineRule="auto"/>
              <w:rPr>
                <w:rFonts w:ascii="Verdana" w:cs="Verdana" w:eastAsia="Verdana" w:hAnsi="Verdana"/>
                <w:b w:val="1"/>
                <w:sz w:val="17"/>
                <w:szCs w:val="17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5220.0" w:type="dxa"/>
              <w:jc w:val="left"/>
              <w:tblInd w:w="20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35"/>
              <w:gridCol w:w="2685"/>
              <w:tblGridChange w:id="0">
                <w:tblGrid>
                  <w:gridCol w:w="2535"/>
                  <w:gridCol w:w="2685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8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9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3"/>
                      <w:szCs w:val="23"/>
                      <w:rtl w:val="0"/>
                    </w:rPr>
                    <w:t xml:space="preserve">0)Presionar el botón “ABM  TipoCaso”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A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B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1)Seleccionar el TipoCaso con Cod. TipoCaso igual a 1.</w:t>
                  </w:r>
                </w:p>
                <w:p w:rsidR="00000000" w:rsidDel="00000000" w:rsidP="00000000" w:rsidRDefault="00000000" w:rsidRPr="00000000" w14:paraId="0000003C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D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2)Presionar el botón “Dar Baja”</w:t>
                  </w:r>
                </w:p>
                <w:p w:rsidR="00000000" w:rsidDel="00000000" w:rsidP="00000000" w:rsidRDefault="00000000" w:rsidRPr="00000000" w14:paraId="0000003E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3F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0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1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2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3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4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4) Presionar el botón “Sí”</w:t>
                  </w:r>
                </w:p>
                <w:p w:rsidR="00000000" w:rsidDel="00000000" w:rsidP="00000000" w:rsidRDefault="00000000" w:rsidRPr="00000000" w14:paraId="00000045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6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7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6)Presionar el botón “Aceptar”</w:t>
                  </w:r>
                </w:p>
                <w:p w:rsidR="00000000" w:rsidDel="00000000" w:rsidP="00000000" w:rsidRDefault="00000000" w:rsidRPr="00000000" w14:paraId="00000048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9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7)Presionar el botón “Volver”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A">
                  <w:pPr>
                    <w:widowControl w:val="0"/>
                    <w:spacing w:line="240" w:lineRule="auto"/>
                    <w:rPr>
                      <w:rFonts w:ascii="Verdana" w:cs="Verdana" w:eastAsia="Verdana" w:hAnsi="Verdan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B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C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D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E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4F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0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1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2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53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3) Se mostrará la interfaz TC005.</w:t>
                  </w: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 “¿Está seguro que desea confirmar la baja?” </w:t>
                  </w:r>
                </w:p>
                <w:p w:rsidR="00000000" w:rsidDel="00000000" w:rsidP="00000000" w:rsidRDefault="00000000" w:rsidRPr="00000000" w14:paraId="00000054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rFonts w:ascii="Garamond" w:cs="Garamond" w:eastAsia="Garamond" w:hAnsi="Garamond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cod Tipo Caso :1</w:t>
                  </w:r>
                </w:p>
                <w:p w:rsidR="00000000" w:rsidDel="00000000" w:rsidP="00000000" w:rsidRDefault="00000000" w:rsidRPr="00000000" w14:paraId="00000055">
                  <w:pPr>
                    <w:numPr>
                      <w:ilvl w:val="0"/>
                      <w:numId w:val="1"/>
                    </w:numPr>
                    <w:spacing w:line="240" w:lineRule="auto"/>
                    <w:ind w:left="720" w:hanging="360"/>
                    <w:rPr>
                      <w:rFonts w:ascii="Garamond" w:cs="Garamond" w:eastAsia="Garamond" w:hAnsi="Garamond"/>
                      <w:sz w:val="21"/>
                      <w:szCs w:val="21"/>
                      <w:u w:val="none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Nombre TipoCaso: Lentitud de servicio</w:t>
                  </w:r>
                </w:p>
                <w:p w:rsidR="00000000" w:rsidDel="00000000" w:rsidP="00000000" w:rsidRDefault="00000000" w:rsidRPr="00000000" w14:paraId="00000056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5)Se mostrará el mensaje “Tipo Caso dado de baja”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57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8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5A">
            <w:pPr>
              <w:spacing w:line="240" w:lineRule="auto"/>
              <w:ind w:left="434" w:right="43" w:hanging="18.999999999999986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7"/>
                <w:szCs w:val="17"/>
                <w:rtl w:val="0"/>
              </w:rPr>
              <w:t xml:space="preserve"> 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Desde la interfaz principal TC001 se selecciona el Cod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igual a uno y se observa que la F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echa Fin Vigencia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 de vacío cambio a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Fin Vigencia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TipoCaso igual a F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echa Actual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dando de baja el tipo caso.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5D">
      <w:pPr>
        <w:spacing w:line="259" w:lineRule="auto"/>
        <w:ind w:left="14" w:firstLine="0"/>
        <w:rPr>
          <w:rFonts w:ascii="Garamond" w:cs="Garamond" w:eastAsia="Garamond" w:hAnsi="Garamond"/>
          <w:b w:val="1"/>
          <w:sz w:val="23"/>
          <w:szCs w:val="23"/>
          <w:u w:val="single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</w:t>
      </w:r>
      <w:r w:rsidDel="00000000" w:rsidR="00000000" w:rsidRPr="00000000">
        <w:rPr>
          <w:rtl w:val="0"/>
        </w:rPr>
      </w:r>
    </w:p>
    <w:tbl>
      <w:tblPr>
        <w:tblStyle w:val="Table4"/>
        <w:tblW w:w="8158.000000000001" w:type="dxa"/>
        <w:jc w:val="left"/>
        <w:tblInd w:w="1006.0" w:type="dxa"/>
        <w:tblLayout w:type="fixed"/>
        <w:tblLook w:val="0400"/>
      </w:tblPr>
      <w:tblGrid>
        <w:gridCol w:w="742"/>
        <w:gridCol w:w="7416"/>
        <w:tblGridChange w:id="0">
          <w:tblGrid>
            <w:gridCol w:w="742"/>
            <w:gridCol w:w="7416"/>
          </w:tblGrid>
        </w:tblGridChange>
      </w:tblGrid>
      <w:tr>
        <w:trPr>
          <w:trHeight w:val="517" w:hRule="atLeast"/>
        </w:trPr>
        <w:tc>
          <w:tcPr>
            <w:tcBorders>
              <w:top w:color="000000" w:space="0" w:sz="4" w:val="single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5E">
            <w:pPr>
              <w:spacing w:after="20" w:line="240" w:lineRule="auto"/>
              <w:ind w:left="381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60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Identificación del Caso de Prueba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BT002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1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Descripción del escenario: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Dar de Baja un TipoCaso con codTipoCaso existente, con nombreTipoCaso distinto de null  y fechaFinVigencia distinta de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3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Construcción relacionada: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6.2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5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Caso de Uso relacionado: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ABM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2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7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Datos de entrada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: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CodTipoCaso=3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9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Estado inicial: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Instancia de TipoCaso  con codTipoCaso=1 existente con nombreTipoCaso “Lentitud del servicio”  y fechaFinVigenciaTipoCaso=null. Instancia de TipoCaso existente y vigente con código 2 y nombreTipoCaso “Cortes intermitentes del Servicio”. Instancia de TipoCaso existente y no vigente con código 3 y nombreTipoCaso “Sin Servicio”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6B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Procedimiento de prueba: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4710.0" w:type="dxa"/>
              <w:jc w:val="left"/>
              <w:tblInd w:w="25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580"/>
              <w:gridCol w:w="2130"/>
              <w:tblGridChange w:id="0">
                <w:tblGrid>
                  <w:gridCol w:w="2580"/>
                  <w:gridCol w:w="2130"/>
                </w:tblGrid>
              </w:tblGridChange>
            </w:tblGrid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E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Accionar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F">
                  <w:pPr>
                    <w:widowControl w:val="0"/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Resultado esperado</w:t>
                  </w:r>
                </w:p>
              </w:tc>
            </w:tr>
            <w:t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0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0)Presionar el botón “ABM  TipoCaso”</w:t>
                  </w:r>
                </w:p>
                <w:p w:rsidR="00000000" w:rsidDel="00000000" w:rsidP="00000000" w:rsidRDefault="00000000" w:rsidRPr="00000000" w14:paraId="00000071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2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1)Seleccionar el TipoCaso con Cod. TipoCaso igual a 3.</w:t>
                  </w:r>
                </w:p>
                <w:p w:rsidR="00000000" w:rsidDel="00000000" w:rsidP="00000000" w:rsidRDefault="00000000" w:rsidRPr="00000000" w14:paraId="00000073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4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2)Presionar el botón Dar Baja</w:t>
                  </w:r>
                </w:p>
                <w:p w:rsidR="00000000" w:rsidDel="00000000" w:rsidP="00000000" w:rsidRDefault="00000000" w:rsidRPr="00000000" w14:paraId="00000075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6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7">
                  <w:pPr>
                    <w:widowControl w:val="0"/>
                    <w:spacing w:line="240" w:lineRule="auto"/>
                    <w:rPr>
                      <w:rFonts w:ascii="Verdana" w:cs="Verdana" w:eastAsia="Verdana" w:hAnsi="Verdan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8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9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A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B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C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D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7E">
                  <w:pPr>
                    <w:spacing w:line="240" w:lineRule="auto"/>
                    <w:rPr>
                      <w:rFonts w:ascii="Garamond" w:cs="Garamond" w:eastAsia="Garamond" w:hAnsi="Garamond"/>
                      <w:sz w:val="21"/>
                      <w:szCs w:val="21"/>
                    </w:rPr>
                  </w:pPr>
                  <w:r w:rsidDel="00000000" w:rsidR="00000000" w:rsidRPr="00000000">
                    <w:rPr>
                      <w:rFonts w:ascii="Garamond" w:cs="Garamond" w:eastAsia="Garamond" w:hAnsi="Garamond"/>
                      <w:sz w:val="21"/>
                      <w:szCs w:val="21"/>
                      <w:rtl w:val="0"/>
                    </w:rPr>
                    <w:t xml:space="preserve">3)Se mostrará el mensaje “El Tipo Caso elegido  ya está dado de baja”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80">
            <w:pPr>
              <w:spacing w:line="240" w:lineRule="auto"/>
              <w:ind w:left="272" w:firstLine="0"/>
              <w:jc w:val="center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95" w:hRule="atLeast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82">
            <w:pPr>
              <w:spacing w:line="240" w:lineRule="auto"/>
              <w:ind w:left="434" w:right="43" w:hanging="18.999999999999986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Quattrocento Sans" w:cs="Quattrocento Sans" w:eastAsia="Quattrocento Sans" w:hAnsi="Quattrocento Sans"/>
                <w:sz w:val="17"/>
                <w:szCs w:val="17"/>
                <w:rtl w:val="0"/>
              </w:rPr>
              <w:t xml:space="preserve">•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9"/>
                <w:szCs w:val="19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Garamond" w:cs="Garamond" w:eastAsia="Garamond" w:hAnsi="Garamond"/>
                <w:b w:val="1"/>
                <w:sz w:val="23"/>
                <w:szCs w:val="23"/>
                <w:u w:val="single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7"/>
                <w:szCs w:val="17"/>
                <w:rtl w:val="0"/>
              </w:rPr>
              <w:t xml:space="preserve">Procedimiento de control del resultado:</w:t>
            </w:r>
            <w:r w:rsidDel="00000000" w:rsidR="00000000" w:rsidRPr="00000000">
              <w:rPr>
                <w:rFonts w:ascii="Verdana" w:cs="Verdana" w:eastAsia="Verdana" w:hAnsi="Verdana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17"/>
                <w:szCs w:val="17"/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Desde la interfaz principal TC001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se filtra el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por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Cod. TipoCaso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igual a 3 y se verifica que 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Fecha Fin Vigencia</w:t>
            </w: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 TipoCaso sea distinta de vacío mostrando así un mensaje de que el tipo caso ya está dado de baja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85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59" w:lineRule="auto"/>
        <w:ind w:left="350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9" w:line="259" w:lineRule="auto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9" w:line="259" w:lineRule="auto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Fonts w:ascii="Garamond" w:cs="Garamond" w:eastAsia="Garamond" w:hAnsi="Garamond"/>
          <w:b w:val="1"/>
          <w:sz w:val="27"/>
          <w:szCs w:val="27"/>
          <w:u w:val="single"/>
          <w:rtl w:val="0"/>
        </w:rPr>
        <w:t xml:space="preserve">Clases de equivalencia</w:t>
      </w:r>
      <w:r w:rsidDel="00000000" w:rsidR="00000000" w:rsidRPr="00000000">
        <w:rPr>
          <w:rtl w:val="0"/>
        </w:rPr>
      </w:r>
    </w:p>
    <w:tbl>
      <w:tblPr>
        <w:tblStyle w:val="Table6"/>
        <w:tblW w:w="9015.0" w:type="dxa"/>
        <w:jc w:val="left"/>
        <w:tblInd w:w="1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3255"/>
        <w:gridCol w:w="3195"/>
        <w:tblGridChange w:id="0">
          <w:tblGrid>
            <w:gridCol w:w="2565"/>
            <w:gridCol w:w="3255"/>
            <w:gridCol w:w="3195"/>
          </w:tblGrid>
        </w:tblGridChange>
      </w:tblGrid>
      <w:tr>
        <w:trPr>
          <w:trHeight w:val="476.25" w:hRule="atLeast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aramond" w:cs="Garamond" w:eastAsia="Garamond" w:hAnsi="Garamond"/>
                <w:b w:val="1"/>
                <w:sz w:val="25"/>
                <w:szCs w:val="25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5"/>
                <w:szCs w:val="25"/>
                <w:rtl w:val="0"/>
              </w:rPr>
              <w:t xml:space="preserve">Nombre del caso de uso</w:t>
            </w:r>
          </w:p>
        </w:tc>
        <w:tc>
          <w:tcPr>
            <w:gridSpan w:val="2"/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ABM TIPO CASO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Garamond" w:cs="Garamond" w:eastAsia="Garamond" w:hAnsi="Garamond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1"/>
                <w:szCs w:val="21"/>
                <w:rtl w:val="0"/>
              </w:rPr>
              <w:t xml:space="preserve">Condiciones de entrada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CodTipoCaso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Vacío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Nombre TipoCaso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Nulo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Distinto de nulo</w:t>
            </w:r>
          </w:p>
        </w:tc>
      </w:tr>
      <w:tr>
        <w:trPr>
          <w:trHeight w:val="3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rFonts w:ascii="Garamond" w:cs="Garamond" w:eastAsia="Garamond" w:hAnsi="Garamond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1"/>
                <w:szCs w:val="21"/>
                <w:rtl w:val="0"/>
              </w:rPr>
              <w:t xml:space="preserve">Condiciones de estado del sistema</w:t>
            </w:r>
          </w:p>
        </w:tc>
      </w:tr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Sin condiciones de estado previas (alta)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Modificación TipoCaso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No existente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Dar Baja TipoCaso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Existente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Con fechaHoraFinVigenciaTipoCaso distinta de nula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No Existente</w:t>
            </w:r>
          </w:p>
        </w:tc>
      </w:tr>
    </w:tbl>
    <w:p w:rsidR="00000000" w:rsidDel="00000000" w:rsidP="00000000" w:rsidRDefault="00000000" w:rsidRPr="00000000" w14:paraId="000000C3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5.0" w:type="dxa"/>
        <w:jc w:val="left"/>
        <w:tblInd w:w="114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65"/>
        <w:gridCol w:w="3255"/>
        <w:gridCol w:w="3195"/>
        <w:tblGridChange w:id="0">
          <w:tblGrid>
            <w:gridCol w:w="2565"/>
            <w:gridCol w:w="3255"/>
            <w:gridCol w:w="3195"/>
          </w:tblGrid>
        </w:tblGridChange>
      </w:tblGrid>
      <w:tr>
        <w:trPr>
          <w:trHeight w:val="410" w:hRule="atLeast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Garamond" w:cs="Garamond" w:eastAsia="Garamond" w:hAnsi="Garamond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b w:val="1"/>
                <w:sz w:val="21"/>
                <w:szCs w:val="21"/>
                <w:rtl w:val="0"/>
              </w:rPr>
              <w:t xml:space="preserve">Condiciones de salida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 alta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Alta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 modificación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Modificación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Modificación no grabada</w:t>
            </w:r>
          </w:p>
        </w:tc>
      </w:tr>
      <w:tr>
        <w:trPr>
          <w:trHeight w:val="410" w:hRule="atLeast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TipoCaso baja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fechaHoraFinVigenciaTipoCaso grabada</w:t>
            </w:r>
          </w:p>
        </w:tc>
      </w:tr>
      <w:tr>
        <w:trPr>
          <w:trHeight w:val="410" w:hRule="atLeast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Garamond" w:cs="Garamond" w:eastAsia="Garamond" w:hAnsi="Garamond"/>
                <w:sz w:val="21"/>
                <w:szCs w:val="21"/>
              </w:rPr>
            </w:pPr>
            <w:r w:rsidDel="00000000" w:rsidR="00000000" w:rsidRPr="00000000">
              <w:rPr>
                <w:rFonts w:ascii="Garamond" w:cs="Garamond" w:eastAsia="Garamond" w:hAnsi="Garamond"/>
                <w:sz w:val="21"/>
                <w:szCs w:val="21"/>
                <w:rtl w:val="0"/>
              </w:rPr>
              <w:t xml:space="preserve">fechaHoraFinVigenciaTipoCaso no grabada</w:t>
            </w:r>
          </w:p>
        </w:tc>
      </w:tr>
    </w:tbl>
    <w:p w:rsidR="00000000" w:rsidDel="00000000" w:rsidP="00000000" w:rsidRDefault="00000000" w:rsidRPr="00000000" w14:paraId="000000D9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9" w:line="259" w:lineRule="auto"/>
        <w:ind w:left="14" w:firstLine="0"/>
        <w:rPr>
          <w:rFonts w:ascii="Garamond" w:cs="Garamond" w:eastAsia="Garamond" w:hAnsi="Garamond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59" w:lineRule="auto"/>
        <w:ind w:left="350" w:firstLine="0"/>
        <w:rPr/>
      </w:pP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footerReference r:id="rId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Times New Roman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D">
    <w:pPr>
      <w:spacing w:line="259" w:lineRule="auto"/>
      <w:ind w:left="0" w:firstLine="0"/>
      <w:rPr>
        <w:rFonts w:ascii="Garamond" w:cs="Garamond" w:eastAsia="Garamond" w:hAnsi="Garamond"/>
        <w:b w:val="1"/>
        <w:sz w:val="23"/>
        <w:szCs w:val="23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19051</wp:posOffset>
          </wp:positionH>
          <wp:positionV relativeFrom="paragraph">
            <wp:posOffset>114300</wp:posOffset>
          </wp:positionV>
          <wp:extent cx="354578" cy="334316"/>
          <wp:effectExtent b="0" l="0" r="0" t="0"/>
          <wp:wrapSquare wrapText="bothSides" distB="114300" distT="114300" distL="114300" distR="11430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4578" cy="33431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E">
    <w:pPr>
      <w:spacing w:line="259" w:lineRule="auto"/>
      <w:ind w:left="0" w:firstLine="0"/>
      <w:rPr/>
    </w:pPr>
    <w:r w:rsidDel="00000000" w:rsidR="00000000" w:rsidRPr="00000000">
      <w:rPr>
        <w:rFonts w:ascii="Garamond" w:cs="Garamond" w:eastAsia="Garamond" w:hAnsi="Garamond"/>
        <w:b w:val="1"/>
        <w:sz w:val="23"/>
        <w:szCs w:val="23"/>
        <w:rtl w:val="0"/>
      </w:rPr>
      <w:t xml:space="preserve">Grupo de Trabajo Los Resurgidos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F">
    <w:pPr>
      <w:jc w:val="right"/>
      <w:rPr>
        <w:b w:val="1"/>
      </w:rPr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spacing w:line="259" w:lineRule="auto"/>
      <w:rPr/>
    </w:pPr>
    <w:r w:rsidDel="00000000" w:rsidR="00000000" w:rsidRPr="00000000">
      <w:rPr>
        <w:rFonts w:ascii="Garamond" w:cs="Garamond" w:eastAsia="Garamond" w:hAnsi="Garamond"/>
        <w:b w:val="1"/>
        <w:sz w:val="23"/>
        <w:szCs w:val="23"/>
        <w:rtl w:val="0"/>
      </w:rPr>
      <w:t xml:space="preserve">Grupo de Trabajo Los Resurgidos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-104774</wp:posOffset>
          </wp:positionH>
          <wp:positionV relativeFrom="paragraph">
            <wp:posOffset>-76199</wp:posOffset>
          </wp:positionV>
          <wp:extent cx="354578" cy="33431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4578" cy="334316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spacing w:line="259" w:lineRule="auto"/>
      <w:rPr/>
    </w:pPr>
    <w:r w:rsidDel="00000000" w:rsidR="00000000" w:rsidRPr="00000000">
      <w:rPr>
        <w:rFonts w:ascii="Garamond" w:cs="Garamond" w:eastAsia="Garamond" w:hAnsi="Garamond"/>
        <w:b w:val="1"/>
        <w:sz w:val="23"/>
        <w:szCs w:val="23"/>
        <w:rtl w:val="0"/>
      </w:rPr>
      <w:t xml:space="preserve">Universidad Tecnológica Nacional                                                                 Diseño de Sistemas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49.0" w:type="dxa"/>
        <w:left w:w="67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31.0" w:type="dxa"/>
        <w:left w:w="0.0" w:type="dxa"/>
        <w:bottom w:w="27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