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0" w:line="312" w:lineRule="auto"/>
        <w:ind w:left="566.9291338582675" w:firstLine="0"/>
        <w:rPr>
          <w:rFonts w:ascii="Rubik" w:cs="Rubik" w:eastAsia="Rubik" w:hAnsi="Rubik"/>
          <w:color w:val="000000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spacing w:after="200" w:before="0" w:line="312" w:lineRule="auto"/>
        <w:ind w:left="566.9291338582675" w:right="-6.259842519683616" w:firstLine="0"/>
        <w:jc w:val="both"/>
        <w:rPr>
          <w:rFonts w:ascii="Rubik" w:cs="Rubik" w:eastAsia="Rubik" w:hAnsi="Rubik"/>
          <w:color w:val="666666"/>
          <w:sz w:val="36"/>
          <w:szCs w:val="36"/>
        </w:rPr>
      </w:pPr>
      <w:bookmarkStart w:colFirst="0" w:colLast="0" w:name="_heading=h.x36oy5demzwb" w:id="0"/>
      <w:bookmarkEnd w:id="0"/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Testing I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66.9291338582675" w:firstLine="0"/>
        <w:rPr>
          <w:rFonts w:ascii="Rubik" w:cs="Rubik" w:eastAsia="Rubik" w:hAnsi="Rubik"/>
          <w:b w:val="1"/>
          <w:color w:val="f73939"/>
          <w:sz w:val="50"/>
          <w:szCs w:val="50"/>
        </w:rPr>
      </w:pPr>
      <w:bookmarkStart w:colFirst="0" w:colLast="0" w:name="_heading=h.4uv6m7qttpph" w:id="1"/>
      <w:bookmarkEnd w:id="1"/>
      <w:r w:rsidDel="00000000" w:rsidR="00000000" w:rsidRPr="00000000">
        <w:rPr>
          <w:rFonts w:ascii="Rubik" w:cs="Rubik" w:eastAsia="Rubik" w:hAnsi="Rubik"/>
          <w:b w:val="1"/>
          <w:color w:val="000000"/>
          <w:sz w:val="50"/>
          <w:szCs w:val="50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66.9291338582675" w:firstLine="0"/>
        <w:rPr>
          <w:rFonts w:ascii="Rubik SemiBold" w:cs="Rubik SemiBold" w:eastAsia="Rubik SemiBold" w:hAnsi="Rubik SemiBold"/>
          <w:color w:val="434343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566.9291338582675" w:firstLine="0"/>
        <w:rPr>
          <w:rFonts w:ascii="Rubik Light" w:cs="Rubik Light" w:eastAsia="Rubik Light" w:hAnsi="Rubik Light"/>
          <w:i w:val="1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Afianzar los contenidos relacionados con la aplicación de técnicas de prueba de caja negra.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ind w:left="0" w:firstLine="0"/>
        <w:rPr>
          <w:rFonts w:ascii="Rubik" w:cs="Rubik" w:eastAsia="Rubik" w:hAnsi="Rubik"/>
        </w:rPr>
      </w:pPr>
      <w:bookmarkStart w:colFirst="0" w:colLast="0" w:name="_heading=h.3znysh7" w:id="3"/>
      <w:bookmarkEnd w:id="3"/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        </w:t>
      </w: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Microdesafío</w:t>
      </w: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566.9291338582675" w:right="611.811023622048" w:firstLine="0"/>
        <w:jc w:val="both"/>
        <w:rPr>
          <w:rFonts w:ascii="Rubik" w:cs="Rubik" w:eastAsia="Rubik" w:hAnsi="Rubik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Partiendo del diseño de casos de pruebas realizada en la mesa de trabajo de la clase 7, ahora el desafío es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diseñar el restante de casos de pruebas necesarios para alcanzar el 100% de cobertura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 aplicando las mismas técnicas de caja negra siguiendo las siguientes ecuaciones: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76" w:lineRule="auto"/>
        <w:ind w:left="1842.5196850393697" w:right="611.811023622048" w:hanging="36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Partición de equivalencia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9">
      <w:pPr>
        <w:spacing w:line="276" w:lineRule="auto"/>
        <w:ind w:left="566.9291338582675" w:right="611.811023622048" w:firstLine="0"/>
        <w:jc w:val="center"/>
        <w:rPr>
          <w:rFonts w:ascii="Rubik" w:cs="Rubik" w:eastAsia="Rubik" w:hAnsi="Rubik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</w:rPr>
        <w:drawing>
          <wp:inline distB="114300" distT="114300" distL="114300" distR="114300">
            <wp:extent cx="2419350" cy="62865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76" w:lineRule="auto"/>
        <w:ind w:left="1842.5196850393697" w:right="611.811023622048" w:hanging="36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Análisis de valores límites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B">
      <w:pPr>
        <w:spacing w:line="480" w:lineRule="auto"/>
        <w:ind w:left="566.9291338582675" w:right="611.811023622048" w:firstLine="0"/>
        <w:jc w:val="center"/>
        <w:rPr>
          <w:rFonts w:ascii="Rubik" w:cs="Rubik" w:eastAsia="Rubik" w:hAnsi="Rubik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</w:rPr>
        <w:drawing>
          <wp:inline distB="114300" distT="114300" distL="114300" distR="114300">
            <wp:extent cx="2571750" cy="65722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480" w:lineRule="auto"/>
        <w:ind w:left="1842.5196850393697" w:right="611.811023622048" w:hanging="36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Tabla de decisión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D">
      <w:pPr>
        <w:spacing w:line="480" w:lineRule="auto"/>
        <w:ind w:left="1417.3228346456694" w:right="611.811023622048" w:firstLine="0"/>
        <w:jc w:val="center"/>
        <w:rPr>
          <w:rFonts w:ascii="Rubik" w:cs="Rubik" w:eastAsia="Rubik" w:hAnsi="Rubik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</w:rPr>
        <w:drawing>
          <wp:inline distB="114300" distT="114300" distL="114300" distR="114300">
            <wp:extent cx="3333750" cy="638175"/>
            <wp:effectExtent b="0" l="0" r="0" t="0"/>
            <wp:docPr id="2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480" w:lineRule="auto"/>
        <w:ind w:left="1842.5196850393697" w:right="611.811023622048" w:hanging="36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Transición de estados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F">
      <w:pPr>
        <w:spacing w:line="480" w:lineRule="auto"/>
        <w:ind w:left="1417.3228346456694" w:right="611.811023622048" w:firstLine="0"/>
        <w:jc w:val="center"/>
        <w:rPr>
          <w:rFonts w:ascii="Rubik" w:cs="Rubik" w:eastAsia="Rubik" w:hAnsi="Rubik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</w:rPr>
        <w:drawing>
          <wp:inline distB="114300" distT="114300" distL="114300" distR="114300">
            <wp:extent cx="4016538" cy="621114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538" cy="621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566.9291338582675" w:right="611.811023622048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También, te recordamos los requerimientos de</w:t>
      </w:r>
      <w:r w:rsidDel="00000000" w:rsidR="00000000" w:rsidRPr="00000000">
        <w:rPr>
          <w:rFonts w:ascii="Rubik" w:cs="Rubik" w:eastAsia="Rubik" w:hAnsi="Rubik"/>
          <w:color w:val="0000ff"/>
          <w:sz w:val="24"/>
          <w:szCs w:val="24"/>
          <w:rtl w:val="0"/>
        </w:rPr>
        <w:t xml:space="preserve"> </w:t>
      </w:r>
      <w:hyperlink r:id="rId12">
        <w:r w:rsidDel="00000000" w:rsidR="00000000" w:rsidRPr="00000000">
          <w:rPr>
            <w:rFonts w:ascii="Rubik" w:cs="Rubik" w:eastAsia="Rubik" w:hAnsi="Rubik"/>
            <w:b w:val="1"/>
            <w:color w:val="1155cc"/>
            <w:sz w:val="24"/>
            <w:szCs w:val="24"/>
            <w:u w:val="single"/>
            <w:rtl w:val="0"/>
          </w:rPr>
          <w:t xml:space="preserve">Comida YA!</w:t>
        </w:r>
      </w:hyperlink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1440" w:right="611.811023622048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permitirá realizar cambios de estados en los pedidos sin ninguna restricción.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after="0" w:afterAutospacing="0" w:before="0" w:line="360" w:lineRule="auto"/>
        <w:ind w:left="1440" w:right="681.6141732283467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actualizará el estado de un pedido solo si es solicitado por un usuario admin.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0" w:afterAutospacing="0" w:before="0" w:line="360" w:lineRule="auto"/>
        <w:ind w:left="1440" w:right="681.6141732283467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deberá hacer visible los cambios de estados de los pedidos tanto para el usuario admin como para el cliente.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after="0" w:afterAutospacing="0" w:before="0" w:line="360" w:lineRule="auto"/>
        <w:ind w:left="1440" w:right="681.6141732283467" w:hanging="360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categorizará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 el pedido según los siguientes estados:</w:t>
      </w:r>
    </w:p>
    <w:p w:rsidR="00000000" w:rsidDel="00000000" w:rsidP="00000000" w:rsidRDefault="00000000" w:rsidRPr="00000000" w14:paraId="00000015">
      <w:pPr>
        <w:widowControl w:val="0"/>
        <w:numPr>
          <w:ilvl w:val="1"/>
          <w:numId w:val="1"/>
        </w:numPr>
        <w:spacing w:after="0" w:afterAutospacing="0" w:before="0" w:line="360" w:lineRule="auto"/>
        <w:ind w:left="2160" w:right="681.6141732283467" w:hanging="360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Nueva</w:t>
      </w:r>
    </w:p>
    <w:p w:rsidR="00000000" w:rsidDel="00000000" w:rsidP="00000000" w:rsidRDefault="00000000" w:rsidRPr="00000000" w14:paraId="00000016">
      <w:pPr>
        <w:widowControl w:val="0"/>
        <w:numPr>
          <w:ilvl w:val="1"/>
          <w:numId w:val="1"/>
        </w:numPr>
        <w:spacing w:after="0" w:afterAutospacing="0" w:before="0" w:line="360" w:lineRule="auto"/>
        <w:ind w:left="2160" w:right="681.6141732283467" w:hanging="360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Confirmada</w:t>
      </w:r>
    </w:p>
    <w:p w:rsidR="00000000" w:rsidDel="00000000" w:rsidP="00000000" w:rsidRDefault="00000000" w:rsidRPr="00000000" w14:paraId="00000017">
      <w:pPr>
        <w:widowControl w:val="0"/>
        <w:numPr>
          <w:ilvl w:val="1"/>
          <w:numId w:val="1"/>
        </w:numPr>
        <w:spacing w:after="0" w:afterAutospacing="0" w:before="0" w:line="360" w:lineRule="auto"/>
        <w:ind w:left="2160" w:right="681.6141732283467" w:hanging="360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En preparación</w:t>
      </w:r>
    </w:p>
    <w:p w:rsidR="00000000" w:rsidDel="00000000" w:rsidP="00000000" w:rsidRDefault="00000000" w:rsidRPr="00000000" w14:paraId="00000018">
      <w:pPr>
        <w:widowControl w:val="0"/>
        <w:numPr>
          <w:ilvl w:val="1"/>
          <w:numId w:val="1"/>
        </w:numPr>
        <w:spacing w:after="0" w:afterAutospacing="0" w:before="0" w:line="360" w:lineRule="auto"/>
        <w:ind w:left="2160" w:right="681.6141732283467" w:hanging="360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En camino</w:t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1"/>
        </w:numPr>
        <w:spacing w:after="0" w:afterAutospacing="0" w:before="0" w:line="360" w:lineRule="auto"/>
        <w:ind w:left="2160" w:right="681.6141732283467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Entregada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after="0" w:afterAutospacing="0" w:before="0" w:line="360" w:lineRule="auto"/>
        <w:ind w:left="1440" w:right="681.6141732283467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mostrará un pop up con el mensaje “Producto agregado exitosamente” luego de dar de alta un producto por parte de un usuario admin.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after="0" w:afterAutospacing="0" w:before="0" w:line="360" w:lineRule="auto"/>
        <w:ind w:left="1440" w:right="681.6141732283467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mostrará un mensaje de error controlado una vez sea realizada una operación no permitida.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after="0" w:afterAutospacing="0" w:before="0" w:line="360" w:lineRule="auto"/>
        <w:ind w:left="1440" w:right="681.6141732283467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totalizará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 los precios de todos los productos agregados al carrito de compras y lo hará visible junto con el símbolo “$” y el nombre “Monto Total”.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after="0" w:afterAutospacing="0" w:before="0" w:line="360" w:lineRule="auto"/>
        <w:ind w:left="1440" w:right="681.6141732283467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permitirá la asignación de precios a los productos siempre y cuando sean mayores a cero.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after="0" w:afterAutospacing="0" w:before="0" w:line="360" w:lineRule="auto"/>
        <w:ind w:left="1440" w:right="681.6141732283467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sumará la cantidad de veces en 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los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 que un mismo producto es agregado al carrito.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after="0" w:afterAutospacing="0" w:before="0" w:line="360" w:lineRule="auto"/>
        <w:ind w:left="1440" w:right="681.6141732283467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descontará un 10% al monto total si la forma de pago es “Efectivo” y aumentará un 5% si es “Tarjeta de crédito/débito”.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after="0" w:afterAutospacing="0" w:before="0" w:line="360" w:lineRule="auto"/>
        <w:ind w:left="1440" w:right="681.6141732283467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asignará el nombre del pedido bajo la siguiente nomenclatura: </w:t>
        <w:br w:type="textWrapping"/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Cant. + Símbolo de “x” + Nombre del producto. (P.ej. 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8xZanahorias</w:t>
      </w:r>
      <w:r w:rsidDel="00000000" w:rsidR="00000000" w:rsidRPr="00000000">
        <w:rPr>
          <w:rFonts w:ascii="Rubik" w:cs="Rubik" w:eastAsia="Rubik" w:hAnsi="Rubik"/>
          <w:b w:val="1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after="200" w:before="0" w:line="360" w:lineRule="auto"/>
        <w:ind w:left="1440" w:right="681.6141732283467" w:hanging="36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color w:val="000000"/>
          <w:sz w:val="24"/>
          <w:szCs w:val="24"/>
          <w:rtl w:val="0"/>
        </w:rPr>
        <w:t xml:space="preserve">El sistema asignará el ID del cliente y/o admin de manera numérica y secuencial.</w:t>
      </w:r>
    </w:p>
    <w:p w:rsidR="00000000" w:rsidDel="00000000" w:rsidP="00000000" w:rsidRDefault="00000000" w:rsidRPr="00000000" w14:paraId="00000022">
      <w:pPr>
        <w:spacing w:line="360" w:lineRule="auto"/>
        <w:ind w:left="566.9291338582675" w:right="611.811023622048" w:firstLine="0"/>
        <w:jc w:val="both"/>
        <w:rPr>
          <w:rFonts w:ascii="Rubik" w:cs="Rubik" w:eastAsia="Rubik" w:hAnsi="Rubik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566.9291338582677" w:top="1559.0551181102362" w:left="566.9291338582677" w:right="566.9291338582677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8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-1947</wp:posOffset>
          </wp:positionH>
          <wp:positionV relativeFrom="page">
            <wp:posOffset>-6347</wp:posOffset>
          </wp:positionV>
          <wp:extent cx="7877175" cy="939798"/>
          <wp:effectExtent b="0" l="0" r="0" t="0"/>
          <wp:wrapSquare wrapText="bothSides" distB="0" distT="0" distL="0" distR="0"/>
          <wp:docPr id="2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31536" l="0" r="0" t="0"/>
                  <a:stretch>
                    <a:fillRect/>
                  </a:stretch>
                </pic:blipFill>
                <pic:spPr>
                  <a:xfrm>
                    <a:off x="0" y="0"/>
                    <a:ext cx="7877175" cy="93979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19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jpg"/><Relationship Id="rId13" Type="http://schemas.openxmlformats.org/officeDocument/2006/relationships/header" Target="header2.xml"/><Relationship Id="rId12" Type="http://schemas.openxmlformats.org/officeDocument/2006/relationships/hyperlink" Target="https://ctd-testing-resto-app.herokuapp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Rubik-italic.ttf"/><Relationship Id="rId22" Type="http://schemas.openxmlformats.org/officeDocument/2006/relationships/font" Target="fonts/OpenSans-boldItalic.ttf"/><Relationship Id="rId10" Type="http://schemas.openxmlformats.org/officeDocument/2006/relationships/font" Target="fonts/Rubik-bold.ttf"/><Relationship Id="rId21" Type="http://schemas.openxmlformats.org/officeDocument/2006/relationships/font" Target="fonts/OpenSans-italic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19" Type="http://schemas.openxmlformats.org/officeDocument/2006/relationships/font" Target="fonts/OpenSans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nvJq07QEG98kGfJ62Ek/FEEz7A==">AMUW2mUrDAaqFu/hbue4I9xPhVhwYyUBp5ZzI7DRmHmBZtc/H1qWHgOx+YlrkCremVq58kLq7hNqYxtCQF0sEUTtEONkzZ95KdUcV/KhYOEcvW5yTPfH1RhxFv2hw0K7K5odx1NCIaERzjgdIFYxVjYwKLy4og54bYdOwYyk+7mlUHEhN4u/M9NTyRLoKteTJQl66+O4cy9r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