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566.9291338582675" w:firstLine="0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609509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695" l="7565" r="0" t="1070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09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ind w:left="566.9291338582675" w:firstLine="0"/>
        <w:rPr>
          <w:b w:val="1"/>
          <w:color w:val="6d64e8"/>
          <w:sz w:val="46"/>
          <w:szCs w:val="46"/>
        </w:rPr>
      </w:pPr>
      <w:bookmarkStart w:colFirst="0" w:colLast="0" w:name="_heading=h.88q9cdout70f" w:id="0"/>
      <w:bookmarkEnd w:id="0"/>
      <w:r w:rsidDel="00000000" w:rsidR="00000000" w:rsidRPr="00000000">
        <w:rPr>
          <w:rFonts w:ascii="Rubik SemiBold" w:cs="Rubik SemiBold" w:eastAsia="Rubik SemiBold" w:hAnsi="Rubik SemiBold"/>
          <w:color w:val="434343"/>
          <w:sz w:val="46"/>
          <w:szCs w:val="46"/>
          <w:rtl w:val="0"/>
        </w:rPr>
        <w:t xml:space="preserve">Testing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ind w:left="566.9291338582675" w:firstLine="0"/>
        <w:rPr>
          <w:rFonts w:ascii="Rubik SemiBold" w:cs="Rubik SemiBold" w:eastAsia="Rubik SemiBold" w:hAnsi="Rubik SemiBold"/>
          <w:color w:val="434343"/>
        </w:rPr>
      </w:pPr>
      <w:bookmarkStart w:colFirst="0" w:colLast="0" w:name="_heading=h.1fob9te" w:id="1"/>
      <w:bookmarkEnd w:id="1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566.9291338582675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Afianzar los contenidos relacionados con las técnicas de pruebas y la creación de suites o conjuntos de pruebas.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ind w:left="566.9291338582675" w:firstLine="0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3znysh7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1"/>
        <w:keepLines w:val="1"/>
        <w:spacing w:after="200" w:before="0" w:line="312" w:lineRule="auto"/>
        <w:ind w:left="566.9291338582675" w:right="563.7401574803164" w:firstLine="0"/>
        <w:rPr>
          <w:rFonts w:ascii="Open Sans" w:cs="Open Sans" w:eastAsia="Open Sans" w:hAnsi="Open Sans"/>
        </w:rPr>
      </w:pPr>
      <w:bookmarkStart w:colFirst="0" w:colLast="0" w:name="_heading=h.2fmffil7yrv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0" w:line="312" w:lineRule="auto"/>
        <w:ind w:left="566.9291338582675" w:right="563.7401574803164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Usando los casos de pruebas diseñados en las mesas de trabajo para la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clase 7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clase 8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respectivamente, debemos llevar a cabo el proceso de ejecución de las pruebas.</w:t>
        <w:br w:type="textWrapping"/>
        <w:br w:type="textWrapping"/>
        <w:t xml:space="preserve">Para ello, te sugerimos que en una copia del </w:t>
      </w:r>
      <w:hyperlink r:id="rId8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template para la ejecución de ciclos de pruebas</w:t>
        </w:r>
      </w:hyperlink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, realices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el siguiente flujo de trabajo: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00" w:before="0" w:line="312" w:lineRule="auto"/>
        <w:ind w:left="566.9291338582675" w:right="563.7401574803164" w:firstLine="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Confeccionar las suites de smoke y de regresión </w:t>
      </w:r>
      <w:r w:rsidDel="00000000" w:rsidR="00000000" w:rsidRPr="00000000">
        <w:rPr>
          <w:rFonts w:ascii="Arial" w:cs="Arial" w:eastAsia="Arial" w:hAnsi="Arial"/>
          <w:color w:val="202122"/>
          <w:sz w:val="21"/>
          <w:szCs w:val="21"/>
          <w:highlight w:val="white"/>
          <w:rtl w:val="0"/>
        </w:rPr>
        <w:t xml:space="preserve">—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según corresponda</w:t>
      </w:r>
      <w:r w:rsidDel="00000000" w:rsidR="00000000" w:rsidRPr="00000000">
        <w:rPr>
          <w:rFonts w:ascii="Arial" w:cs="Arial" w:eastAsia="Arial" w:hAnsi="Arial"/>
          <w:color w:val="202122"/>
          <w:sz w:val="21"/>
          <w:szCs w:val="21"/>
          <w:highlight w:val="white"/>
          <w:rtl w:val="0"/>
        </w:rPr>
        <w:t xml:space="preserve">—.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00" w:before="0" w:line="312" w:lineRule="auto"/>
        <w:ind w:left="566.9291338582675" w:right="563.7401574803164" w:firstLine="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Ejecutar los casos de pruebas de forma manual.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00" w:before="0" w:line="312" w:lineRule="auto"/>
        <w:ind w:left="566.9291338582675" w:right="563.7401574803164" w:firstLine="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Comparar los resultados reales con resultados esperados.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00" w:before="0" w:line="312" w:lineRule="auto"/>
        <w:ind w:left="566.9291338582675" w:right="563.7401574803164" w:firstLine="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Analizar las anomalías </w:t>
      </w:r>
      <w:r w:rsidDel="00000000" w:rsidR="00000000" w:rsidRPr="00000000">
        <w:rPr>
          <w:rFonts w:ascii="Arial" w:cs="Arial" w:eastAsia="Arial" w:hAnsi="Arial"/>
          <w:color w:val="202122"/>
          <w:sz w:val="21"/>
          <w:szCs w:val="21"/>
          <w:highlight w:val="white"/>
          <w:rtl w:val="0"/>
        </w:rPr>
        <w:t xml:space="preserve">—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comportamientos cuestionables</w:t>
      </w:r>
      <w:r w:rsidDel="00000000" w:rsidR="00000000" w:rsidRPr="00000000">
        <w:rPr>
          <w:rFonts w:ascii="Arial" w:cs="Arial" w:eastAsia="Arial" w:hAnsi="Arial"/>
          <w:color w:val="202122"/>
          <w:sz w:val="21"/>
          <w:szCs w:val="21"/>
          <w:highlight w:val="white"/>
          <w:rtl w:val="0"/>
        </w:rPr>
        <w:t xml:space="preserve">—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para establecer sus causas probables.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00" w:before="0" w:line="312" w:lineRule="auto"/>
        <w:ind w:left="566.9291338582675" w:right="563.7401574803164" w:firstLine="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Registrar el resultado de la ejecución de la prueba.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00" w:before="0" w:line="312" w:lineRule="auto"/>
        <w:ind w:left="566.9291338582675" w:right="563.7401574803164" w:firstLine="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Informar sobre los defectos encontrados </w:t>
      </w:r>
      <w:r w:rsidDel="00000000" w:rsidR="00000000" w:rsidRPr="00000000">
        <w:rPr>
          <w:rFonts w:ascii="Arial" w:cs="Arial" w:eastAsia="Arial" w:hAnsi="Arial"/>
          <w:color w:val="202122"/>
          <w:sz w:val="21"/>
          <w:szCs w:val="21"/>
          <w:highlight w:val="white"/>
          <w:rtl w:val="0"/>
        </w:rPr>
        <w:t xml:space="preserve">—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siguiendo el formato del template</w:t>
      </w:r>
      <w:r w:rsidDel="00000000" w:rsidR="00000000" w:rsidRPr="00000000">
        <w:rPr>
          <w:rFonts w:ascii="Arial" w:cs="Arial" w:eastAsia="Arial" w:hAnsi="Arial"/>
          <w:color w:val="202122"/>
          <w:sz w:val="21"/>
          <w:szCs w:val="21"/>
          <w:highlight w:val="white"/>
          <w:rtl w:val="0"/>
        </w:rPr>
        <w:t xml:space="preserve">—.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566.9291338582677" w:top="1700.7874015748032" w:left="566.9291338582677" w:right="566.9291338582677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ubik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ajdhani">
    <w:embedRegular w:fontKey="{00000000-0000-0000-0000-000000000000}" r:id="rId11" w:subsetted="0"/>
    <w:embedBold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3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-1947</wp:posOffset>
          </wp:positionH>
          <wp:positionV relativeFrom="page">
            <wp:posOffset>-6347</wp:posOffset>
          </wp:positionV>
          <wp:extent cx="7875850" cy="1201738"/>
          <wp:effectExtent b="0" l="0" r="0" t="0"/>
          <wp:wrapSquare wrapText="bothSides" distB="0" distT="0" distL="0" distR="0"/>
          <wp:docPr id="1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2569" l="0" r="0" t="0"/>
                  <a:stretch>
                    <a:fillRect/>
                  </a:stretch>
                </pic:blipFill>
                <pic:spPr>
                  <a:xfrm>
                    <a:off x="0" y="0"/>
                    <a:ext cx="7875850" cy="12017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2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docs.google.com/spreadsheets/d/1jOaq2acqfgg3DagOM5nTCCx7lHS_6sUG/edit?usp=sharing&amp;ouid=113807259202657914245&amp;rtpof=true&amp;sd=true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ajdhani-regular.ttf"/><Relationship Id="rId10" Type="http://schemas.openxmlformats.org/officeDocument/2006/relationships/font" Target="fonts/RubikSemiBold-boldItalic.ttf"/><Relationship Id="rId13" Type="http://schemas.openxmlformats.org/officeDocument/2006/relationships/font" Target="fonts/OpenSans-regular.ttf"/><Relationship Id="rId12" Type="http://schemas.openxmlformats.org/officeDocument/2006/relationships/font" Target="fonts/Rajdhani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ubikSemiBold-italic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ubikSemiBold-regular.ttf"/><Relationship Id="rId8" Type="http://schemas.openxmlformats.org/officeDocument/2006/relationships/font" Target="fonts/Rubik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gSR7B0Mgk31i3bSgi25RIfvDTQ==">AMUW2mVpSqzDP/DUQQVwf8DCCO7K4lbqFUvENVgwSII22Ht3prqIfH0dHIZ6SZMq8yB6HsCEAoGkh06JFG4WxI0RAbp93k9NM5jCAb09AtIeK5farfTlvT7rXX6jnxc33u4hBCyMlnc6HF7mq8o0Sv6lW9BxNTNdzrriW5Pg5Mxg83bKOrJKK8O+fXfIvl3q2A8gUwnWFlEJ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