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1FE2A" w14:textId="77777777" w:rsidR="003C2577" w:rsidRPr="003C2577" w:rsidRDefault="003C2577" w:rsidP="003C25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2577">
        <w:rPr>
          <w:rFonts w:ascii="Times New Roman" w:eastAsia="Times New Roman" w:hAnsi="Times New Roman" w:cs="Times New Roman"/>
          <w:b/>
          <w:bCs/>
          <w:sz w:val="36"/>
          <w:szCs w:val="36"/>
        </w:rPr>
        <w:t>1. Requerimientos Funcionales (RF)</w:t>
      </w:r>
    </w:p>
    <w:p w14:paraId="3BF09369" w14:textId="77777777" w:rsidR="003C2577" w:rsidRPr="003C2577" w:rsidRDefault="003C2577" w:rsidP="003C25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2577">
        <w:rPr>
          <w:rFonts w:ascii="Times New Roman" w:eastAsia="Times New Roman" w:hAnsi="Times New Roman" w:cs="Times New Roman"/>
          <w:b/>
          <w:bCs/>
          <w:sz w:val="27"/>
          <w:szCs w:val="27"/>
        </w:rPr>
        <w:t>1.1 Gestión de Usuarios y Perfiles</w:t>
      </w:r>
    </w:p>
    <w:p w14:paraId="1753EA41" w14:textId="77777777" w:rsidR="003C2577" w:rsidRPr="003C2577" w:rsidRDefault="003C2577" w:rsidP="003C25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RF-01: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permitir el registro e inicio de sesión de usuarios bajo dos roles diferenciados: Cliente (Empresa) y Desarrollador.</w:t>
      </w:r>
    </w:p>
    <w:p w14:paraId="094E818E" w14:textId="77777777" w:rsidR="003C2577" w:rsidRPr="003C2577" w:rsidRDefault="003C2577" w:rsidP="003C25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RF-02: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validar la identidad de cada cuenta mediante el envío de un enlace de verificación al correo electrónico proporcionado.</w:t>
      </w:r>
    </w:p>
    <w:p w14:paraId="23CCD212" w14:textId="77777777" w:rsidR="003C2577" w:rsidRPr="003C2577" w:rsidRDefault="003C2577" w:rsidP="003C25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RF-03: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calcular automáticamente la reputación del desarrollador basándose en variables ponderadas de cumplimiento, entregas exitosas y valoraciones recibidas.</w:t>
      </w:r>
    </w:p>
    <w:p w14:paraId="03A3B9D6" w14:textId="77777777" w:rsidR="003C2577" w:rsidRPr="003C2577" w:rsidRDefault="003C2577" w:rsidP="003C25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RF-04: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generar un portafolio público para cada desarrollador donde se listen todos los activos de software desarrollados por él dentro de la plataforma.</w:t>
      </w:r>
    </w:p>
    <w:p w14:paraId="3B1CEA2F" w14:textId="77777777" w:rsidR="003C2577" w:rsidRPr="003C2577" w:rsidRDefault="003C2577" w:rsidP="003C25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2577">
        <w:rPr>
          <w:rFonts w:ascii="Times New Roman" w:eastAsia="Times New Roman" w:hAnsi="Times New Roman" w:cs="Times New Roman"/>
          <w:b/>
          <w:bCs/>
          <w:sz w:val="27"/>
          <w:szCs w:val="27"/>
        </w:rPr>
        <w:t>1.2 Gestión del Tablón de Desafíos</w:t>
      </w:r>
    </w:p>
    <w:p w14:paraId="5F50E3B1" w14:textId="77777777" w:rsidR="003C2577" w:rsidRPr="003C2577" w:rsidRDefault="003C2577" w:rsidP="003C25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RF-05: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El usuario Cliente </w:t>
      </w: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puede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publicar requerimientos de software proporcionando obligatoriamente título, categoría, flujo de trabajo, resultado esperado y presupuesto.</w:t>
      </w:r>
    </w:p>
    <w:p w14:paraId="3D3BD63E" w14:textId="77777777" w:rsidR="003C2577" w:rsidRPr="003C2577" w:rsidRDefault="003C2577" w:rsidP="003C25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RF-06: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El usuario Desarrollador </w:t>
      </w: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puede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enviar propuestas técnicas y económicas a los desafíos publicados que se encuentren en estado activo.</w:t>
      </w:r>
    </w:p>
    <w:p w14:paraId="3B96D34D" w14:textId="77777777" w:rsidR="003C2577" w:rsidRPr="003C2577" w:rsidRDefault="003C2577" w:rsidP="003C25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RF-07: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permitir la comunicación bidireccional mediante un módulo de mensajería privada exclusivamente entre el cliente y los desarrolladores postulantes.</w:t>
      </w:r>
    </w:p>
    <w:p w14:paraId="24351574" w14:textId="77777777" w:rsidR="003C2577" w:rsidRPr="003C2577" w:rsidRDefault="003C2577" w:rsidP="003C25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RF-08: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permitir la fragmentación de pagos mediante hitos (</w:t>
      </w:r>
      <w:proofErr w:type="spellStart"/>
      <w:r w:rsidRPr="003C2577">
        <w:rPr>
          <w:rFonts w:ascii="Times New Roman" w:eastAsia="Times New Roman" w:hAnsi="Times New Roman" w:cs="Times New Roman"/>
          <w:sz w:val="24"/>
          <w:szCs w:val="24"/>
        </w:rPr>
        <w:t>milestones</w:t>
      </w:r>
      <w:proofErr w:type="spellEnd"/>
      <w:r w:rsidRPr="003C2577">
        <w:rPr>
          <w:rFonts w:ascii="Times New Roman" w:eastAsia="Times New Roman" w:hAnsi="Times New Roman" w:cs="Times New Roman"/>
          <w:sz w:val="24"/>
          <w:szCs w:val="24"/>
        </w:rPr>
        <w:t>) definidos por el cliente al momento de adjudicar el proyecto.</w:t>
      </w:r>
    </w:p>
    <w:p w14:paraId="2384CCDF" w14:textId="77777777" w:rsidR="003C2577" w:rsidRPr="003C2577" w:rsidRDefault="003C2577" w:rsidP="003C25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RF-09: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bloquear la liberación del último pago al desarrollador hasta que el software sea cargado y validado en la biblioteca pública.</w:t>
      </w:r>
    </w:p>
    <w:p w14:paraId="38B456A9" w14:textId="77777777" w:rsidR="003C2577" w:rsidRPr="003C2577" w:rsidRDefault="003C2577" w:rsidP="003C25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RF-10: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El usuario </w:t>
      </w: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puede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abrir un ticket de disputa administrativa en caso de incumplimiento de los términos del contrato o fallos funcionales en la entrega.</w:t>
      </w:r>
    </w:p>
    <w:p w14:paraId="796D6E74" w14:textId="77777777" w:rsidR="003C2577" w:rsidRPr="003C2577" w:rsidRDefault="003C2577" w:rsidP="003C25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2577">
        <w:rPr>
          <w:rFonts w:ascii="Times New Roman" w:eastAsia="Times New Roman" w:hAnsi="Times New Roman" w:cs="Times New Roman"/>
          <w:b/>
          <w:bCs/>
          <w:sz w:val="27"/>
          <w:szCs w:val="27"/>
        </w:rPr>
        <w:t>1.3 Biblioteca de Soluciones y Marketplace</w:t>
      </w:r>
    </w:p>
    <w:p w14:paraId="763348E8" w14:textId="77777777" w:rsidR="003C2577" w:rsidRPr="003C2577" w:rsidRDefault="003C2577" w:rsidP="003C25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RF-11: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clasificar todas las soluciones del </w:t>
      </w:r>
      <w:proofErr w:type="spellStart"/>
      <w:r w:rsidRPr="003C2577">
        <w:rPr>
          <w:rFonts w:ascii="Times New Roman" w:eastAsia="Times New Roman" w:hAnsi="Times New Roman" w:cs="Times New Roman"/>
          <w:sz w:val="24"/>
          <w:szCs w:val="24"/>
        </w:rPr>
        <w:t>marketplace</w:t>
      </w:r>
      <w:proofErr w:type="spellEnd"/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mediante etiquetas de impacto operativo (dolores de negocio).</w:t>
      </w:r>
    </w:p>
    <w:p w14:paraId="2880D45C" w14:textId="77777777" w:rsidR="003C2577" w:rsidRPr="003C2577" w:rsidRDefault="003C2577" w:rsidP="003C25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RF-12: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obligar al desarrollador a cargar material audiovisual de demostración antes de dar por finalizada la fase de entrega de un proyecto.</w:t>
      </w:r>
    </w:p>
    <w:p w14:paraId="715F8C6F" w14:textId="77777777" w:rsidR="003C2577" w:rsidRPr="003C2577" w:rsidRDefault="003C2577" w:rsidP="003C25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RF-13: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publicar automáticamente cada solución finalizada en el catálogo público, sin posibilidad de ser ocultada por el desarrollador o el cliente original.</w:t>
      </w:r>
    </w:p>
    <w:p w14:paraId="799B754F" w14:textId="77777777" w:rsidR="003C2577" w:rsidRPr="003C2577" w:rsidRDefault="003C2577" w:rsidP="003C25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RF-14: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El usuario Desarrollador </w:t>
      </w: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puede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establecer y modificar el costo de las licencias de uso de sus activos publicados en el </w:t>
      </w:r>
      <w:proofErr w:type="spellStart"/>
      <w:r w:rsidRPr="003C2577">
        <w:rPr>
          <w:rFonts w:ascii="Times New Roman" w:eastAsia="Times New Roman" w:hAnsi="Times New Roman" w:cs="Times New Roman"/>
          <w:sz w:val="24"/>
          <w:szCs w:val="24"/>
        </w:rPr>
        <w:t>marketplace</w:t>
      </w:r>
      <w:proofErr w:type="spellEnd"/>
      <w:r w:rsidRPr="003C257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F0429F" w14:textId="77777777" w:rsidR="003C2577" w:rsidRPr="003C2577" w:rsidRDefault="003C2577" w:rsidP="003C25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2577">
        <w:rPr>
          <w:rFonts w:ascii="Times New Roman" w:eastAsia="Times New Roman" w:hAnsi="Times New Roman" w:cs="Times New Roman"/>
          <w:b/>
          <w:bCs/>
          <w:sz w:val="27"/>
          <w:szCs w:val="27"/>
        </w:rPr>
        <w:t>1.4 Lógica de Reutilización y Derivación</w:t>
      </w:r>
    </w:p>
    <w:p w14:paraId="2B38AF65" w14:textId="77777777" w:rsidR="003C2577" w:rsidRPr="003C2577" w:rsidRDefault="003C2577" w:rsidP="003C25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RF-15: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realizar una búsqueda semántica al momento de la creación de un nuevo desafío para sugerir soluciones similares ya existentes.</w:t>
      </w:r>
    </w:p>
    <w:p w14:paraId="38AD832B" w14:textId="77777777" w:rsidR="003C2577" w:rsidRPr="003C2577" w:rsidRDefault="003C2577" w:rsidP="003C25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RF-16: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El usuario </w:t>
      </w: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puede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solicitar una derivación (</w:t>
      </w:r>
      <w:proofErr w:type="spellStart"/>
      <w:r w:rsidRPr="003C2577">
        <w:rPr>
          <w:rFonts w:ascii="Times New Roman" w:eastAsia="Times New Roman" w:hAnsi="Times New Roman" w:cs="Times New Roman"/>
          <w:sz w:val="24"/>
          <w:szCs w:val="24"/>
        </w:rPr>
        <w:t>fork</w:t>
      </w:r>
      <w:proofErr w:type="spellEnd"/>
      <w:r w:rsidRPr="003C2577">
        <w:rPr>
          <w:rFonts w:ascii="Times New Roman" w:eastAsia="Times New Roman" w:hAnsi="Times New Roman" w:cs="Times New Roman"/>
          <w:sz w:val="24"/>
          <w:szCs w:val="24"/>
        </w:rPr>
        <w:t>) de una solución existente, permitiendo la contratación de un desarrollador para adaptar el código previo a una nueva necesidad.</w:t>
      </w:r>
    </w:p>
    <w:p w14:paraId="37F89659" w14:textId="77777777" w:rsidR="003C2577" w:rsidRPr="003C2577" w:rsidRDefault="003C2577" w:rsidP="003C25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577">
        <w:rPr>
          <w:rFonts w:ascii="Times New Roman" w:eastAsia="Times New Roman" w:hAnsi="Times New Roman" w:cs="Times New Roman"/>
          <w:sz w:val="24"/>
          <w:szCs w:val="24"/>
        </w:rPr>
        <w:pict w14:anchorId="1CDA566B">
          <v:rect id="_x0000_i1025" style="width:0;height:1.5pt" o:hralign="center" o:hrstd="t" o:hr="t" fillcolor="#a0a0a0" stroked="f"/>
        </w:pict>
      </w:r>
    </w:p>
    <w:p w14:paraId="56ACB30A" w14:textId="77777777" w:rsidR="003C2577" w:rsidRPr="003C2577" w:rsidRDefault="003C2577" w:rsidP="003C25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2577">
        <w:rPr>
          <w:rFonts w:ascii="Times New Roman" w:eastAsia="Times New Roman" w:hAnsi="Times New Roman" w:cs="Times New Roman"/>
          <w:b/>
          <w:bCs/>
          <w:sz w:val="36"/>
          <w:szCs w:val="36"/>
        </w:rPr>
        <w:t>2. Requerimientos No Funcionales (RNF)</w:t>
      </w:r>
    </w:p>
    <w:p w14:paraId="3A5D7740" w14:textId="77777777" w:rsidR="003C2577" w:rsidRPr="003C2577" w:rsidRDefault="003C2577" w:rsidP="003C25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2577">
        <w:rPr>
          <w:rFonts w:ascii="Times New Roman" w:eastAsia="Times New Roman" w:hAnsi="Times New Roman" w:cs="Times New Roman"/>
          <w:b/>
          <w:bCs/>
          <w:sz w:val="27"/>
          <w:szCs w:val="27"/>
        </w:rPr>
        <w:t>2.1 Seguridad y Privacidad</w:t>
      </w:r>
    </w:p>
    <w:p w14:paraId="2EB4AC51" w14:textId="77777777" w:rsidR="003C2577" w:rsidRPr="003C2577" w:rsidRDefault="003C2577" w:rsidP="003C25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RNF-01: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cifrar todas las comunicaciones externas mediante el protocolo TLS 1.3 o superior.</w:t>
      </w:r>
    </w:p>
    <w:p w14:paraId="64435FA3" w14:textId="77777777" w:rsidR="003C2577" w:rsidRPr="003C2577" w:rsidRDefault="003C2577" w:rsidP="003C25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RNF-02: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restringir el acceso a los binarios y ejecutables de software únicamente a usuarios que posean un token de licencia válido y activo.</w:t>
      </w:r>
    </w:p>
    <w:p w14:paraId="07B8E39C" w14:textId="77777777" w:rsidR="003C2577" w:rsidRPr="003C2577" w:rsidRDefault="003C2577" w:rsidP="003C25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RNF-03: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implementar mecanismos de validación y saneamiento de entradas para prevenir ataques de inyección SQL y Cross-Site Scripting (XSS).</w:t>
      </w:r>
    </w:p>
    <w:p w14:paraId="5B0080A8" w14:textId="77777777" w:rsidR="003C2577" w:rsidRPr="003C2577" w:rsidRDefault="003C2577" w:rsidP="003C25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2577">
        <w:rPr>
          <w:rFonts w:ascii="Times New Roman" w:eastAsia="Times New Roman" w:hAnsi="Times New Roman" w:cs="Times New Roman"/>
          <w:b/>
          <w:bCs/>
          <w:sz w:val="27"/>
          <w:szCs w:val="27"/>
        </w:rPr>
        <w:t>2.2 Capacidad y Rendimiento</w:t>
      </w:r>
    </w:p>
    <w:p w14:paraId="3D549495" w14:textId="77777777" w:rsidR="003C2577" w:rsidRPr="003C2577" w:rsidRDefault="003C2577" w:rsidP="003C25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RNF-04: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permitir la carga y descarga concurrente de archivos con un límite de tamaño de hasta 50 MB por archivo.</w:t>
      </w:r>
    </w:p>
    <w:p w14:paraId="70D4F304" w14:textId="77777777" w:rsidR="003C2577" w:rsidRPr="003C2577" w:rsidRDefault="003C2577" w:rsidP="003C25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RNF-05: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mantener un tiempo de respuesta inferior a 2 segundos para consultas de búsqueda en el </w:t>
      </w:r>
      <w:proofErr w:type="spellStart"/>
      <w:r w:rsidRPr="003C2577">
        <w:rPr>
          <w:rFonts w:ascii="Times New Roman" w:eastAsia="Times New Roman" w:hAnsi="Times New Roman" w:cs="Times New Roman"/>
          <w:sz w:val="24"/>
          <w:szCs w:val="24"/>
        </w:rPr>
        <w:t>marketplace</w:t>
      </w:r>
      <w:proofErr w:type="spellEnd"/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bajo una carga de 100 usuarios concurrentes.</w:t>
      </w:r>
    </w:p>
    <w:p w14:paraId="347BC6F5" w14:textId="77777777" w:rsidR="003C2577" w:rsidRPr="003C2577" w:rsidRDefault="003C2577" w:rsidP="003C25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2577">
        <w:rPr>
          <w:rFonts w:ascii="Times New Roman" w:eastAsia="Times New Roman" w:hAnsi="Times New Roman" w:cs="Times New Roman"/>
          <w:b/>
          <w:bCs/>
          <w:sz w:val="27"/>
          <w:szCs w:val="27"/>
        </w:rPr>
        <w:t>2.3 Disponibilidad y Calidad</w:t>
      </w:r>
    </w:p>
    <w:p w14:paraId="0B8C6B11" w14:textId="77777777" w:rsidR="003C2577" w:rsidRPr="003C2577" w:rsidRDefault="003C2577" w:rsidP="003C25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RNF-06: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garantizar una disponibilidad del servicio (</w:t>
      </w:r>
      <w:proofErr w:type="spellStart"/>
      <w:r w:rsidRPr="003C2577">
        <w:rPr>
          <w:rFonts w:ascii="Times New Roman" w:eastAsia="Times New Roman" w:hAnsi="Times New Roman" w:cs="Times New Roman"/>
          <w:sz w:val="24"/>
          <w:szCs w:val="24"/>
        </w:rPr>
        <w:t>uptime</w:t>
      </w:r>
      <w:proofErr w:type="spellEnd"/>
      <w:r w:rsidRPr="003C2577">
        <w:rPr>
          <w:rFonts w:ascii="Times New Roman" w:eastAsia="Times New Roman" w:hAnsi="Times New Roman" w:cs="Times New Roman"/>
          <w:sz w:val="24"/>
          <w:szCs w:val="24"/>
        </w:rPr>
        <w:t>) del 99.9% anual.</w:t>
      </w:r>
    </w:p>
    <w:p w14:paraId="24F41849" w14:textId="77777777" w:rsidR="003C2577" w:rsidRPr="003C2577" w:rsidRDefault="003C2577" w:rsidP="003C25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RNF-07: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La interfaz de usuario </w:t>
      </w: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cumplir con principios de diseño responsivo, asegurando la operabilidad en resoluciones de escritorio, </w:t>
      </w:r>
      <w:proofErr w:type="spellStart"/>
      <w:r w:rsidRPr="003C2577">
        <w:rPr>
          <w:rFonts w:ascii="Times New Roman" w:eastAsia="Times New Roman" w:hAnsi="Times New Roman" w:cs="Times New Roman"/>
          <w:sz w:val="24"/>
          <w:szCs w:val="24"/>
        </w:rPr>
        <w:t>tablet</w:t>
      </w:r>
      <w:proofErr w:type="spellEnd"/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y móvil.</w:t>
      </w:r>
    </w:p>
    <w:p w14:paraId="43546955" w14:textId="77777777" w:rsidR="003C2577" w:rsidRPr="003C2577" w:rsidRDefault="003C2577" w:rsidP="003C25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RNF-08: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registrar una bitácora de auditoría (logs) inmutable para cada evento crítico relacionado con transacciones financieras y cambios de estado de proyectos.</w:t>
      </w:r>
    </w:p>
    <w:p w14:paraId="1859C04B" w14:textId="77777777" w:rsidR="003C2577" w:rsidRPr="003C2577" w:rsidRDefault="003C2577" w:rsidP="003C25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RNF-09: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3C2577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3C2577">
        <w:rPr>
          <w:rFonts w:ascii="Times New Roman" w:eastAsia="Times New Roman" w:hAnsi="Times New Roman" w:cs="Times New Roman"/>
          <w:sz w:val="24"/>
          <w:szCs w:val="24"/>
        </w:rPr>
        <w:t xml:space="preserve"> basarse en una arquitectura de microservicios o modular para permitir el escalamiento independiente de los módulos de pago y </w:t>
      </w:r>
      <w:proofErr w:type="spellStart"/>
      <w:r w:rsidRPr="003C2577">
        <w:rPr>
          <w:rFonts w:ascii="Times New Roman" w:eastAsia="Times New Roman" w:hAnsi="Times New Roman" w:cs="Times New Roman"/>
          <w:sz w:val="24"/>
          <w:szCs w:val="24"/>
        </w:rPr>
        <w:t>marketplace</w:t>
      </w:r>
      <w:proofErr w:type="spellEnd"/>
      <w:r w:rsidRPr="003C257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FFD0BD" w14:textId="77777777" w:rsidR="00DC1CC9" w:rsidRDefault="00DC1CC9"/>
    <w:sectPr w:rsidR="00DC1C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D4BEA"/>
    <w:multiLevelType w:val="multilevel"/>
    <w:tmpl w:val="4DA4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D0187"/>
    <w:multiLevelType w:val="multilevel"/>
    <w:tmpl w:val="9256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44BC1"/>
    <w:multiLevelType w:val="multilevel"/>
    <w:tmpl w:val="CFF8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87174"/>
    <w:multiLevelType w:val="multilevel"/>
    <w:tmpl w:val="912C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C6892"/>
    <w:multiLevelType w:val="multilevel"/>
    <w:tmpl w:val="0E04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53C15"/>
    <w:multiLevelType w:val="multilevel"/>
    <w:tmpl w:val="41A0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F39C8"/>
    <w:multiLevelType w:val="multilevel"/>
    <w:tmpl w:val="D67E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E20A11"/>
    <w:multiLevelType w:val="multilevel"/>
    <w:tmpl w:val="A7FC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3"/>
  </w:num>
  <w:num w:numId="5">
    <w:abstractNumId w:val="0"/>
  </w:num>
  <w:num w:numId="6">
    <w:abstractNumId w:val="1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577"/>
    <w:rsid w:val="003C2577"/>
    <w:rsid w:val="00B6698C"/>
    <w:rsid w:val="00DC1CC9"/>
    <w:rsid w:val="00F34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8F2F8"/>
  <w15:chartTrackingRefBased/>
  <w15:docId w15:val="{03F47B63-1472-4662-A500-218204A43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C25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3C25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C257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3C257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C2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19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633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Burgos</dc:creator>
  <cp:keywords/>
  <dc:description/>
  <cp:lastModifiedBy>Cristian Burgos</cp:lastModifiedBy>
  <cp:revision>1</cp:revision>
  <dcterms:created xsi:type="dcterms:W3CDTF">2026-05-12T04:00:00Z</dcterms:created>
  <dcterms:modified xsi:type="dcterms:W3CDTF">2026-05-12T04:32:00Z</dcterms:modified>
</cp:coreProperties>
</file>