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/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/>
        <w:drawing>
          <wp:inline distT="0" distR="0" distB="0" distL="0">
            <wp:extent cx="5080000" cy="2540000"/>
            <wp:docPr id="7" name="Drawing 7" descr="D:\santiago\Documents\reportajes-disomontajes\graficos\graficoTorartaHallazgo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antiago\Documents\reportajes-disomontajes\graficos\graficoTorartaHallazgos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/>
        <w:drawing>
          <wp:inline distT="0" distR="0" distB="0" distL="0">
            <wp:extent cx="5080000" cy="2540000"/>
            <wp:docPr id="8" name="Drawing 8" descr="D:\santiago\Documents\reportajes-disomontajes\graficos\graficoBarrasHallazgo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antiago\Documents\reportajes-disomontajes\graficos\graficoBarrasHallazgos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/>
        <w:drawing>
          <wp:inline distT="0" distR="0" distB="0" distL="0">
            <wp:extent cx="5080000" cy="2540000"/>
            <wp:docPr id="11" name="Drawing 11" descr="D:\santiago\Documents\reportajes-disomontajes\graficos\graficoTortaCertificado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antiago\Documents\reportajes-disomontajes\graficos\graficoTortaCertificados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DESCRIPCION</w:t>
            </w:r>
          </w:p>
        </w:tc>
      </w:tr>
    </w:tbl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/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Nombre Equipo </w:t>
            </w:r>
          </w:p>
        </w:tc>
        <w:tc>
          <w:p>
            <w:r>
              <w:t>Sistema</w:t>
            </w:r>
          </w:p>
        </w:tc>
        <w:tc>
          <w:p>
            <w:r>
              <w:t>Prioridad</w:t>
            </w:r>
          </w:p>
        </w:tc>
        <w:tc>
          <w:p>
            <w:r>
              <w:t>Descripcion</w:t>
            </w:r>
          </w:p>
        </w:tc>
        <w:tc>
          <w:p>
            <w:r>
              <w:t>Registros Fotograficos</w:t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/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EQUIPO</w:t>
            </w:r>
          </w:p>
        </w:tc>
        <w:tc>
          <w:p>
            <w:r>
              <w:t>FECHA CERTIFICADO</w:t>
            </w:r>
          </w:p>
        </w:tc>
        <w:tc>
          <w:p>
            <w:r>
              <w:t>VENCIMIENTO</w:t>
            </w:r>
          </w:p>
        </w:tc>
        <w:tc>
          <w:p>
            <w:r>
              <w:t>REFERENCIA A NORMA</w:t>
            </w:r>
          </w:p>
        </w:tc>
        <w:tc>
          <w:p>
            <w:r>
              <w:t>MT</w:t>
            </w:r>
          </w:p>
        </w:tc>
        <w:tc>
          <w:p>
            <w:r>
              <w:t>COMENTARIOS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02/07/2024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wq	w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/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header1.xml" Type="http://schemas.openxmlformats.org/officeDocument/2006/relationships/header"/>
    <Relationship Id="rId26" Target="footer1.xml" Type="http://schemas.openxmlformats.org/officeDocument/2006/relationships/footer"/>
    <Relationship Id="rId27" Target="header2.xml" Type="http://schemas.openxmlformats.org/officeDocument/2006/relationships/header"/>
    <Relationship Id="rId28" Target="header3.xml" Type="http://schemas.openxmlformats.org/officeDocument/2006/relationships/header"/>
    <Relationship Id="rId29" Target="footer2.xml" Type="http://schemas.openxmlformats.org/officeDocument/2006/relationships/footer"/>
    <Relationship Id="rId3" Target="../customXml/item3.xml" Type="http://schemas.openxmlformats.org/officeDocument/2006/relationships/customXml"/>
    <Relationship Id="rId30" Target="footer3.xml" Type="http://schemas.openxmlformats.org/officeDocument/2006/relationships/footer"/>
    <Relationship Id="rId31" Target="header4.xml" Type="http://schemas.openxmlformats.org/officeDocument/2006/relationships/header"/>
    <Relationship Id="rId32" Target="footer4.xml" Type="http://schemas.openxmlformats.org/officeDocument/2006/relationships/footer"/>
    <Relationship Id="rId33" Target="fontTable.xml" Type="http://schemas.openxmlformats.org/officeDocument/2006/relationships/fontTable"/>
    <Relationship Id="rId34" Target="theme/theme1.xml" Type="http://schemas.openxmlformats.org/officeDocument/2006/relationships/theme"/>
    <Relationship Id="rId35" Target="media/image5.jpeg" Type="http://schemas.openxmlformats.org/officeDocument/2006/relationships/image"/>
    <Relationship Id="rId36" Target="media/image6.jpeg" Type="http://schemas.openxmlformats.org/officeDocument/2006/relationships/imag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2024-06-17T13:46:00Z</dcterms:modified>
  <cp:revision>138</cp:revision>
  <dc:title>D</dc:title>
</cp:coreProperties>
</file>