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Cagua,</w:t>
      </w:r>
      <w:r>
        <w:t xml:space="preserve"> </w:t>
      </w:r>
      <w:r>
        <w:t xml:space="preserve">Rincón,</w:t>
      </w:r>
      <w:r>
        <w:t xml:space="preserve"> </w:t>
      </w:r>
      <w:r>
        <w:t xml:space="preserve">Rojas</w:t>
      </w:r>
    </w:p>
    <w:p>
      <w:pPr>
        <w:pStyle w:val="Date"/>
      </w:pPr>
      <w:r>
        <w:t xml:space="preserve">15/5/2021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(wbstats)</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bookmarkEnd w:id="20"/>
    <w:bookmarkStart w:id="21" w:name="desarrollo-del-taller"/>
    <w:p>
      <w:pPr>
        <w:pStyle w:val="Heading2"/>
      </w:pPr>
      <w:r>
        <w:rPr>
          <w:b/>
        </w:rPr>
        <w:t xml:space="preserve">Desarrollo del taller</w:t>
      </w:r>
    </w:p>
    <w:p>
      <w:pPr>
        <w:pStyle w:val="FirstParagraph"/>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Cagua, Rincón, Rojas</dc:creator>
  <cp:keywords/>
  <dcterms:created xsi:type="dcterms:W3CDTF">2021-05-15T23:21:04Z</dcterms:created>
  <dcterms:modified xsi:type="dcterms:W3CDTF">2021-05-15T23:21:04Z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15/5/2021</vt:lpwstr>
  </property>
  <property fmtid="{D5CDD505-2E9C-101B-9397-08002B2CF9AE}" pid="3" name="output">
    <vt:lpwstr>word_document</vt:lpwstr>
  </property>
</Properties>
</file>