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REPORTE DE ANÁLISIS</w:t>
      </w:r>
    </w:p>
    <w:p>
      <w:pPr>
        <w:spacing w:after="40"/>
      </w:pPr>
      <w:r>
        <w:rPr>
          <w:b/>
          <w:bCs/>
          <w:color w:val="0B2E2A"/>
          <w:sz w:val="48"/>
          <w:szCs w:val="48"/>
        </w:rPr>
        <w:t xml:space="preserve">Beerschot Wilrijk</w:t>
      </w:r>
    </w:p>
    <w:p>
      <w:pPr>
        <w:spacing w:after="300"/>
      </w:pPr>
      <w:r>
        <w:rPr>
          <w:color w:val="595959"/>
          <w:sz w:val="20"/>
          <w:szCs w:val="20"/>
        </w:rPr>
        <w:t xml:space="preserve">Challenger Pro League 2025-2026  |  Fuente: FBref.com  |  </w:t>
      </w:r>
      <w:r>
        <w:rPr>
          <w:b/>
          <w:bCs/>
          <w:color w:val="00A88A"/>
          <w:sz w:val="20"/>
          <w:szCs w:val="20"/>
        </w:rPr>
        <w:t xml:space="preserve">ScoutAI Pro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Este reporte resume el rendimiento de Beerschot Wilrijk en la temporada 2025-2026, organizado en los 5 pilares de competitividad de ScoutAI Pro. Cada métrica proviene de datos públicos verificados; cuando un dato no está disponible para esta liga, se indica explícitamente en vez de estimarlo.</w:t>
      </w:r>
    </w:p>
    <w:p>
      <w:pPr>
        <w:pStyle w:val="Heading1"/>
        <w:spacing w:after="150" w:before="300"/>
      </w:pPr>
      <w:r>
        <w:rPr>
          <w:b/>
          <w:bCs/>
          <w:color w:val="0B2E2A"/>
          <w:sz w:val="26"/>
          <w:szCs w:val="26"/>
        </w:rPr>
        <w:t xml:space="preserve">Pilar 1 — Eficiencia sobre volumen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50 goles de temporada, con 0.10 goles por tiro y 32% de tiros al arco.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Esta liga no publica xG en FBref; se usan G/Sh y SoT% como proxies reales de calidad de finalización.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344 entradas ganadas y 274 intercepciones en defensa.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se puede calcular % de efectividad de entrada — esta liga solo publica entradas ganadas, no el total intentado.</w:t>
      </w:r>
    </w:p>
    <w:p>
      <w:pPr>
        <w:pStyle w:val="Heading1"/>
        <w:spacing w:after="150" w:before="300"/>
      </w:pPr>
      <w:r>
        <w:rPr>
          <w:b/>
          <w:bCs/>
          <w:color w:val="0B2E2A"/>
          <w:sz w:val="26"/>
          <w:szCs w:val="26"/>
        </w:rPr>
        <w:t xml:space="preserve">Pilar 2 — Contexto situacional (Local vs Visitante)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Local: 10 victorias / 18 partidos — 1.6 goles a favor y 1.1 en contra por partido.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Visitante: 10 victorias / 18 partidos — 1.6 goles a favor y 1.1 en contra por partido.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Hallazgo destacado: rendimiento prácticamente idéntico jugando en casa o fuera — una consistencia táctica poco común en el fútbol, y una fortaleza de identidad de equipo digna de resaltar.</w:t>
      </w:r>
    </w:p>
    <w:p>
      <w:pPr>
        <w:pStyle w:val="Heading1"/>
        <w:spacing w:after="150" w:before="300"/>
      </w:pPr>
      <w:r>
        <w:rPr>
          <w:b/>
          <w:bCs/>
          <w:color w:val="0B2E2A"/>
          <w:sz w:val="26"/>
          <w:szCs w:val="26"/>
        </w:rPr>
        <w:t xml:space="preserve">Pilar 3 — Balón parado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FBref no publica desglose de balón parado para la Challenger Pro League.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Recomendación de bajo costo: registro manual en planilla (10 min/partido) de córners y tiros libres que terminan en remate, para construir un dato propio.</w:t>
      </w:r>
    </w:p>
    <w:p>
      <w:pPr>
        <w:pStyle w:val="Heading1"/>
        <w:spacing w:after="150" w:before="300"/>
      </w:pPr>
      <w:r>
        <w:rPr>
          <w:b/>
          <w:bCs/>
          <w:color w:val="0B2E2A"/>
          <w:sz w:val="26"/>
          <w:szCs w:val="26"/>
        </w:rPr>
        <w:t xml:space="preserve">Pilar 4 — Gestión de plantilla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Los 5 jugadores más usados acumulan el 37% de los minutos totales de la temporada.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Buena distribución de minutos — riesgo bajo de fatiga o lesión por sobreuso en el tramo final de temporada.</w:t>
      </w:r>
    </w:p>
    <w:p>
      <w:pPr>
        <w:pStyle w:val="Heading1"/>
        <w:spacing w:after="150" w:before="300"/>
      </w:pPr>
      <w:r>
        <w:rPr>
          <w:b/>
          <w:bCs/>
          <w:color w:val="0B2E2A"/>
          <w:sz w:val="26"/>
          <w:szCs w:val="26"/>
        </w:rPr>
        <w:t xml:space="preserve">Pilar 5 — Preparación por rival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Este pilar se activa antes de cada partido específico, comparando a Beerschot contra el rival de esa semana (no es un análisis de temporada).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Incluye: comparación cabeza a cabeza, y desglose de si el rival depende de construcción, balón parado, o transición.</w:t>
      </w:r>
    </w:p>
    <w:p>
      <w:pPr>
        <w:pStyle w:val="Heading1"/>
        <w:spacing w:after="150" w:before="300"/>
      </w:pPr>
      <w:r>
        <w:rPr>
          <w:b/>
          <w:bCs/>
          <w:color w:val="0B2E2A"/>
          <w:sz w:val="26"/>
          <w:szCs w:val="26"/>
        </w:rPr>
        <w:t xml:space="preserve">Perfil de rendimiento</w:t>
      </w:r>
    </w:p>
    <w:p>
      <w:pPr>
        <w:spacing w:after="200"/>
        <w:jc w:val="center"/>
      </w:pPr>
      <w:r>
        <w:drawing>
          <wp:inline distT="0" distB="0" distL="0" distR="0">
            <wp:extent cx="3048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  <w:color w:val="0B2E2A"/>
          <w:sz w:val="26"/>
          <w:szCs w:val="26"/>
        </w:rPr>
        <w:t xml:space="preserve">Números clave — Ataque y Defensa</w:t>
      </w:r>
    </w:p>
    <w:p>
      <w:pPr>
        <w:spacing w:after="200"/>
        <w:jc w:val="center"/>
      </w:pPr>
      <w:r>
        <w:drawing>
          <wp:inline distT="0" distB="0" distL="0" distR="0">
            <wp:extent cx="47625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CCCCC" w:sz="6"/>
        </w:pBdr>
        <w:spacing w:before="300"/>
      </w:pPr>
      <w:r>
        <w:rPr>
          <w:sz w:val="2"/>
          <w:szCs w:val="2"/>
        </w:rPr>
        <w:t xml:space="preserve"/>
      </w:r>
    </w:p>
    <w:p>
      <w:pPr>
        <w:spacing w:after="100"/>
      </w:pPr>
      <w:r>
        <w:rPr>
          <w:color w:val="595959"/>
          <w:sz w:val="18"/>
          <w:szCs w:val="18"/>
        </w:rPr>
        <w:t xml:space="preserve">Preparado por Santiago — ScoutAI Pro  |  Datos: FBref.com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a407dd7c9885369e44240fc51adcaf304c5394.png"/><Relationship Id="rId8" Type="http://schemas.openxmlformats.org/officeDocument/2006/relationships/image" Target="media/82a06626d7bd0f8e5b15ab76e6ea97fb4559460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2026-07-16T04:00:16.194Z</dcterms:created>
  <dcterms:modified xsi:type="dcterms:W3CDTF">2026-07-16T04:00:16.207Z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