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65E4" w14:textId="77777777" w:rsidR="00C1316A" w:rsidRPr="00C1316A" w:rsidRDefault="00C1316A" w:rsidP="00C1316A">
      <w:pPr>
        <w:pStyle w:val="Ttulo2"/>
        <w:pBdr>
          <w:top w:val="none" w:sz="0" w:space="0" w:color="auto"/>
          <w:left w:val="none" w:sz="0" w:space="0" w:color="auto"/>
          <w:bottom w:val="none" w:sz="0" w:space="0" w:color="auto"/>
          <w:right w:val="none" w:sz="0" w:space="0" w:color="auto"/>
        </w:pBdr>
        <w:shd w:val="clear" w:color="auto" w:fill="FFFFFF" w:themeFill="background1"/>
        <w:jc w:val="right"/>
        <w:rPr>
          <w:rFonts w:ascii="Arial" w:hAnsi="Arial" w:cs="Arial"/>
          <w:lang w:val="es-US"/>
        </w:rPr>
      </w:pPr>
      <w:r w:rsidRPr="00C1316A">
        <w:rPr>
          <w:rFonts w:ascii="Arial" w:hAnsi="Arial" w:cs="Arial"/>
          <w:noProof/>
        </w:rPr>
        <w:drawing>
          <wp:anchor distT="0" distB="0" distL="114300" distR="114300" simplePos="0" relativeHeight="251661312" behindDoc="0" locked="0" layoutInCell="1" allowOverlap="1" wp14:anchorId="47D40152" wp14:editId="2B438354">
            <wp:simplePos x="0" y="0"/>
            <wp:positionH relativeFrom="column">
              <wp:posOffset>0</wp:posOffset>
            </wp:positionH>
            <wp:positionV relativeFrom="paragraph">
              <wp:posOffset>0</wp:posOffset>
            </wp:positionV>
            <wp:extent cx="1959040" cy="652868"/>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9040" cy="652868"/>
                    </a:xfrm>
                    <a:prstGeom prst="rect">
                      <a:avLst/>
                    </a:prstGeom>
                  </pic:spPr>
                </pic:pic>
              </a:graphicData>
            </a:graphic>
          </wp:anchor>
        </w:drawing>
      </w:r>
      <w:r w:rsidRPr="00C1316A">
        <w:rPr>
          <w:rFonts w:ascii="Arial" w:hAnsi="Arial" w:cs="Arial"/>
          <w:caps w:val="0"/>
          <w:lang w:val="es-ES"/>
        </w:rPr>
        <w:t>Tecnicatura universitaria en programación</w:t>
      </w:r>
    </w:p>
    <w:p w14:paraId="6EE9C241" w14:textId="77777777" w:rsidR="00C1316A" w:rsidRPr="00C1316A" w:rsidRDefault="00C1316A" w:rsidP="00C1316A">
      <w:pPr>
        <w:pStyle w:val="Ttulo2"/>
        <w:pBdr>
          <w:top w:val="none" w:sz="0" w:space="0" w:color="auto"/>
          <w:left w:val="none" w:sz="0" w:space="0" w:color="auto"/>
          <w:bottom w:val="none" w:sz="0" w:space="0" w:color="auto"/>
          <w:right w:val="none" w:sz="0" w:space="0" w:color="auto"/>
        </w:pBdr>
        <w:shd w:val="clear" w:color="auto" w:fill="FFFFFF" w:themeFill="background1"/>
        <w:jc w:val="right"/>
        <w:rPr>
          <w:rFonts w:ascii="Arial" w:hAnsi="Arial" w:cs="Arial"/>
          <w:lang w:val="es-US"/>
        </w:rPr>
      </w:pPr>
      <w:r w:rsidRPr="00C1316A">
        <w:rPr>
          <w:rFonts w:ascii="Arial" w:hAnsi="Arial" w:cs="Arial"/>
          <w:caps w:val="0"/>
          <w:lang w:val="es-US"/>
        </w:rPr>
        <w:t>Organización empresarial</w:t>
      </w:r>
    </w:p>
    <w:p w14:paraId="18CE1D12" w14:textId="77777777" w:rsidR="00C1316A" w:rsidRDefault="00C1316A">
      <w:pPr>
        <w:rPr>
          <w:rFonts w:cs="Arial"/>
          <w:szCs w:val="24"/>
          <w:lang w:val="es-US"/>
        </w:rPr>
      </w:pPr>
    </w:p>
    <w:p w14:paraId="363DECEB" w14:textId="77777777" w:rsidR="00C1316A" w:rsidRDefault="00C1316A">
      <w:pPr>
        <w:rPr>
          <w:rFonts w:cs="Arial"/>
          <w:szCs w:val="24"/>
          <w:lang w:val="es-US"/>
        </w:rPr>
      </w:pPr>
    </w:p>
    <w:p w14:paraId="00B6C1C0" w14:textId="77777777" w:rsidR="00C1316A" w:rsidRDefault="00C1316A">
      <w:pPr>
        <w:rPr>
          <w:rFonts w:cs="Arial"/>
          <w:szCs w:val="24"/>
          <w:lang w:val="es-US"/>
        </w:rPr>
      </w:pPr>
    </w:p>
    <w:p w14:paraId="7E339613" w14:textId="77777777" w:rsidR="00C1316A" w:rsidRDefault="00C1316A">
      <w:pPr>
        <w:rPr>
          <w:rFonts w:cs="Arial"/>
          <w:szCs w:val="24"/>
          <w:lang w:val="es-US"/>
        </w:rPr>
      </w:pPr>
    </w:p>
    <w:p w14:paraId="1C114101" w14:textId="77777777" w:rsidR="00C1316A" w:rsidRDefault="00C1316A">
      <w:pPr>
        <w:rPr>
          <w:rFonts w:cs="Arial"/>
          <w:szCs w:val="24"/>
          <w:lang w:val="es-US"/>
        </w:rPr>
      </w:pPr>
    </w:p>
    <w:p w14:paraId="5CF78A2B" w14:textId="77777777" w:rsidR="00C1316A" w:rsidRDefault="00C1316A">
      <w:pPr>
        <w:rPr>
          <w:rFonts w:cs="Arial"/>
          <w:szCs w:val="24"/>
          <w:lang w:val="es-US"/>
        </w:rPr>
      </w:pPr>
    </w:p>
    <w:p w14:paraId="1F7C866A" w14:textId="77777777" w:rsidR="00C1316A" w:rsidRDefault="00C1316A">
      <w:pPr>
        <w:rPr>
          <w:rFonts w:cs="Arial"/>
          <w:szCs w:val="24"/>
          <w:lang w:val="es-US"/>
        </w:rPr>
      </w:pPr>
    </w:p>
    <w:p w14:paraId="073D4E7A" w14:textId="77777777" w:rsidR="00C1316A" w:rsidRDefault="00C1316A">
      <w:pPr>
        <w:rPr>
          <w:rFonts w:cs="Arial"/>
          <w:szCs w:val="24"/>
          <w:lang w:val="es-US"/>
        </w:rPr>
      </w:pPr>
    </w:p>
    <w:p w14:paraId="55F85A1D" w14:textId="77777777" w:rsidR="00C1316A" w:rsidRDefault="00C1316A">
      <w:pPr>
        <w:rPr>
          <w:rFonts w:cs="Arial"/>
          <w:szCs w:val="24"/>
          <w:lang w:val="es-US"/>
        </w:rPr>
      </w:pPr>
    </w:p>
    <w:p w14:paraId="33A5E26D" w14:textId="77777777" w:rsidR="00C1316A" w:rsidRDefault="00ED35A2" w:rsidP="00C1316A">
      <w:pPr>
        <w:pStyle w:val="Ttulo"/>
        <w:jc w:val="center"/>
        <w:rPr>
          <w:lang w:val="es-US"/>
        </w:rPr>
      </w:pPr>
      <w:proofErr w:type="spellStart"/>
      <w:r>
        <w:rPr>
          <w:lang w:val="es-US"/>
        </w:rPr>
        <w:t>Súpercard</w:t>
      </w:r>
      <w:proofErr w:type="spellEnd"/>
    </w:p>
    <w:p w14:paraId="7DEC4BE8" w14:textId="77777777" w:rsidR="00C1316A" w:rsidRDefault="00C1316A">
      <w:pPr>
        <w:rPr>
          <w:rFonts w:cs="Arial"/>
          <w:szCs w:val="24"/>
          <w:lang w:val="es-US"/>
        </w:rPr>
      </w:pPr>
    </w:p>
    <w:p w14:paraId="6D28FB17" w14:textId="77777777" w:rsidR="00C1316A" w:rsidRDefault="00C1316A">
      <w:pPr>
        <w:rPr>
          <w:rFonts w:cs="Arial"/>
          <w:szCs w:val="24"/>
          <w:lang w:val="es-US"/>
        </w:rPr>
      </w:pPr>
    </w:p>
    <w:p w14:paraId="58358C47" w14:textId="77777777" w:rsidR="00C1316A" w:rsidRDefault="00C1316A">
      <w:pPr>
        <w:rPr>
          <w:rFonts w:cs="Arial"/>
          <w:szCs w:val="24"/>
          <w:lang w:val="es-US"/>
        </w:rPr>
      </w:pPr>
    </w:p>
    <w:p w14:paraId="1953616D" w14:textId="77777777" w:rsidR="00C1316A" w:rsidRDefault="00C1316A">
      <w:pPr>
        <w:rPr>
          <w:rFonts w:cs="Arial"/>
          <w:szCs w:val="24"/>
          <w:lang w:val="es-US"/>
        </w:rPr>
      </w:pPr>
    </w:p>
    <w:p w14:paraId="2ECD6013" w14:textId="77777777" w:rsidR="00C1316A" w:rsidRDefault="00C1316A">
      <w:pPr>
        <w:rPr>
          <w:rFonts w:cs="Arial"/>
          <w:szCs w:val="24"/>
          <w:lang w:val="es-US"/>
        </w:rPr>
      </w:pPr>
    </w:p>
    <w:p w14:paraId="17EB8BB3" w14:textId="77777777" w:rsidR="00C1316A" w:rsidRDefault="00C1316A">
      <w:pPr>
        <w:rPr>
          <w:rFonts w:cs="Arial"/>
          <w:szCs w:val="24"/>
          <w:lang w:val="es-US"/>
        </w:rPr>
      </w:pPr>
    </w:p>
    <w:p w14:paraId="425B20DA" w14:textId="77777777" w:rsidR="00C1316A" w:rsidRDefault="00C1316A">
      <w:pPr>
        <w:rPr>
          <w:rFonts w:cs="Arial"/>
          <w:szCs w:val="24"/>
          <w:lang w:val="es-US"/>
        </w:rPr>
      </w:pPr>
    </w:p>
    <w:p w14:paraId="3D082855" w14:textId="77777777" w:rsidR="00C1316A" w:rsidRDefault="00C1316A">
      <w:pPr>
        <w:rPr>
          <w:rFonts w:cs="Arial"/>
          <w:szCs w:val="24"/>
          <w:lang w:val="es-US"/>
        </w:rPr>
      </w:pPr>
    </w:p>
    <w:p w14:paraId="7D00163F" w14:textId="77777777" w:rsidR="00C1316A" w:rsidRDefault="00C1316A">
      <w:pPr>
        <w:rPr>
          <w:rFonts w:cs="Arial"/>
          <w:szCs w:val="24"/>
          <w:lang w:val="es-US"/>
        </w:rPr>
      </w:pPr>
    </w:p>
    <w:p w14:paraId="07627922" w14:textId="77777777" w:rsidR="00C1316A" w:rsidRDefault="00C1316A">
      <w:pPr>
        <w:rPr>
          <w:rFonts w:cs="Arial"/>
          <w:szCs w:val="24"/>
          <w:lang w:val="es-US"/>
        </w:rPr>
      </w:pPr>
    </w:p>
    <w:p w14:paraId="67CDC5C5" w14:textId="77777777" w:rsidR="00C1316A" w:rsidRDefault="00C1316A">
      <w:pPr>
        <w:rPr>
          <w:rFonts w:cs="Arial"/>
          <w:szCs w:val="24"/>
          <w:lang w:val="es-US"/>
        </w:rPr>
      </w:pPr>
    </w:p>
    <w:p w14:paraId="5C290E27" w14:textId="77777777" w:rsidR="00C1316A" w:rsidRDefault="00C1316A">
      <w:pPr>
        <w:rPr>
          <w:rFonts w:cs="Arial"/>
          <w:szCs w:val="24"/>
          <w:lang w:val="es-US"/>
        </w:rPr>
      </w:pPr>
    </w:p>
    <w:p w14:paraId="2E10C41D" w14:textId="77777777" w:rsidR="00C1316A" w:rsidRDefault="00C1316A">
      <w:pPr>
        <w:rPr>
          <w:rFonts w:cs="Arial"/>
          <w:szCs w:val="24"/>
          <w:lang w:val="es-US"/>
        </w:rPr>
      </w:pPr>
    </w:p>
    <w:p w14:paraId="54404D1F" w14:textId="77777777" w:rsidR="00C1316A" w:rsidRPr="00C1316A" w:rsidRDefault="00C1316A">
      <w:pPr>
        <w:rPr>
          <w:rFonts w:cs="Arial"/>
          <w:szCs w:val="24"/>
          <w:lang w:val="es-US"/>
        </w:rPr>
      </w:pPr>
    </w:p>
    <w:tbl>
      <w:tblPr>
        <w:tblStyle w:val="Tablaconcuadrcula"/>
        <w:tblW w:w="0" w:type="auto"/>
        <w:tblLook w:val="04A0" w:firstRow="1" w:lastRow="0" w:firstColumn="1" w:lastColumn="0" w:noHBand="0" w:noVBand="1"/>
      </w:tblPr>
      <w:tblGrid>
        <w:gridCol w:w="5382"/>
        <w:gridCol w:w="3634"/>
      </w:tblGrid>
      <w:tr w:rsidR="00C1316A" w:rsidRPr="00C1316A" w14:paraId="68212556" w14:textId="77777777" w:rsidTr="00C1316A">
        <w:tc>
          <w:tcPr>
            <w:tcW w:w="5382" w:type="dxa"/>
            <w:tcBorders>
              <w:top w:val="nil"/>
              <w:left w:val="nil"/>
              <w:bottom w:val="nil"/>
              <w:right w:val="nil"/>
            </w:tcBorders>
          </w:tcPr>
          <w:p w14:paraId="41DB8E21" w14:textId="77777777" w:rsidR="00C1316A" w:rsidRPr="00C1316A" w:rsidRDefault="00C1316A">
            <w:pPr>
              <w:rPr>
                <w:rFonts w:cs="Arial"/>
                <w:szCs w:val="24"/>
                <w:lang w:val="es-US"/>
              </w:rPr>
            </w:pPr>
            <w:r w:rsidRPr="00C1316A">
              <w:rPr>
                <w:rFonts w:cs="Arial"/>
                <w:b/>
                <w:bCs/>
                <w:szCs w:val="24"/>
                <w:lang w:val="es-US"/>
              </w:rPr>
              <w:t>Integrantes</w:t>
            </w:r>
            <w:r>
              <w:rPr>
                <w:rFonts w:cs="Arial"/>
                <w:szCs w:val="24"/>
                <w:lang w:val="es-US"/>
              </w:rPr>
              <w:br/>
            </w:r>
            <w:r w:rsidRPr="00C1316A">
              <w:rPr>
                <w:rFonts w:cs="Arial"/>
                <w:szCs w:val="24"/>
                <w:lang w:val="es-US"/>
              </w:rPr>
              <w:t>Matías Bergés</w:t>
            </w:r>
          </w:p>
          <w:p w14:paraId="1EE86919" w14:textId="77777777" w:rsidR="00C1316A" w:rsidRPr="00C1316A" w:rsidRDefault="00C1316A">
            <w:pPr>
              <w:rPr>
                <w:rFonts w:cs="Arial"/>
                <w:szCs w:val="24"/>
                <w:lang w:val="es-US"/>
              </w:rPr>
            </w:pPr>
            <w:r w:rsidRPr="00C1316A">
              <w:rPr>
                <w:rFonts w:cs="Arial"/>
                <w:szCs w:val="24"/>
                <w:lang w:val="es-US"/>
              </w:rPr>
              <w:t xml:space="preserve">Bernardo </w:t>
            </w:r>
            <w:proofErr w:type="spellStart"/>
            <w:r w:rsidRPr="00C1316A">
              <w:rPr>
                <w:rFonts w:cs="Arial"/>
                <w:szCs w:val="24"/>
                <w:lang w:val="es-US"/>
              </w:rPr>
              <w:t>Dinarte</w:t>
            </w:r>
            <w:proofErr w:type="spellEnd"/>
          </w:p>
          <w:p w14:paraId="5514A724" w14:textId="77777777" w:rsidR="00C1316A" w:rsidRPr="00C1316A" w:rsidRDefault="00C1316A">
            <w:pPr>
              <w:rPr>
                <w:rFonts w:cs="Arial"/>
                <w:szCs w:val="24"/>
                <w:lang w:val="es-US"/>
              </w:rPr>
            </w:pPr>
            <w:r w:rsidRPr="00C1316A">
              <w:rPr>
                <w:rFonts w:cs="Arial"/>
                <w:szCs w:val="24"/>
                <w:lang w:val="es-US"/>
              </w:rPr>
              <w:t xml:space="preserve">Federico Fernández </w:t>
            </w:r>
            <w:proofErr w:type="spellStart"/>
            <w:r w:rsidRPr="00C1316A">
              <w:rPr>
                <w:rFonts w:cs="Arial"/>
                <w:szCs w:val="24"/>
                <w:lang w:val="es-US"/>
              </w:rPr>
              <w:t>Balbis</w:t>
            </w:r>
            <w:proofErr w:type="spellEnd"/>
          </w:p>
          <w:p w14:paraId="145CFFB9" w14:textId="77777777" w:rsidR="00C1316A" w:rsidRPr="00C1316A" w:rsidRDefault="00C1316A">
            <w:pPr>
              <w:rPr>
                <w:rFonts w:cs="Arial"/>
                <w:szCs w:val="24"/>
                <w:lang w:val="es-US"/>
              </w:rPr>
            </w:pPr>
            <w:r w:rsidRPr="00C1316A">
              <w:rPr>
                <w:rFonts w:cs="Arial"/>
                <w:szCs w:val="24"/>
                <w:lang w:val="es-US"/>
              </w:rPr>
              <w:t>Martin Fossati</w:t>
            </w:r>
          </w:p>
          <w:p w14:paraId="4ECB2869" w14:textId="77777777" w:rsidR="00C1316A" w:rsidRPr="00C1316A" w:rsidRDefault="00C1316A">
            <w:pPr>
              <w:rPr>
                <w:rFonts w:cs="Arial"/>
                <w:szCs w:val="24"/>
                <w:lang w:val="es-US"/>
              </w:rPr>
            </w:pPr>
            <w:r w:rsidRPr="00C1316A">
              <w:rPr>
                <w:rFonts w:cs="Arial"/>
                <w:szCs w:val="24"/>
                <w:lang w:val="es-US"/>
              </w:rPr>
              <w:t>Erika Sureda Ayala</w:t>
            </w:r>
          </w:p>
        </w:tc>
        <w:tc>
          <w:tcPr>
            <w:tcW w:w="3634" w:type="dxa"/>
            <w:tcBorders>
              <w:top w:val="nil"/>
              <w:left w:val="nil"/>
              <w:bottom w:val="nil"/>
              <w:right w:val="nil"/>
            </w:tcBorders>
          </w:tcPr>
          <w:p w14:paraId="62DA1391" w14:textId="77777777" w:rsidR="00C1316A" w:rsidRDefault="00C1316A" w:rsidP="006A68FA">
            <w:pPr>
              <w:pStyle w:val="NormalWeb"/>
              <w:rPr>
                <w:rFonts w:ascii="Arial" w:hAnsi="Arial" w:cs="Arial"/>
              </w:rPr>
            </w:pPr>
            <w:r w:rsidRPr="00C1316A">
              <w:rPr>
                <w:rFonts w:ascii="Arial" w:hAnsi="Arial" w:cs="Arial"/>
                <w:b/>
                <w:bCs/>
              </w:rPr>
              <w:t>Profesora</w:t>
            </w:r>
            <w:r>
              <w:rPr>
                <w:rFonts w:ascii="Arial" w:hAnsi="Arial" w:cs="Arial"/>
              </w:rPr>
              <w:br/>
            </w:r>
            <w:r w:rsidRPr="00C1316A">
              <w:rPr>
                <w:rFonts w:ascii="Arial" w:hAnsi="Arial" w:cs="Arial"/>
              </w:rPr>
              <w:t>Lic. Marcela Cesare</w:t>
            </w:r>
          </w:p>
          <w:p w14:paraId="632D9031" w14:textId="77777777" w:rsidR="006A68FA" w:rsidRPr="00C1316A" w:rsidRDefault="001F5471" w:rsidP="001F5471">
            <w:pPr>
              <w:pStyle w:val="NormalWeb"/>
              <w:rPr>
                <w:rFonts w:ascii="Arial" w:hAnsi="Arial" w:cs="Arial"/>
              </w:rPr>
            </w:pPr>
            <w:r w:rsidRPr="001F5471">
              <w:rPr>
                <w:rFonts w:ascii="Arial" w:hAnsi="Arial" w:cs="Arial"/>
                <w:b/>
                <w:bCs/>
              </w:rPr>
              <w:t>Tarea</w:t>
            </w:r>
            <w:r>
              <w:rPr>
                <w:rFonts w:ascii="Arial" w:hAnsi="Arial" w:cs="Arial"/>
              </w:rPr>
              <w:br/>
            </w:r>
            <w:proofErr w:type="spellStart"/>
            <w:r>
              <w:rPr>
                <w:rFonts w:ascii="Arial" w:hAnsi="Arial" w:cs="Arial"/>
              </w:rPr>
              <w:t>Súpercard</w:t>
            </w:r>
            <w:proofErr w:type="spellEnd"/>
            <w:r>
              <w:rPr>
                <w:rFonts w:ascii="Arial" w:hAnsi="Arial" w:cs="Arial"/>
              </w:rPr>
              <w:t xml:space="preserve"> </w:t>
            </w:r>
            <w:r w:rsidR="006A68FA">
              <w:rPr>
                <w:rFonts w:ascii="Arial" w:hAnsi="Arial" w:cs="Arial"/>
              </w:rPr>
              <w:t xml:space="preserve">Versión </w:t>
            </w:r>
            <w:proofErr w:type="spellStart"/>
            <w:r w:rsidR="006A68FA">
              <w:rPr>
                <w:rFonts w:ascii="Arial" w:hAnsi="Arial" w:cs="Arial"/>
              </w:rPr>
              <w:t>n°</w:t>
            </w:r>
            <w:proofErr w:type="spellEnd"/>
            <w:r w:rsidR="006A68FA">
              <w:rPr>
                <w:rFonts w:ascii="Arial" w:hAnsi="Arial" w:cs="Arial"/>
              </w:rPr>
              <w:t xml:space="preserve"> 1</w:t>
            </w:r>
          </w:p>
          <w:p w14:paraId="6601A4EE" w14:textId="77777777" w:rsidR="00C1316A" w:rsidRPr="00C1316A" w:rsidRDefault="00C1316A">
            <w:pPr>
              <w:rPr>
                <w:rFonts w:cs="Arial"/>
                <w:szCs w:val="24"/>
                <w:lang w:val="es-US"/>
              </w:rPr>
            </w:pPr>
          </w:p>
        </w:tc>
      </w:tr>
    </w:tbl>
    <w:p w14:paraId="5AA23D24" w14:textId="77777777" w:rsidR="00C1316A" w:rsidRDefault="00C1316A" w:rsidP="00C1316A">
      <w:pPr>
        <w:rPr>
          <w:lang w:val="es-US"/>
        </w:rPr>
      </w:pPr>
      <w:r>
        <w:rPr>
          <w:lang w:val="es-US"/>
        </w:rPr>
        <w:lastRenderedPageBreak/>
        <w:br w:type="page"/>
      </w:r>
    </w:p>
    <w:p w14:paraId="1D10734F" w14:textId="77777777" w:rsidR="00C1316A" w:rsidRDefault="00C1316A" w:rsidP="00C1316A">
      <w:pPr>
        <w:pStyle w:val="Ttulo1"/>
        <w:spacing w:after="240"/>
        <w:rPr>
          <w:rFonts w:cs="Arial"/>
          <w:lang w:val="es-US"/>
        </w:rPr>
      </w:pPr>
      <w:r w:rsidRPr="00C1316A">
        <w:rPr>
          <w:rFonts w:cs="Arial"/>
          <w:lang w:val="es-US"/>
        </w:rPr>
        <w:lastRenderedPageBreak/>
        <w:t>Consigna</w:t>
      </w:r>
    </w:p>
    <w:p w14:paraId="1B246063" w14:textId="77777777" w:rsidR="00FE373A" w:rsidRDefault="00C1316A" w:rsidP="00C1316A">
      <w:r>
        <w:t>Realiza una investigación acerca del estado de la tarjeta “</w:t>
      </w:r>
      <w:proofErr w:type="spellStart"/>
      <w:r>
        <w:t>Supercard</w:t>
      </w:r>
      <w:proofErr w:type="spellEnd"/>
      <w:r>
        <w:t xml:space="preserve">”, detallar de manera sintética el proceso por el cual paso la tarjeta para su habilitación, mencionar utilidad, negocios asociados, manera de conseguirla, eficiencia de la misma, </w:t>
      </w:r>
      <w:proofErr w:type="spellStart"/>
      <w:r>
        <w:t>etc</w:t>
      </w:r>
      <w:proofErr w:type="spellEnd"/>
    </w:p>
    <w:p w14:paraId="5D9282C4" w14:textId="77777777" w:rsidR="00FE373A" w:rsidRDefault="00FE373A" w:rsidP="00FE373A">
      <w:r>
        <w:br w:type="page"/>
      </w:r>
    </w:p>
    <w:p w14:paraId="58AF7A02" w14:textId="77777777" w:rsidR="00FE373A" w:rsidRDefault="00FE373A" w:rsidP="009E3210">
      <w:pPr>
        <w:jc w:val="both"/>
      </w:pPr>
      <w:r>
        <w:lastRenderedPageBreak/>
        <w:t>La S</w:t>
      </w:r>
      <w:r>
        <w:rPr>
          <w:lang w:val="es-US"/>
        </w:rPr>
        <w:t>ú</w:t>
      </w:r>
      <w:proofErr w:type="spellStart"/>
      <w:r>
        <w:t>percard</w:t>
      </w:r>
      <w:proofErr w:type="spellEnd"/>
      <w:r>
        <w:t xml:space="preserve"> fue un proyecto impulsado por el gobierno y algunos supermercados en 2013, tenía como objetivo emitir una tarjeta de débito que cobrara comisiones del 1% o menos, menores a las del 3% que se cobraban en ese momento.</w:t>
      </w:r>
    </w:p>
    <w:p w14:paraId="5EE892A4" w14:textId="77777777" w:rsidR="00FE373A" w:rsidRDefault="00FE373A" w:rsidP="009E3210">
      <w:pPr>
        <w:jc w:val="both"/>
        <w:rPr>
          <w:rFonts w:ascii="Times New Roman" w:hAnsi="Times New Roman"/>
        </w:rPr>
      </w:pPr>
      <w:r>
        <w:t xml:space="preserve">Para obtener la </w:t>
      </w:r>
      <w:proofErr w:type="spellStart"/>
      <w:r>
        <w:t>Súpercard</w:t>
      </w:r>
      <w:proofErr w:type="spellEnd"/>
      <w:r>
        <w:t xml:space="preserve">, las personas podían inscribirse en varias sucursales de cadenas de supermercado inscriptas y también en Correo Argentino presentando su DNI, una factura de un servicio a su nombre y su recibo de sueldo </w:t>
      </w:r>
      <w:r w:rsidR="007207E6">
        <w:t>u otro</w:t>
      </w:r>
      <w:r>
        <w:t xml:space="preserve"> comproba</w:t>
      </w:r>
      <w:r w:rsidR="007207E6">
        <w:t xml:space="preserve">nte de </w:t>
      </w:r>
      <w:r>
        <w:t>ingresos. La tarjeta iba a ser aceptada en varios supermercados</w:t>
      </w:r>
      <w:r w:rsidR="007207E6">
        <w:t xml:space="preserve"> grandes del país, tales como Carrefour, Coto, supermercados del grupo Cencosud, Dia, entre otros, </w:t>
      </w:r>
      <w:r>
        <w:t xml:space="preserve">así como en </w:t>
      </w:r>
      <w:r w:rsidR="007207E6">
        <w:t xml:space="preserve">negocios de otros rubros, entre ellos </w:t>
      </w:r>
      <w:r>
        <w:t>Farmacity, YPF y McDonald's.</w:t>
      </w:r>
    </w:p>
    <w:p w14:paraId="1B4E7758" w14:textId="77777777" w:rsidR="00FE373A" w:rsidRDefault="00FE373A" w:rsidP="009E3210">
      <w:pPr>
        <w:jc w:val="both"/>
      </w:pPr>
      <w:r>
        <w:t xml:space="preserve">Sin embargo, el proyecto no tuvo éxito debido a varias razones. En primer lugar, </w:t>
      </w:r>
      <w:r w:rsidR="007207E6">
        <w:t>hubo muy poca información respecto de la tarjeta y sus beneficios para el público general,</w:t>
      </w:r>
      <w:r w:rsidR="007207E6" w:rsidRPr="007207E6">
        <w:t xml:space="preserve"> </w:t>
      </w:r>
      <w:r w:rsidR="007207E6">
        <w:t xml:space="preserve">ya que el proyecto no tenía una estrategia clara de marketing y promoción, lo que hizo difícil que la gente se enterara de su existencia y entendiera sus beneficios, lo que generó una </w:t>
      </w:r>
      <w:r>
        <w:t>falta de interés por parte de los consumidores</w:t>
      </w:r>
      <w:r w:rsidR="007207E6">
        <w:t>, ya que,</w:t>
      </w:r>
      <w:r>
        <w:t xml:space="preserve"> al tener tarjetas de entidades bancarias en su billetera, no vieron la necesidad de tener otra tarjeta más.</w:t>
      </w:r>
    </w:p>
    <w:p w14:paraId="2C4535AC" w14:textId="77777777" w:rsidR="00FE373A" w:rsidRDefault="00FE373A" w:rsidP="009E3210">
      <w:pPr>
        <w:jc w:val="both"/>
      </w:pPr>
      <w:r>
        <w:t>Los supermercados entregaron las tarjetas únicamente durante los primeros quince días desde el lanzamiento de la tarjeta, lo que no permitió que se diera a conocer de manera adecuada.</w:t>
      </w:r>
    </w:p>
    <w:p w14:paraId="7628E4FE" w14:textId="77777777" w:rsidR="00FE373A" w:rsidRDefault="009E3210" w:rsidP="009E3210">
      <w:pPr>
        <w:jc w:val="both"/>
      </w:pPr>
      <w:r>
        <w:t>H</w:t>
      </w:r>
      <w:r w:rsidR="00FE373A">
        <w:t>ubo desinformación sobre los requisitos para obtener la tarjeta. En un principio se dijo que iba a ser para los más necesitados, luego se dijo que se debería contar con otra tarjeta que tuviera, al menos, un año de antigüedad. La falta de claridad en los requisitos hizo que la gente perdiera interés en la tarjeta.</w:t>
      </w:r>
    </w:p>
    <w:p w14:paraId="19E5D87D" w14:textId="77777777" w:rsidR="009E3210" w:rsidRDefault="009E3210" w:rsidP="009E3210">
      <w:pPr>
        <w:jc w:val="both"/>
      </w:pPr>
      <w:r>
        <w:t>Además de esto, hubo un error de análisis en el enfoque del proyecto. Se hizo más énfasis en presionar a los bancos que en hacer una investigación de mercado orientada a buscar los puntos fuertes de inserción de la tarjeta.</w:t>
      </w:r>
    </w:p>
    <w:p w14:paraId="21AF02C3" w14:textId="77777777" w:rsidR="009E3210" w:rsidRDefault="009E3210" w:rsidP="009E3210">
      <w:pPr>
        <w:jc w:val="both"/>
        <w:rPr>
          <w:rFonts w:ascii="Times New Roman" w:hAnsi="Times New Roman"/>
        </w:rPr>
      </w:pPr>
      <w:r>
        <w:t xml:space="preserve">La falta de aceptación de la tarjeta por parte de algunas empresas y comercios también contribuyó al fracaso de la </w:t>
      </w:r>
      <w:proofErr w:type="spellStart"/>
      <w:r>
        <w:t>SuperCard</w:t>
      </w:r>
      <w:proofErr w:type="spellEnd"/>
      <w:r>
        <w:t>. Muchos negocios no vieron el beneficio de aceptar otra tarjeta de débito que no les ofrecía ventajas competitivas y, por lo tanto, no se molestaron en fomentar su uso entre sus clientes.</w:t>
      </w:r>
    </w:p>
    <w:p w14:paraId="5209B407" w14:textId="77777777" w:rsidR="001819A3" w:rsidRPr="00FE373A" w:rsidRDefault="009E3210" w:rsidP="009E3210">
      <w:pPr>
        <w:jc w:val="both"/>
      </w:pPr>
      <w:r>
        <w:t xml:space="preserve">La </w:t>
      </w:r>
      <w:proofErr w:type="spellStart"/>
      <w:r>
        <w:t>SuperCard</w:t>
      </w:r>
      <w:proofErr w:type="spellEnd"/>
      <w:r>
        <w:t xml:space="preserve"> fue un proyecto ambicioso que intentó cambiar el sistema de cobro de comisiones en las tarjetas de débito en Argentina, pero falló por diversas razones. La limitada promoción y marketing de la tarjeta junto con la desinformación sobre los requisitos para obtenerla, la falta de confianza de los bancos, la falta de aceptación de algunos negocios y la falta de financiamiento adecuado hicieron que la tarjeta nunca despegara.</w:t>
      </w:r>
    </w:p>
    <w:p w14:paraId="594C4B6E" w14:textId="77777777" w:rsidR="001819A3" w:rsidRDefault="001819A3" w:rsidP="001819A3">
      <w:r>
        <w:br w:type="page"/>
      </w:r>
    </w:p>
    <w:p w14:paraId="5EF6A176" w14:textId="77777777" w:rsidR="00C1316A" w:rsidRDefault="001819A3" w:rsidP="001819A3">
      <w:pPr>
        <w:pStyle w:val="Ttulo1"/>
        <w:rPr>
          <w:lang w:val="es-US"/>
        </w:rPr>
      </w:pPr>
      <w:r>
        <w:rPr>
          <w:lang w:val="es-US"/>
        </w:rPr>
        <w:lastRenderedPageBreak/>
        <w:t>Bibliografía</w:t>
      </w:r>
    </w:p>
    <w:p w14:paraId="369D184A" w14:textId="77777777" w:rsidR="001819A3" w:rsidRPr="00771B18" w:rsidRDefault="001819A3" w:rsidP="00771B18">
      <w:pPr>
        <w:spacing w:before="100" w:beforeAutospacing="1" w:after="100" w:afterAutospacing="1" w:line="240" w:lineRule="auto"/>
        <w:outlineLvl w:val="0"/>
        <w:rPr>
          <w:rFonts w:ascii="Times New Roman" w:eastAsia="Times New Roman" w:hAnsi="Times New Roman" w:cs="Times New Roman"/>
          <w:b/>
          <w:bCs/>
          <w:color w:val="595959" w:themeColor="text1" w:themeTint="A6"/>
          <w:kern w:val="36"/>
          <w:sz w:val="48"/>
          <w:szCs w:val="48"/>
          <w:lang w:eastAsia="es-AR"/>
          <w14:ligatures w14:val="none"/>
        </w:rPr>
      </w:pPr>
      <w:r w:rsidRPr="00771B18">
        <w:rPr>
          <w:color w:val="595959" w:themeColor="text1" w:themeTint="A6"/>
          <w:szCs w:val="24"/>
        </w:rPr>
        <w:t>[</w:t>
      </w:r>
      <w:r w:rsidR="00771B18" w:rsidRPr="00AC25A9">
        <w:rPr>
          <w:i/>
          <w:iCs/>
          <w:color w:val="595959" w:themeColor="text1" w:themeTint="A6"/>
          <w:lang w:eastAsia="es-AR"/>
        </w:rPr>
        <w:t xml:space="preserve">Los Supermercados chinos rechazan la </w:t>
      </w:r>
      <w:proofErr w:type="spellStart"/>
      <w:r w:rsidR="00771B18" w:rsidRPr="00AC25A9">
        <w:rPr>
          <w:i/>
          <w:iCs/>
          <w:color w:val="595959" w:themeColor="text1" w:themeTint="A6"/>
          <w:lang w:eastAsia="es-AR"/>
        </w:rPr>
        <w:t>Supercard</w:t>
      </w:r>
      <w:proofErr w:type="spellEnd"/>
      <w:r w:rsidR="00771B18" w:rsidRPr="00AC25A9">
        <w:rPr>
          <w:i/>
          <w:iCs/>
          <w:color w:val="595959" w:themeColor="text1" w:themeTint="A6"/>
          <w:lang w:eastAsia="es-AR"/>
        </w:rPr>
        <w:t xml:space="preserve"> excluyente</w:t>
      </w:r>
      <w:r w:rsidR="00FE373A">
        <w:rPr>
          <w:i/>
          <w:iCs/>
          <w:color w:val="595959" w:themeColor="text1" w:themeTint="A6"/>
          <w:lang w:eastAsia="es-AR"/>
        </w:rPr>
        <w:t>,</w:t>
      </w:r>
      <w:r w:rsidR="00771B18" w:rsidRPr="00771B18">
        <w:rPr>
          <w:color w:val="595959" w:themeColor="text1" w:themeTint="A6"/>
        </w:rPr>
        <w:t xml:space="preserve"> </w:t>
      </w:r>
      <w:hyperlink r:id="rId7" w:history="1">
        <w:r w:rsidR="00771B18" w:rsidRPr="00771B18">
          <w:rPr>
            <w:color w:val="595959" w:themeColor="text1" w:themeTint="A6"/>
          </w:rPr>
          <w:t>https://urgente24.com/211679-los-supermercados-chinos-rechazan-la-supercad-de-moreno/amp</w:t>
        </w:r>
      </w:hyperlink>
      <w:r w:rsidR="00771B18" w:rsidRPr="00771B18">
        <w:rPr>
          <w:color w:val="595959" w:themeColor="text1" w:themeTint="A6"/>
        </w:rPr>
        <w:t xml:space="preserve"> </w:t>
      </w:r>
      <w:r w:rsidRPr="00771B18">
        <w:rPr>
          <w:color w:val="595959" w:themeColor="text1" w:themeTint="A6"/>
        </w:rPr>
        <w:t>(Fecha de consulta 202</w:t>
      </w:r>
      <w:r w:rsidR="00771B18">
        <w:rPr>
          <w:color w:val="595959" w:themeColor="text1" w:themeTint="A6"/>
        </w:rPr>
        <w:t>3</w:t>
      </w:r>
      <w:r w:rsidRPr="00771B18">
        <w:rPr>
          <w:color w:val="595959" w:themeColor="text1" w:themeTint="A6"/>
        </w:rPr>
        <w:t xml:space="preserve">, </w:t>
      </w:r>
      <w:r w:rsidR="00771B18">
        <w:rPr>
          <w:color w:val="595959" w:themeColor="text1" w:themeTint="A6"/>
        </w:rPr>
        <w:t>abril</w:t>
      </w:r>
      <w:r w:rsidRPr="00771B18">
        <w:rPr>
          <w:color w:val="595959" w:themeColor="text1" w:themeTint="A6"/>
        </w:rPr>
        <w:t xml:space="preserve"> </w:t>
      </w:r>
      <w:r w:rsidR="00771B18">
        <w:rPr>
          <w:color w:val="595959" w:themeColor="text1" w:themeTint="A6"/>
        </w:rPr>
        <w:t>18</w:t>
      </w:r>
      <w:r w:rsidRPr="00771B18">
        <w:rPr>
          <w:color w:val="595959" w:themeColor="text1" w:themeTint="A6"/>
          <w:szCs w:val="24"/>
        </w:rPr>
        <w:t>)]</w:t>
      </w:r>
    </w:p>
    <w:p w14:paraId="43B9A25A" w14:textId="77777777" w:rsidR="00771B18" w:rsidRPr="00FE373A" w:rsidRDefault="001819A3" w:rsidP="00FE373A">
      <w:pPr>
        <w:rPr>
          <w:color w:val="595959" w:themeColor="text1" w:themeTint="A6"/>
        </w:rPr>
      </w:pPr>
      <w:r w:rsidRPr="001819A3">
        <w:rPr>
          <w:color w:val="595959" w:themeColor="text1" w:themeTint="A6"/>
          <w:szCs w:val="24"/>
        </w:rPr>
        <w:t>[</w:t>
      </w:r>
      <w:r w:rsidR="00FE373A" w:rsidRPr="00FE373A">
        <w:rPr>
          <w:i/>
          <w:iCs/>
          <w:color w:val="595959" w:themeColor="text1" w:themeTint="A6"/>
        </w:rPr>
        <w:t xml:space="preserve">Cuáles son los supermercados en donde se podrá tramitar la </w:t>
      </w:r>
      <w:proofErr w:type="spellStart"/>
      <w:r w:rsidR="00FE373A" w:rsidRPr="00FE373A">
        <w:rPr>
          <w:i/>
          <w:iCs/>
          <w:color w:val="595959" w:themeColor="text1" w:themeTint="A6"/>
        </w:rPr>
        <w:t>Supercard</w:t>
      </w:r>
      <w:proofErr w:type="spellEnd"/>
      <w:r w:rsidR="00FE373A" w:rsidRPr="00FE373A">
        <w:rPr>
          <w:i/>
          <w:iCs/>
          <w:color w:val="595959" w:themeColor="text1" w:themeTint="A6"/>
        </w:rPr>
        <w:t xml:space="preserve">, </w:t>
      </w:r>
      <w:hyperlink r:id="rId8" w:history="1">
        <w:r w:rsidR="00FE373A" w:rsidRPr="00FE373A">
          <w:rPr>
            <w:rStyle w:val="Hipervnculo"/>
            <w:color w:val="595959" w:themeColor="text1" w:themeTint="A6"/>
          </w:rPr>
          <w:t>https://www.infobae.com/2013/03/27/702961-cuales-son-los-supermercados-donde-se-podra-tramitar-la-supercard/</w:t>
        </w:r>
      </w:hyperlink>
      <w:r w:rsidR="00FE373A" w:rsidRPr="00771B18">
        <w:rPr>
          <w:color w:val="595959" w:themeColor="text1" w:themeTint="A6"/>
        </w:rPr>
        <w:t xml:space="preserve"> </w:t>
      </w:r>
      <w:r w:rsidR="00771B18" w:rsidRPr="00771B18">
        <w:rPr>
          <w:color w:val="595959" w:themeColor="text1" w:themeTint="A6"/>
        </w:rPr>
        <w:t>(Fecha de consulta 202</w:t>
      </w:r>
      <w:r w:rsidR="00771B18">
        <w:rPr>
          <w:color w:val="595959" w:themeColor="text1" w:themeTint="A6"/>
        </w:rPr>
        <w:t>3</w:t>
      </w:r>
      <w:r w:rsidR="00771B18" w:rsidRPr="00771B18">
        <w:rPr>
          <w:color w:val="595959" w:themeColor="text1" w:themeTint="A6"/>
        </w:rPr>
        <w:t xml:space="preserve">, </w:t>
      </w:r>
      <w:r w:rsidR="00771B18">
        <w:rPr>
          <w:color w:val="595959" w:themeColor="text1" w:themeTint="A6"/>
        </w:rPr>
        <w:t>abril</w:t>
      </w:r>
      <w:r w:rsidR="00771B18" w:rsidRPr="00771B18">
        <w:rPr>
          <w:color w:val="595959" w:themeColor="text1" w:themeTint="A6"/>
        </w:rPr>
        <w:t xml:space="preserve"> </w:t>
      </w:r>
      <w:r w:rsidR="00771B18">
        <w:rPr>
          <w:color w:val="595959" w:themeColor="text1" w:themeTint="A6"/>
        </w:rPr>
        <w:t>18</w:t>
      </w:r>
      <w:r w:rsidR="00771B18" w:rsidRPr="00771B18">
        <w:rPr>
          <w:color w:val="595959" w:themeColor="text1" w:themeTint="A6"/>
          <w:szCs w:val="24"/>
        </w:rPr>
        <w:t>)]</w:t>
      </w:r>
      <w:r w:rsidR="00771B18" w:rsidRPr="001819A3">
        <w:rPr>
          <w:color w:val="595959" w:themeColor="text1" w:themeTint="A6"/>
          <w:szCs w:val="24"/>
        </w:rPr>
        <w:t xml:space="preserve"> </w:t>
      </w:r>
    </w:p>
    <w:p w14:paraId="43963DDF" w14:textId="77777777" w:rsidR="001819A3" w:rsidRPr="00FE373A" w:rsidRDefault="001819A3" w:rsidP="00FE373A">
      <w:pPr>
        <w:rPr>
          <w:color w:val="595959" w:themeColor="text1" w:themeTint="A6"/>
        </w:rPr>
      </w:pPr>
      <w:r w:rsidRPr="001819A3">
        <w:rPr>
          <w:color w:val="595959" w:themeColor="text1" w:themeTint="A6"/>
          <w:szCs w:val="24"/>
        </w:rPr>
        <w:t>[</w:t>
      </w:r>
      <w:r w:rsidR="00FE373A" w:rsidRPr="00FE373A">
        <w:rPr>
          <w:i/>
          <w:iCs/>
          <w:color w:val="595959" w:themeColor="text1" w:themeTint="A6"/>
        </w:rPr>
        <w:t xml:space="preserve">La </w:t>
      </w:r>
      <w:proofErr w:type="spellStart"/>
      <w:r w:rsidR="00FE373A" w:rsidRPr="00FE373A">
        <w:rPr>
          <w:i/>
          <w:iCs/>
          <w:color w:val="595959" w:themeColor="text1" w:themeTint="A6"/>
        </w:rPr>
        <w:t>Supercard</w:t>
      </w:r>
      <w:proofErr w:type="spellEnd"/>
      <w:r w:rsidR="00FE373A" w:rsidRPr="00FE373A">
        <w:rPr>
          <w:i/>
          <w:iCs/>
          <w:color w:val="595959" w:themeColor="text1" w:themeTint="A6"/>
        </w:rPr>
        <w:t xml:space="preserve"> está en marcha, pero sólo en 30 supermercados y en Correo Argentino</w:t>
      </w:r>
      <w:r w:rsidR="00FE373A">
        <w:rPr>
          <w:i/>
          <w:iCs/>
          <w:color w:val="595959" w:themeColor="text1" w:themeTint="A6"/>
          <w:szCs w:val="24"/>
        </w:rPr>
        <w:t>,</w:t>
      </w:r>
      <w:r w:rsidRPr="001819A3">
        <w:rPr>
          <w:color w:val="595959" w:themeColor="text1" w:themeTint="A6"/>
          <w:szCs w:val="24"/>
        </w:rPr>
        <w:t xml:space="preserve"> </w:t>
      </w:r>
      <w:hyperlink r:id="rId9" w:history="1">
        <w:r w:rsidR="00FE373A" w:rsidRPr="00FE373A">
          <w:rPr>
            <w:rStyle w:val="Hipervnculo"/>
            <w:color w:val="595959" w:themeColor="text1" w:themeTint="A6"/>
          </w:rPr>
          <w:t>https://www.cronista.com/economia-politica/La-Supercard-esta-en-marcha-pero-solo-en-30-supermercados-y-en-Correo-Argentino-20130807-0096.html</w:t>
        </w:r>
      </w:hyperlink>
      <w:r w:rsidR="00FE373A">
        <w:rPr>
          <w:color w:val="595959" w:themeColor="text1" w:themeTint="A6"/>
        </w:rPr>
        <w:t xml:space="preserve"> </w:t>
      </w:r>
      <w:r w:rsidR="00771B18" w:rsidRPr="00771B18">
        <w:rPr>
          <w:color w:val="595959" w:themeColor="text1" w:themeTint="A6"/>
        </w:rPr>
        <w:t>(Fecha de consulta 202</w:t>
      </w:r>
      <w:r w:rsidR="00771B18">
        <w:rPr>
          <w:color w:val="595959" w:themeColor="text1" w:themeTint="A6"/>
        </w:rPr>
        <w:t>3</w:t>
      </w:r>
      <w:r w:rsidR="00771B18" w:rsidRPr="00771B18">
        <w:rPr>
          <w:color w:val="595959" w:themeColor="text1" w:themeTint="A6"/>
        </w:rPr>
        <w:t xml:space="preserve">, </w:t>
      </w:r>
      <w:r w:rsidR="00771B18">
        <w:rPr>
          <w:color w:val="595959" w:themeColor="text1" w:themeTint="A6"/>
        </w:rPr>
        <w:t>abril</w:t>
      </w:r>
      <w:r w:rsidR="00771B18" w:rsidRPr="00771B18">
        <w:rPr>
          <w:color w:val="595959" w:themeColor="text1" w:themeTint="A6"/>
        </w:rPr>
        <w:t xml:space="preserve"> </w:t>
      </w:r>
      <w:r w:rsidR="00771B18">
        <w:rPr>
          <w:color w:val="595959" w:themeColor="text1" w:themeTint="A6"/>
        </w:rPr>
        <w:t>18</w:t>
      </w:r>
      <w:r w:rsidR="00771B18" w:rsidRPr="00771B18">
        <w:rPr>
          <w:color w:val="595959" w:themeColor="text1" w:themeTint="A6"/>
          <w:szCs w:val="24"/>
        </w:rPr>
        <w:t>)]</w:t>
      </w:r>
    </w:p>
    <w:p w14:paraId="75D0726B" w14:textId="77777777" w:rsidR="001819A3" w:rsidRPr="00FE373A" w:rsidRDefault="001819A3" w:rsidP="00FE373A">
      <w:pPr>
        <w:rPr>
          <w:color w:val="595959" w:themeColor="text1" w:themeTint="A6"/>
          <w:lang w:eastAsia="es-AR"/>
        </w:rPr>
      </w:pPr>
      <w:r w:rsidRPr="001819A3">
        <w:rPr>
          <w:color w:val="595959" w:themeColor="text1" w:themeTint="A6"/>
          <w:szCs w:val="24"/>
        </w:rPr>
        <w:t>[</w:t>
      </w:r>
      <w:r w:rsidR="00FE373A" w:rsidRPr="00FE373A">
        <w:rPr>
          <w:i/>
          <w:iCs/>
          <w:color w:val="595959" w:themeColor="text1" w:themeTint="A6"/>
          <w:lang w:eastAsia="es-AR"/>
        </w:rPr>
        <w:t xml:space="preserve">Desde agosto se podrá tramitar la </w:t>
      </w:r>
      <w:proofErr w:type="spellStart"/>
      <w:r w:rsidR="00FE373A" w:rsidRPr="00FE373A">
        <w:rPr>
          <w:i/>
          <w:iCs/>
          <w:color w:val="595959" w:themeColor="text1" w:themeTint="A6"/>
          <w:lang w:eastAsia="es-AR"/>
        </w:rPr>
        <w:t>Supercard</w:t>
      </w:r>
      <w:proofErr w:type="spellEnd"/>
      <w:r w:rsidR="00FE373A" w:rsidRPr="00FE373A">
        <w:rPr>
          <w:i/>
          <w:iCs/>
          <w:color w:val="595959" w:themeColor="text1" w:themeTint="A6"/>
          <w:lang w:eastAsia="es-AR"/>
        </w:rPr>
        <w:t xml:space="preserve"> en supermercados locales</w:t>
      </w:r>
      <w:r w:rsidR="00FE373A">
        <w:rPr>
          <w:i/>
          <w:iCs/>
          <w:color w:val="595959" w:themeColor="text1" w:themeTint="A6"/>
          <w:szCs w:val="24"/>
        </w:rPr>
        <w:t>,</w:t>
      </w:r>
      <w:r w:rsidRPr="001819A3">
        <w:rPr>
          <w:color w:val="595959" w:themeColor="text1" w:themeTint="A6"/>
          <w:szCs w:val="24"/>
        </w:rPr>
        <w:t xml:space="preserve"> </w:t>
      </w:r>
      <w:hyperlink r:id="rId10" w:history="1">
        <w:r w:rsidR="00FE373A" w:rsidRPr="00FE373A">
          <w:rPr>
            <w:rStyle w:val="Hipervnculo"/>
            <w:color w:val="595959" w:themeColor="text1" w:themeTint="A6"/>
          </w:rPr>
          <w:t>https://www.lacapital.com.ar/edicion-impresa/desde-agosto-se-podra-tramitar-la-supercard-supermercados-locales-n561375.html</w:t>
        </w:r>
      </w:hyperlink>
      <w:r w:rsidR="00FE373A">
        <w:rPr>
          <w:color w:val="595959" w:themeColor="text1" w:themeTint="A6"/>
        </w:rPr>
        <w:t xml:space="preserve"> </w:t>
      </w:r>
      <w:r w:rsidR="00771B18" w:rsidRPr="00771B18">
        <w:rPr>
          <w:color w:val="595959" w:themeColor="text1" w:themeTint="A6"/>
        </w:rPr>
        <w:t>(Fecha de consulta 202</w:t>
      </w:r>
      <w:r w:rsidR="00771B18">
        <w:rPr>
          <w:color w:val="595959" w:themeColor="text1" w:themeTint="A6"/>
        </w:rPr>
        <w:t>3</w:t>
      </w:r>
      <w:r w:rsidR="00771B18" w:rsidRPr="00771B18">
        <w:rPr>
          <w:color w:val="595959" w:themeColor="text1" w:themeTint="A6"/>
        </w:rPr>
        <w:t xml:space="preserve">, </w:t>
      </w:r>
      <w:r w:rsidR="00771B18">
        <w:rPr>
          <w:color w:val="595959" w:themeColor="text1" w:themeTint="A6"/>
        </w:rPr>
        <w:t>abril</w:t>
      </w:r>
      <w:r w:rsidR="00771B18" w:rsidRPr="00771B18">
        <w:rPr>
          <w:color w:val="595959" w:themeColor="text1" w:themeTint="A6"/>
        </w:rPr>
        <w:t xml:space="preserve"> </w:t>
      </w:r>
      <w:r w:rsidR="00771B18">
        <w:rPr>
          <w:color w:val="595959" w:themeColor="text1" w:themeTint="A6"/>
        </w:rPr>
        <w:t>18</w:t>
      </w:r>
      <w:r w:rsidR="00771B18" w:rsidRPr="00771B18">
        <w:rPr>
          <w:color w:val="595959" w:themeColor="text1" w:themeTint="A6"/>
          <w:szCs w:val="24"/>
        </w:rPr>
        <w:t>)]</w:t>
      </w:r>
    </w:p>
    <w:p w14:paraId="58C26DFA" w14:textId="77777777" w:rsidR="00771B18" w:rsidRPr="00FE373A" w:rsidRDefault="001819A3" w:rsidP="00FE373A">
      <w:pPr>
        <w:rPr>
          <w:color w:val="595959" w:themeColor="text1" w:themeTint="A6"/>
          <w:lang w:eastAsia="es-AR"/>
        </w:rPr>
      </w:pPr>
      <w:r w:rsidRPr="001819A3">
        <w:rPr>
          <w:color w:val="595959" w:themeColor="text1" w:themeTint="A6"/>
          <w:szCs w:val="24"/>
        </w:rPr>
        <w:t>[</w:t>
      </w:r>
      <w:r w:rsidR="00FE373A" w:rsidRPr="00FE373A">
        <w:rPr>
          <w:i/>
          <w:iCs/>
          <w:color w:val="595959" w:themeColor="text1" w:themeTint="A6"/>
          <w:lang w:eastAsia="es-AR"/>
        </w:rPr>
        <w:t xml:space="preserve">Las cadenas de supermercados del interior adhieren a la </w:t>
      </w:r>
      <w:proofErr w:type="spellStart"/>
      <w:proofErr w:type="gramStart"/>
      <w:r w:rsidR="00FE373A" w:rsidRPr="00FE373A">
        <w:rPr>
          <w:i/>
          <w:iCs/>
          <w:color w:val="595959" w:themeColor="text1" w:themeTint="A6"/>
          <w:lang w:eastAsia="es-AR"/>
        </w:rPr>
        <w:t>Supercard</w:t>
      </w:r>
      <w:proofErr w:type="spellEnd"/>
      <w:r w:rsidR="00FE373A" w:rsidRPr="00FE373A">
        <w:rPr>
          <w:i/>
          <w:iCs/>
          <w:color w:val="595959" w:themeColor="text1" w:themeTint="A6"/>
          <w:lang w:eastAsia="es-AR"/>
        </w:rPr>
        <w:t xml:space="preserve"> </w:t>
      </w:r>
      <w:r w:rsidR="00FE373A">
        <w:rPr>
          <w:i/>
          <w:iCs/>
          <w:color w:val="595959" w:themeColor="text1" w:themeTint="A6"/>
          <w:szCs w:val="24"/>
        </w:rPr>
        <w:t>,</w:t>
      </w:r>
      <w:proofErr w:type="gramEnd"/>
      <w:r w:rsidRPr="001819A3">
        <w:rPr>
          <w:color w:val="595959" w:themeColor="text1" w:themeTint="A6"/>
          <w:szCs w:val="24"/>
        </w:rPr>
        <w:t xml:space="preserve"> </w:t>
      </w:r>
      <w:hyperlink r:id="rId11" w:history="1">
        <w:r w:rsidR="00FE373A" w:rsidRPr="00FE373A">
          <w:rPr>
            <w:rStyle w:val="Hipervnculo"/>
            <w:color w:val="595959" w:themeColor="text1" w:themeTint="A6"/>
          </w:rPr>
          <w:t>https://www.telam.com.ar/notas/201306/21282-las-cadenas-de-supermercados-del-interior-adhieren-a-la-supercard.html</w:t>
        </w:r>
      </w:hyperlink>
      <w:r w:rsidR="00FE373A">
        <w:rPr>
          <w:color w:val="595959" w:themeColor="text1" w:themeTint="A6"/>
        </w:rPr>
        <w:t xml:space="preserve"> </w:t>
      </w:r>
      <w:r w:rsidR="00771B18" w:rsidRPr="00771B18">
        <w:rPr>
          <w:color w:val="595959" w:themeColor="text1" w:themeTint="A6"/>
        </w:rPr>
        <w:t>(Fecha de consulta 202</w:t>
      </w:r>
      <w:r w:rsidR="00771B18">
        <w:rPr>
          <w:color w:val="595959" w:themeColor="text1" w:themeTint="A6"/>
        </w:rPr>
        <w:t>3</w:t>
      </w:r>
      <w:r w:rsidR="00771B18" w:rsidRPr="00771B18">
        <w:rPr>
          <w:color w:val="595959" w:themeColor="text1" w:themeTint="A6"/>
        </w:rPr>
        <w:t xml:space="preserve">, </w:t>
      </w:r>
      <w:r w:rsidR="00771B18">
        <w:rPr>
          <w:color w:val="595959" w:themeColor="text1" w:themeTint="A6"/>
        </w:rPr>
        <w:t>abril</w:t>
      </w:r>
      <w:r w:rsidR="00771B18" w:rsidRPr="00771B18">
        <w:rPr>
          <w:color w:val="595959" w:themeColor="text1" w:themeTint="A6"/>
        </w:rPr>
        <w:t xml:space="preserve"> </w:t>
      </w:r>
      <w:r w:rsidR="00771B18">
        <w:rPr>
          <w:color w:val="595959" w:themeColor="text1" w:themeTint="A6"/>
        </w:rPr>
        <w:t>18</w:t>
      </w:r>
      <w:r w:rsidR="00771B18" w:rsidRPr="00771B18">
        <w:rPr>
          <w:color w:val="595959" w:themeColor="text1" w:themeTint="A6"/>
          <w:szCs w:val="24"/>
        </w:rPr>
        <w:t>)]</w:t>
      </w:r>
      <w:r w:rsidR="00771B18" w:rsidRPr="001819A3">
        <w:rPr>
          <w:color w:val="595959" w:themeColor="text1" w:themeTint="A6"/>
          <w:szCs w:val="24"/>
        </w:rPr>
        <w:t xml:space="preserve"> </w:t>
      </w:r>
    </w:p>
    <w:p w14:paraId="3601FA72" w14:textId="77777777" w:rsidR="00771B18" w:rsidRPr="00FE373A" w:rsidRDefault="00771B18" w:rsidP="00FE373A">
      <w:pPr>
        <w:rPr>
          <w:color w:val="595959" w:themeColor="text1" w:themeTint="A6"/>
        </w:rPr>
      </w:pPr>
      <w:r w:rsidRPr="001819A3">
        <w:rPr>
          <w:color w:val="595959" w:themeColor="text1" w:themeTint="A6"/>
          <w:szCs w:val="24"/>
        </w:rPr>
        <w:t>[</w:t>
      </w:r>
      <w:r w:rsidR="00FE373A" w:rsidRPr="00FE373A">
        <w:rPr>
          <w:i/>
          <w:iCs/>
          <w:color w:val="595959" w:themeColor="text1" w:themeTint="A6"/>
        </w:rPr>
        <w:t xml:space="preserve">La </w:t>
      </w:r>
      <w:proofErr w:type="spellStart"/>
      <w:r w:rsidR="00FE373A" w:rsidRPr="00FE373A">
        <w:rPr>
          <w:i/>
          <w:iCs/>
          <w:color w:val="595959" w:themeColor="text1" w:themeTint="A6"/>
        </w:rPr>
        <w:t>Supercard</w:t>
      </w:r>
      <w:proofErr w:type="spellEnd"/>
      <w:r w:rsidR="00FE373A" w:rsidRPr="00FE373A">
        <w:rPr>
          <w:i/>
          <w:iCs/>
          <w:color w:val="595959" w:themeColor="text1" w:themeTint="A6"/>
        </w:rPr>
        <w:t xml:space="preserve"> permitirá comprar indumentaria, calzado y juguetes locales</w:t>
      </w:r>
      <w:r w:rsidR="00FE373A">
        <w:rPr>
          <w:i/>
          <w:iCs/>
          <w:color w:val="595959" w:themeColor="text1" w:themeTint="A6"/>
          <w:szCs w:val="24"/>
        </w:rPr>
        <w:t>,</w:t>
      </w:r>
      <w:r w:rsidRPr="001819A3">
        <w:rPr>
          <w:color w:val="595959" w:themeColor="text1" w:themeTint="A6"/>
          <w:szCs w:val="24"/>
        </w:rPr>
        <w:t xml:space="preserve"> </w:t>
      </w:r>
      <w:hyperlink r:id="rId12" w:history="1">
        <w:r w:rsidR="00FE373A" w:rsidRPr="00FE373A">
          <w:rPr>
            <w:rStyle w:val="Hipervnculo"/>
            <w:color w:val="595959" w:themeColor="text1" w:themeTint="A6"/>
          </w:rPr>
          <w:t>https://www.ele-ve.com.ar/La-Supercard-permitira-comprar-indumentaria-calzado-y-juguetes-locales.html</w:t>
        </w:r>
      </w:hyperlink>
      <w:r w:rsidR="00FE373A">
        <w:rPr>
          <w:color w:val="595959" w:themeColor="text1" w:themeTint="A6"/>
        </w:rPr>
        <w:t xml:space="preserve"> </w:t>
      </w:r>
      <w:r w:rsidRPr="00771B18">
        <w:rPr>
          <w:color w:val="595959" w:themeColor="text1" w:themeTint="A6"/>
        </w:rPr>
        <w:t>(Fecha de consulta 202</w:t>
      </w:r>
      <w:r>
        <w:rPr>
          <w:color w:val="595959" w:themeColor="text1" w:themeTint="A6"/>
        </w:rPr>
        <w:t>3</w:t>
      </w:r>
      <w:r w:rsidRPr="00771B18">
        <w:rPr>
          <w:color w:val="595959" w:themeColor="text1" w:themeTint="A6"/>
        </w:rPr>
        <w:t xml:space="preserve">, </w:t>
      </w:r>
      <w:r>
        <w:rPr>
          <w:color w:val="595959" w:themeColor="text1" w:themeTint="A6"/>
        </w:rPr>
        <w:t>abril</w:t>
      </w:r>
      <w:r w:rsidRPr="00771B18">
        <w:rPr>
          <w:color w:val="595959" w:themeColor="text1" w:themeTint="A6"/>
        </w:rPr>
        <w:t xml:space="preserve"> </w:t>
      </w:r>
      <w:r>
        <w:rPr>
          <w:color w:val="595959" w:themeColor="text1" w:themeTint="A6"/>
        </w:rPr>
        <w:t>18</w:t>
      </w:r>
      <w:r w:rsidRPr="00771B18">
        <w:rPr>
          <w:color w:val="595959" w:themeColor="text1" w:themeTint="A6"/>
          <w:szCs w:val="24"/>
        </w:rPr>
        <w:t>)]</w:t>
      </w:r>
    </w:p>
    <w:p w14:paraId="04F1AD1A" w14:textId="77777777" w:rsidR="001819A3" w:rsidRPr="00FE373A" w:rsidRDefault="00771B18" w:rsidP="00C1316A">
      <w:pPr>
        <w:rPr>
          <w:color w:val="595959" w:themeColor="text1" w:themeTint="A6"/>
        </w:rPr>
      </w:pPr>
      <w:r w:rsidRPr="001819A3">
        <w:rPr>
          <w:color w:val="595959" w:themeColor="text1" w:themeTint="A6"/>
          <w:szCs w:val="24"/>
        </w:rPr>
        <w:t>[</w:t>
      </w:r>
      <w:r w:rsidR="00FE373A" w:rsidRPr="00FE373A">
        <w:rPr>
          <w:i/>
          <w:iCs/>
          <w:color w:val="595959" w:themeColor="text1" w:themeTint="A6"/>
        </w:rPr>
        <w:t xml:space="preserve">Algo falló: esto pasó con la </w:t>
      </w:r>
      <w:proofErr w:type="spellStart"/>
      <w:r w:rsidR="00FE373A" w:rsidRPr="00FE373A">
        <w:rPr>
          <w:i/>
          <w:iCs/>
          <w:color w:val="595959" w:themeColor="text1" w:themeTint="A6"/>
        </w:rPr>
        <w:t>Supercard</w:t>
      </w:r>
      <w:proofErr w:type="spellEnd"/>
      <w:r w:rsidR="00FE373A" w:rsidRPr="00FE373A">
        <w:rPr>
          <w:i/>
          <w:iCs/>
          <w:color w:val="595959" w:themeColor="text1" w:themeTint="A6"/>
        </w:rPr>
        <w:t xml:space="preserve"> al año de lanzarse para "democratizar" las compras de los argentinos </w:t>
      </w:r>
      <w:r w:rsidR="00FE373A">
        <w:rPr>
          <w:i/>
          <w:iCs/>
          <w:color w:val="595959" w:themeColor="text1" w:themeTint="A6"/>
          <w:szCs w:val="24"/>
        </w:rPr>
        <w:t>,</w:t>
      </w:r>
      <w:r w:rsidRPr="001819A3">
        <w:rPr>
          <w:color w:val="595959" w:themeColor="text1" w:themeTint="A6"/>
          <w:szCs w:val="24"/>
        </w:rPr>
        <w:t xml:space="preserve"> </w:t>
      </w:r>
      <w:hyperlink r:id="rId13" w:history="1">
        <w:r w:rsidR="00FE373A" w:rsidRPr="00FE373A">
          <w:rPr>
            <w:rStyle w:val="Hipervnculo"/>
            <w:color w:val="595959" w:themeColor="text1" w:themeTint="A6"/>
          </w:rPr>
          <w:t>https://www.iprofesional.com/marketing/187846-algo-fallo-esto-paso-con-la-supercard-al-ano-de-lanzarse-para-democratizar-las-compras-de-los-argentinos</w:t>
        </w:r>
      </w:hyperlink>
      <w:r w:rsidR="00FE373A">
        <w:rPr>
          <w:color w:val="595959" w:themeColor="text1" w:themeTint="A6"/>
        </w:rPr>
        <w:t xml:space="preserve"> </w:t>
      </w:r>
      <w:r w:rsidRPr="00771B18">
        <w:rPr>
          <w:color w:val="595959" w:themeColor="text1" w:themeTint="A6"/>
        </w:rPr>
        <w:t>(Fecha de consulta 202</w:t>
      </w:r>
      <w:r>
        <w:rPr>
          <w:color w:val="595959" w:themeColor="text1" w:themeTint="A6"/>
        </w:rPr>
        <w:t>3</w:t>
      </w:r>
      <w:r w:rsidRPr="00771B18">
        <w:rPr>
          <w:color w:val="595959" w:themeColor="text1" w:themeTint="A6"/>
        </w:rPr>
        <w:t xml:space="preserve">, </w:t>
      </w:r>
      <w:r>
        <w:rPr>
          <w:color w:val="595959" w:themeColor="text1" w:themeTint="A6"/>
        </w:rPr>
        <w:t>abril</w:t>
      </w:r>
      <w:r w:rsidRPr="00771B18">
        <w:rPr>
          <w:color w:val="595959" w:themeColor="text1" w:themeTint="A6"/>
        </w:rPr>
        <w:t xml:space="preserve"> </w:t>
      </w:r>
      <w:r>
        <w:rPr>
          <w:color w:val="595959" w:themeColor="text1" w:themeTint="A6"/>
        </w:rPr>
        <w:t>18</w:t>
      </w:r>
      <w:r w:rsidRPr="00771B18">
        <w:rPr>
          <w:color w:val="595959" w:themeColor="text1" w:themeTint="A6"/>
          <w:szCs w:val="24"/>
        </w:rPr>
        <w:t>)]</w:t>
      </w:r>
    </w:p>
    <w:p w14:paraId="468A6F13" w14:textId="77777777" w:rsidR="00FE373A" w:rsidRPr="001819A3" w:rsidRDefault="00FE373A" w:rsidP="00FE373A">
      <w:pPr>
        <w:rPr>
          <w:rFonts w:cs="Arial"/>
          <w:sz w:val="32"/>
          <w:szCs w:val="32"/>
        </w:rPr>
      </w:pPr>
    </w:p>
    <w:sectPr w:rsidR="00FE373A" w:rsidRPr="001819A3" w:rsidSect="00EC3DCE">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28B1" w14:textId="77777777" w:rsidR="007C28BE" w:rsidRDefault="007C28BE" w:rsidP="00C1316A">
      <w:pPr>
        <w:spacing w:after="0" w:line="240" w:lineRule="auto"/>
      </w:pPr>
      <w:r>
        <w:separator/>
      </w:r>
    </w:p>
  </w:endnote>
  <w:endnote w:type="continuationSeparator" w:id="0">
    <w:p w14:paraId="75567BA5" w14:textId="77777777" w:rsidR="007C28BE" w:rsidRDefault="007C28BE" w:rsidP="00C1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857803"/>
      <w:docPartObj>
        <w:docPartGallery w:val="Page Numbers (Bottom of Page)"/>
        <w:docPartUnique/>
      </w:docPartObj>
    </w:sdtPr>
    <w:sdtContent>
      <w:sdt>
        <w:sdtPr>
          <w:id w:val="-1769616900"/>
          <w:docPartObj>
            <w:docPartGallery w:val="Page Numbers (Top of Page)"/>
            <w:docPartUnique/>
          </w:docPartObj>
        </w:sdtPr>
        <w:sdtContent>
          <w:p w14:paraId="2935278E" w14:textId="77777777" w:rsidR="00C1316A" w:rsidRDefault="00C1316A">
            <w:pPr>
              <w:pStyle w:val="Piedepgina"/>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w:t>
            </w:r>
            <w:proofErr w:type="spellStart"/>
            <w:r>
              <w:t>of</w:t>
            </w:r>
            <w:proofErr w:type="spellEnd"/>
            <w:r>
              <w:t xml:space="preserve">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73B4767" w14:textId="77777777" w:rsidR="00C1316A" w:rsidRDefault="00C131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64CC" w14:textId="77777777" w:rsidR="007C28BE" w:rsidRDefault="007C28BE" w:rsidP="00C1316A">
      <w:pPr>
        <w:spacing w:after="0" w:line="240" w:lineRule="auto"/>
      </w:pPr>
      <w:r>
        <w:separator/>
      </w:r>
    </w:p>
  </w:footnote>
  <w:footnote w:type="continuationSeparator" w:id="0">
    <w:p w14:paraId="58C13B75" w14:textId="77777777" w:rsidR="007C28BE" w:rsidRDefault="007C28BE" w:rsidP="00C13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1819A3"/>
    <w:rsid w:val="001F5471"/>
    <w:rsid w:val="0036142F"/>
    <w:rsid w:val="006A68FA"/>
    <w:rsid w:val="007207E6"/>
    <w:rsid w:val="00771B18"/>
    <w:rsid w:val="007C28BE"/>
    <w:rsid w:val="008804D0"/>
    <w:rsid w:val="009E3210"/>
    <w:rsid w:val="00C1316A"/>
    <w:rsid w:val="00DD67B2"/>
    <w:rsid w:val="00EC3DCE"/>
    <w:rsid w:val="00ED35A2"/>
    <w:rsid w:val="00FE37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9ADC"/>
  <w15:chartTrackingRefBased/>
  <w15:docId w15:val="{9C4C6CDF-1D38-48EC-A253-DD3599D0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6A"/>
    <w:rPr>
      <w:rFonts w:ascii="Arial" w:hAnsi="Arial"/>
      <w:sz w:val="24"/>
    </w:rPr>
  </w:style>
  <w:style w:type="paragraph" w:styleId="Ttulo1">
    <w:name w:val="heading 1"/>
    <w:basedOn w:val="Normal"/>
    <w:next w:val="Normal"/>
    <w:link w:val="Ttulo1Car"/>
    <w:uiPriority w:val="9"/>
    <w:qFormat/>
    <w:rsid w:val="001819A3"/>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C131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line="276" w:lineRule="auto"/>
      <w:outlineLvl w:val="1"/>
    </w:pPr>
    <w:rPr>
      <w:rFonts w:asciiTheme="minorHAnsi" w:eastAsiaTheme="minorEastAsia" w:hAnsiTheme="minorHAnsi"/>
      <w:caps/>
      <w:spacing w:val="15"/>
      <w:kern w:val="0"/>
      <w:sz w:val="20"/>
      <w:szCs w:val="20"/>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316A"/>
    <w:pPr>
      <w:spacing w:before="100" w:beforeAutospacing="1" w:after="100" w:afterAutospacing="1" w:line="240" w:lineRule="auto"/>
    </w:pPr>
    <w:rPr>
      <w:rFonts w:ascii="Times New Roman" w:eastAsia="Times New Roman" w:hAnsi="Times New Roman" w:cs="Times New Roman"/>
      <w:kern w:val="0"/>
      <w:szCs w:val="24"/>
      <w:lang w:eastAsia="es-AR"/>
      <w14:ligatures w14:val="none"/>
    </w:rPr>
  </w:style>
  <w:style w:type="character" w:styleId="Textoennegrita">
    <w:name w:val="Strong"/>
    <w:basedOn w:val="Fuentedeprrafopredeter"/>
    <w:uiPriority w:val="22"/>
    <w:qFormat/>
    <w:rsid w:val="00C1316A"/>
    <w:rPr>
      <w:b/>
      <w:bCs/>
    </w:rPr>
  </w:style>
  <w:style w:type="paragraph" w:styleId="Ttulo">
    <w:name w:val="Title"/>
    <w:basedOn w:val="Normal"/>
    <w:next w:val="Normal"/>
    <w:link w:val="TtuloCar"/>
    <w:uiPriority w:val="10"/>
    <w:qFormat/>
    <w:rsid w:val="00C13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316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131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1316A"/>
  </w:style>
  <w:style w:type="paragraph" w:styleId="Piedepgina">
    <w:name w:val="footer"/>
    <w:basedOn w:val="Normal"/>
    <w:link w:val="PiedepginaCar"/>
    <w:uiPriority w:val="99"/>
    <w:unhideWhenUsed/>
    <w:rsid w:val="00C131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1316A"/>
  </w:style>
  <w:style w:type="character" w:customStyle="1" w:styleId="Ttulo2Car">
    <w:name w:val="Título 2 Car"/>
    <w:basedOn w:val="Fuentedeprrafopredeter"/>
    <w:link w:val="Ttulo2"/>
    <w:uiPriority w:val="9"/>
    <w:rsid w:val="00C1316A"/>
    <w:rPr>
      <w:rFonts w:eastAsiaTheme="minorEastAsia"/>
      <w:caps/>
      <w:spacing w:val="15"/>
      <w:kern w:val="0"/>
      <w:sz w:val="20"/>
      <w:szCs w:val="20"/>
      <w:shd w:val="clear" w:color="auto" w:fill="D9E2F3" w:themeFill="accent1" w:themeFillTint="33"/>
      <w:lang w:val="en-GB"/>
      <w14:ligatures w14:val="none"/>
    </w:rPr>
  </w:style>
  <w:style w:type="character" w:customStyle="1" w:styleId="Ttulo1Car">
    <w:name w:val="Título 1 Car"/>
    <w:basedOn w:val="Fuentedeprrafopredeter"/>
    <w:link w:val="Ttulo1"/>
    <w:uiPriority w:val="9"/>
    <w:rsid w:val="001819A3"/>
    <w:rPr>
      <w:rFonts w:ascii="Arial" w:eastAsiaTheme="majorEastAsia" w:hAnsi="Arial" w:cstheme="majorBidi"/>
      <w:color w:val="2F5496" w:themeColor="accent1" w:themeShade="BF"/>
      <w:sz w:val="32"/>
      <w:szCs w:val="32"/>
    </w:rPr>
  </w:style>
  <w:style w:type="character" w:styleId="Hipervnculo">
    <w:name w:val="Hyperlink"/>
    <w:basedOn w:val="Fuentedeprrafopredeter"/>
    <w:uiPriority w:val="99"/>
    <w:unhideWhenUsed/>
    <w:rsid w:val="001819A3"/>
    <w:rPr>
      <w:color w:val="0563C1" w:themeColor="hyperlink"/>
      <w:u w:val="single"/>
    </w:rPr>
  </w:style>
  <w:style w:type="paragraph" w:styleId="Cita">
    <w:name w:val="Quote"/>
    <w:basedOn w:val="Normal"/>
    <w:next w:val="Normal"/>
    <w:link w:val="CitaCar"/>
    <w:uiPriority w:val="29"/>
    <w:qFormat/>
    <w:rsid w:val="00771B1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71B18"/>
    <w:rPr>
      <w:rFonts w:ascii="Arial" w:hAnsi="Arial"/>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46776">
      <w:bodyDiv w:val="1"/>
      <w:marLeft w:val="0"/>
      <w:marRight w:val="0"/>
      <w:marTop w:val="0"/>
      <w:marBottom w:val="0"/>
      <w:divBdr>
        <w:top w:val="none" w:sz="0" w:space="0" w:color="auto"/>
        <w:left w:val="none" w:sz="0" w:space="0" w:color="auto"/>
        <w:bottom w:val="none" w:sz="0" w:space="0" w:color="auto"/>
        <w:right w:val="none" w:sz="0" w:space="0" w:color="auto"/>
      </w:divBdr>
    </w:div>
    <w:div w:id="951591295">
      <w:bodyDiv w:val="1"/>
      <w:marLeft w:val="0"/>
      <w:marRight w:val="0"/>
      <w:marTop w:val="0"/>
      <w:marBottom w:val="0"/>
      <w:divBdr>
        <w:top w:val="none" w:sz="0" w:space="0" w:color="auto"/>
        <w:left w:val="none" w:sz="0" w:space="0" w:color="auto"/>
        <w:bottom w:val="none" w:sz="0" w:space="0" w:color="auto"/>
        <w:right w:val="none" w:sz="0" w:space="0" w:color="auto"/>
      </w:divBdr>
    </w:div>
    <w:div w:id="12418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bae.com/2013/03/27/702961-cuales-son-los-supermercados-donde-se-podra-tramitar-la-supercard/" TargetMode="External"/><Relationship Id="rId13" Type="http://schemas.openxmlformats.org/officeDocument/2006/relationships/hyperlink" Target="https://www.iprofesional.com/marketing/187846-algo-fallo-esto-paso-con-la-supercard-al-ano-de-lanzarse-para-democratizar-las-compras-de-los-argentinos" TargetMode="External"/><Relationship Id="rId3" Type="http://schemas.openxmlformats.org/officeDocument/2006/relationships/webSettings" Target="webSettings.xml"/><Relationship Id="rId7" Type="http://schemas.openxmlformats.org/officeDocument/2006/relationships/hyperlink" Target="https://urgente24.com/211679-los-supermercados-chinos-rechazan-la-supercad-de-moreno/amp" TargetMode="External"/><Relationship Id="rId12" Type="http://schemas.openxmlformats.org/officeDocument/2006/relationships/hyperlink" Target="https://www.ele-ve.com.ar/La-Supercard-permitira-comprar-indumentaria-calzado-y-juguetes-locale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elam.com.ar/notas/201306/21282-las-cadenas-de-supermercados-del-interior-adhieren-a-la-supercard.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lacapital.com.ar/edicion-impresa/desde-agosto-se-podra-tramitar-la-supercard-supermercados-locales-n561375.html" TargetMode="External"/><Relationship Id="rId4" Type="http://schemas.openxmlformats.org/officeDocument/2006/relationships/footnotes" Target="footnotes.xml"/><Relationship Id="rId9" Type="http://schemas.openxmlformats.org/officeDocument/2006/relationships/hyperlink" Target="https://www.cronista.com/economia-politica/La-Supercard-esta-en-marcha-pero-solo-en-30-supermercados-y-en-Correo-Argentino-20130807-00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896</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Sureda Ayala Erika Cristina</dc:creator>
  <cp:keywords/>
  <dc:description/>
  <cp:lastModifiedBy>Matías Bergés</cp:lastModifiedBy>
  <cp:revision>4</cp:revision>
  <dcterms:created xsi:type="dcterms:W3CDTF">2023-04-19T17:20:00Z</dcterms:created>
  <dcterms:modified xsi:type="dcterms:W3CDTF">2023-04-19T18:15:00Z</dcterms:modified>
</cp:coreProperties>
</file>