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E27FB" w14:textId="06778ECA" w:rsidR="002753D7" w:rsidRDefault="00000000">
      <w:pPr>
        <w:spacing w:after="80"/>
      </w:pPr>
      <w:r>
        <w:rPr>
          <w:rFonts w:ascii="Arial" w:hAnsi="Arial"/>
          <w:b/>
          <w:color w:val="4338CA"/>
          <w:sz w:val="19"/>
        </w:rPr>
        <w:t>UNIVERSIDAD DEL QUINDÍO · UNIDAD 2</w:t>
      </w:r>
    </w:p>
    <w:p w14:paraId="1BC06F39" w14:textId="77777777" w:rsidR="002753D7" w:rsidRDefault="00000000">
      <w:pPr>
        <w:spacing w:after="40"/>
      </w:pPr>
      <w:r>
        <w:rPr>
          <w:rFonts w:ascii="Arial" w:hAnsi="Arial"/>
          <w:b/>
          <w:color w:val="0F172A"/>
          <w:sz w:val="40"/>
        </w:rPr>
        <w:t>Deconstrucción del Género &amp; Diversidad Sexual</w:t>
      </w:r>
    </w:p>
    <w:p w14:paraId="4077A989" w14:textId="33AD9DFF" w:rsidR="002753D7" w:rsidRDefault="00000000">
      <w:pPr>
        <w:spacing w:after="320"/>
      </w:pPr>
      <w:r>
        <w:rPr>
          <w:rFonts w:ascii="Arial" w:hAnsi="Arial"/>
          <w:i/>
          <w:color w:val="64748B"/>
        </w:rPr>
        <w:t>Resumen de la Infografía Académica Interactiva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2753D7" w14:paraId="0F8E9B6C" w14:textId="77777777">
        <w:trPr>
          <w:jc w:val="center"/>
        </w:trPr>
        <w:tc>
          <w:tcPr>
            <w:tcW w:w="3168" w:type="dxa"/>
          </w:tcPr>
          <w:p w14:paraId="49AFBFB7" w14:textId="77777777" w:rsidR="002753D7" w:rsidRDefault="00000000">
            <w:pPr>
              <w:spacing w:before="40" w:after="40"/>
            </w:pPr>
            <w:r>
              <w:rPr>
                <w:rFonts w:ascii="Arial" w:hAnsi="Arial"/>
                <w:b/>
                <w:color w:val="0F172A"/>
                <w:sz w:val="20"/>
              </w:rPr>
              <w:t>Autor / Estudiante:</w:t>
            </w:r>
          </w:p>
        </w:tc>
        <w:tc>
          <w:tcPr>
            <w:tcW w:w="6192" w:type="dxa"/>
          </w:tcPr>
          <w:p w14:paraId="765AAC3D" w14:textId="77777777" w:rsidR="002753D7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20"/>
              </w:rPr>
              <w:t>Santiago Arbelaez Contreras (CC: 1001361185)</w:t>
            </w:r>
          </w:p>
        </w:tc>
      </w:tr>
      <w:tr w:rsidR="002753D7" w14:paraId="2E7FC1ED" w14:textId="77777777">
        <w:trPr>
          <w:jc w:val="center"/>
        </w:trPr>
        <w:tc>
          <w:tcPr>
            <w:tcW w:w="3168" w:type="dxa"/>
          </w:tcPr>
          <w:p w14:paraId="6CED2A11" w14:textId="77777777" w:rsidR="002753D7" w:rsidRDefault="00000000">
            <w:pPr>
              <w:spacing w:before="40" w:after="40"/>
            </w:pPr>
            <w:r>
              <w:rPr>
                <w:rFonts w:ascii="Arial" w:hAnsi="Arial"/>
                <w:b/>
                <w:color w:val="0F172A"/>
                <w:sz w:val="20"/>
              </w:rPr>
              <w:t>Programa Académico:</w:t>
            </w:r>
          </w:p>
        </w:tc>
        <w:tc>
          <w:tcPr>
            <w:tcW w:w="6192" w:type="dxa"/>
          </w:tcPr>
          <w:p w14:paraId="6173B1FB" w14:textId="77777777" w:rsidR="002753D7" w:rsidRDefault="00000000">
            <w:pPr>
              <w:spacing w:before="40" w:after="40"/>
            </w:pPr>
            <w:r>
              <w:rPr>
                <w:rFonts w:ascii="Arial" w:hAnsi="Arial"/>
                <w:color w:val="334155"/>
                <w:sz w:val="20"/>
              </w:rPr>
              <w:t>Ingeniería de Sistemas y Computación · Facultad de Ingeniería</w:t>
            </w:r>
          </w:p>
        </w:tc>
      </w:tr>
      <w:tr w:rsidR="002753D7" w14:paraId="0C69FA1E" w14:textId="77777777">
        <w:trPr>
          <w:jc w:val="center"/>
        </w:trPr>
        <w:tc>
          <w:tcPr>
            <w:tcW w:w="3168" w:type="dxa"/>
          </w:tcPr>
          <w:p w14:paraId="763F6F78" w14:textId="77777777" w:rsidR="002753D7" w:rsidRDefault="00000000">
            <w:pPr>
              <w:spacing w:before="40" w:after="40"/>
            </w:pPr>
            <w:r>
              <w:rPr>
                <w:rFonts w:ascii="Arial" w:hAnsi="Arial"/>
                <w:b/>
                <w:color w:val="0F172A"/>
                <w:sz w:val="20"/>
              </w:rPr>
              <w:t>Enlace Web Oficial:</w:t>
            </w:r>
          </w:p>
        </w:tc>
        <w:tc>
          <w:tcPr>
            <w:tcW w:w="6192" w:type="dxa"/>
          </w:tcPr>
          <w:p w14:paraId="7AA44EA5" w14:textId="77777777" w:rsidR="002753D7" w:rsidRDefault="00000000">
            <w:pPr>
              <w:spacing w:before="40" w:after="40"/>
            </w:pPr>
            <w:r>
              <w:rPr>
                <w:rFonts w:ascii="Arial" w:hAnsi="Arial"/>
                <w:b/>
                <w:color w:val="4338CA"/>
                <w:sz w:val="20"/>
              </w:rPr>
              <w:t>https://espectra-puce.vercel.app/</w:t>
            </w:r>
          </w:p>
        </w:tc>
      </w:tr>
    </w:tbl>
    <w:p w14:paraId="58AD1335" w14:textId="77777777" w:rsidR="002753D7" w:rsidRDefault="002753D7">
      <w:pPr>
        <w:spacing w:after="240"/>
      </w:pPr>
    </w:p>
    <w:p w14:paraId="02C6CEF2" w14:textId="77777777" w:rsidR="002753D7" w:rsidRDefault="00000000">
      <w:pPr>
        <w:spacing w:before="200" w:after="80"/>
      </w:pPr>
      <w:r>
        <w:rPr>
          <w:rFonts w:ascii="Arial" w:hAnsi="Arial"/>
          <w:b/>
          <w:color w:val="4338CA"/>
          <w:sz w:val="26"/>
        </w:rPr>
        <w:t>1. Propósito y Enfoque General</w:t>
      </w:r>
    </w:p>
    <w:p w14:paraId="1FFDC29A" w14:textId="77777777" w:rsidR="002753D7" w:rsidRDefault="00000000">
      <w:pPr>
        <w:spacing w:after="160"/>
      </w:pPr>
      <w:r>
        <w:rPr>
          <w:rFonts w:ascii="Arial" w:hAnsi="Arial"/>
          <w:color w:val="334155"/>
          <w:sz w:val="20"/>
        </w:rPr>
        <w:t>La infografía interactiva «Espectra» aborda la deconstrucción analítica de la categoría de género y la diversidad sexual desde una perspectiva sociocrítica, científica y de derechos humanos. Su objetivo central es evidenciar que el modelo binario reduccionista (hombre/mujer, macho/hembra) no responde a la complejidad biológica ni a la riqueza cultural del ser humano, proponiendo en su lugar una comprensión de las identidades como un continuo dinámico.</w:t>
      </w:r>
    </w:p>
    <w:p w14:paraId="651F59A0" w14:textId="77777777" w:rsidR="002753D7" w:rsidRDefault="00000000">
      <w:pPr>
        <w:spacing w:before="200" w:after="80"/>
      </w:pPr>
      <w:r>
        <w:rPr>
          <w:rFonts w:ascii="Arial" w:hAnsi="Arial"/>
          <w:b/>
          <w:color w:val="4338CA"/>
          <w:sz w:val="26"/>
        </w:rPr>
        <w:t>2. Estructura y Contenidos Clave</w:t>
      </w:r>
    </w:p>
    <w:p w14:paraId="7EBE2B22" w14:textId="77777777" w:rsidR="002753D7" w:rsidRDefault="00000000">
      <w:pPr>
        <w:pStyle w:val="Listaconvietas"/>
        <w:spacing w:after="80"/>
      </w:pPr>
      <w:r>
        <w:rPr>
          <w:rFonts w:ascii="Arial" w:hAnsi="Arial"/>
          <w:b/>
          <w:color w:val="0F172A"/>
          <w:sz w:val="20"/>
        </w:rPr>
        <w:t xml:space="preserve">Bloque 01 — La Tríada Diferencial: </w:t>
      </w:r>
      <w:r>
        <w:rPr>
          <w:rFonts w:ascii="Arial" w:hAnsi="Arial"/>
          <w:color w:val="334155"/>
          <w:sz w:val="20"/>
        </w:rPr>
        <w:t>Diferencia categóricamente el sexo biológico (cromosomas, hormonas y anatomía), el género (construcción cultural de roles, normas y conductas) y la orientación sexual (atracción afectiva y erótica), desarticulando la idea de que una determina obligatoriamente a las demás.</w:t>
      </w:r>
    </w:p>
    <w:p w14:paraId="6089B9A6" w14:textId="77777777" w:rsidR="002753D7" w:rsidRDefault="00000000">
      <w:pPr>
        <w:pStyle w:val="Listaconvietas"/>
        <w:spacing w:after="80"/>
      </w:pPr>
      <w:r>
        <w:rPr>
          <w:rFonts w:ascii="Arial" w:hAnsi="Arial"/>
          <w:b/>
          <w:color w:val="0F172A"/>
          <w:sz w:val="20"/>
        </w:rPr>
        <w:t xml:space="preserve">Bloque 02 — El Cuerpo como Territorio Social: </w:t>
      </w:r>
      <w:r>
        <w:rPr>
          <w:rFonts w:ascii="Arial" w:hAnsi="Arial"/>
          <w:color w:val="334155"/>
          <w:sz w:val="20"/>
        </w:rPr>
        <w:t>Examina el cuerpo no como un dato puramente anatómico, sino como un lienzo modelado y regulado por el lenguaje, los discursos de poder y los estereotipos que buscan estandarizar comportamientos (Salinas, 1994).</w:t>
      </w:r>
    </w:p>
    <w:p w14:paraId="1EA410B7" w14:textId="77777777" w:rsidR="002753D7" w:rsidRDefault="00000000">
      <w:pPr>
        <w:pStyle w:val="Listaconvietas"/>
        <w:spacing w:after="80"/>
      </w:pPr>
      <w:r>
        <w:rPr>
          <w:rFonts w:ascii="Arial" w:hAnsi="Arial"/>
          <w:b/>
          <w:color w:val="0F172A"/>
          <w:sz w:val="20"/>
        </w:rPr>
        <w:t xml:space="preserve">Bloque 03 — Evolución Histórica y Ruptura de Paradigmas: </w:t>
      </w:r>
      <w:r>
        <w:rPr>
          <w:rFonts w:ascii="Arial" w:hAnsi="Arial"/>
          <w:color w:val="334155"/>
          <w:sz w:val="20"/>
        </w:rPr>
        <w:t>Traza la línea temporal desde el binarismo reproductivo darwinista (1859), pasando por la patologización en manuales psiquiátricos (DSM), hasta la desclasificación científica de la homosexualidad (APA 1973, OMS 1990/1993).</w:t>
      </w:r>
    </w:p>
    <w:p w14:paraId="1721F62E" w14:textId="77777777" w:rsidR="002753D7" w:rsidRDefault="00000000">
      <w:pPr>
        <w:pStyle w:val="Listaconvietas"/>
        <w:spacing w:after="80"/>
      </w:pPr>
      <w:r>
        <w:rPr>
          <w:rFonts w:ascii="Arial" w:hAnsi="Arial"/>
          <w:b/>
          <w:color w:val="0F172A"/>
          <w:sz w:val="20"/>
        </w:rPr>
        <w:t xml:space="preserve">Bloque 04 — Inclusión Social y Marco Constitucional: </w:t>
      </w:r>
      <w:r>
        <w:rPr>
          <w:rFonts w:ascii="Arial" w:hAnsi="Arial"/>
          <w:color w:val="334155"/>
          <w:sz w:val="20"/>
        </w:rPr>
        <w:t>Plantea la inclusión real más allá de la mera tolerancia. Destaca el marco legal colombiano (Arts. 13 y 16 de la Constitución, Sentencia C-577/2011) y la interseccionalidad de género, raza y clase (Crenshaw, 1989).</w:t>
      </w:r>
    </w:p>
    <w:p w14:paraId="0CEDF0F2" w14:textId="77777777" w:rsidR="002753D7" w:rsidRDefault="00000000">
      <w:pPr>
        <w:pStyle w:val="Listaconvietas"/>
        <w:spacing w:after="80"/>
      </w:pPr>
      <w:r>
        <w:rPr>
          <w:rFonts w:ascii="Arial" w:hAnsi="Arial"/>
          <w:b/>
          <w:color w:val="0F172A"/>
          <w:sz w:val="20"/>
        </w:rPr>
        <w:t xml:space="preserve">Bloque 05 — Reflexión Crítica y Compromiso Ético: </w:t>
      </w:r>
      <w:r>
        <w:rPr>
          <w:rFonts w:ascii="Arial" w:hAnsi="Arial"/>
          <w:color w:val="334155"/>
          <w:sz w:val="20"/>
        </w:rPr>
        <w:t>Sustenta que formarse en estos temas es un imperativo ético para futuros ingenieros y profesionales, promoviendo entornos libres de discriminación basados en el respeto irrestricto a la dignidad humana.</w:t>
      </w:r>
    </w:p>
    <w:p w14:paraId="1F412A2A" w14:textId="77777777" w:rsidR="002753D7" w:rsidRDefault="00000000">
      <w:pPr>
        <w:spacing w:before="200" w:after="80"/>
      </w:pPr>
      <w:r>
        <w:rPr>
          <w:rFonts w:ascii="Arial" w:hAnsi="Arial"/>
          <w:b/>
          <w:color w:val="4338CA"/>
          <w:sz w:val="26"/>
        </w:rPr>
        <w:t>3. Declaración sobre el Uso de Inteligencia Artificial</w:t>
      </w:r>
    </w:p>
    <w:p w14:paraId="21FB5438" w14:textId="77777777" w:rsidR="002753D7" w:rsidRDefault="00000000">
      <w:pPr>
        <w:spacing w:after="280"/>
      </w:pPr>
      <w:r>
        <w:rPr>
          <w:rFonts w:ascii="Arial" w:hAnsi="Arial"/>
          <w:i/>
          <w:color w:val="64748B"/>
          <w:sz w:val="19"/>
        </w:rPr>
        <w:t>En concordancia con los principios de transparencia académica y ética digital, se declara que el presente trabajo contó con el soporte de herramientas de Inteligencia Artificial Generativa (Google Antigravity y modelos Gemini) como asistente tecnológico para la conceptualización gráfica y la optimización del código web interactivo. La investigación documental, la estructuración teórica y el análisis reflexivo fueron elaborados y supervisados íntegramente por el estudiante autor.</w:t>
      </w:r>
    </w:p>
    <w:sectPr w:rsidR="002753D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7259832">
    <w:abstractNumId w:val="8"/>
  </w:num>
  <w:num w:numId="2" w16cid:durableId="1955356801">
    <w:abstractNumId w:val="6"/>
  </w:num>
  <w:num w:numId="3" w16cid:durableId="1193499020">
    <w:abstractNumId w:val="5"/>
  </w:num>
  <w:num w:numId="4" w16cid:durableId="162665996">
    <w:abstractNumId w:val="4"/>
  </w:num>
  <w:num w:numId="5" w16cid:durableId="2108117021">
    <w:abstractNumId w:val="7"/>
  </w:num>
  <w:num w:numId="6" w16cid:durableId="1749375582">
    <w:abstractNumId w:val="3"/>
  </w:num>
  <w:num w:numId="7" w16cid:durableId="1101072149">
    <w:abstractNumId w:val="2"/>
  </w:num>
  <w:num w:numId="8" w16cid:durableId="1509521648">
    <w:abstractNumId w:val="1"/>
  </w:num>
  <w:num w:numId="9" w16cid:durableId="1421871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3D7"/>
    <w:rsid w:val="0029639D"/>
    <w:rsid w:val="00326F90"/>
    <w:rsid w:val="00750A25"/>
    <w:rsid w:val="00977C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5A881F"/>
  <w14:defaultImageDpi w14:val="300"/>
  <w15:docId w15:val="{692B9ACB-76EB-4E7F-BFA5-50D7907FD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424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Arbelaez Contreras</cp:lastModifiedBy>
  <cp:revision>2</cp:revision>
  <dcterms:created xsi:type="dcterms:W3CDTF">2013-12-23T23:15:00Z</dcterms:created>
  <dcterms:modified xsi:type="dcterms:W3CDTF">2026-10-13T17:30:00Z</dcterms:modified>
  <cp:category/>
</cp:coreProperties>
</file>