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40.png" ContentType="image/png"/>
  <Override PartName="/word/media/rId4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Re-introducing</w:t>
      </w:r>
      <w:r>
        <w:t xml:space="preserve"> </w:t>
      </w:r>
      <w:r>
        <w:t xml:space="preserve">the</w:t>
      </w:r>
      <w:r>
        <w:t xml:space="preserve"> </w:t>
      </w:r>
      <w:r>
        <w:t xml:space="preserve">probabilistic</w:t>
      </w:r>
      <w:r>
        <w:t xml:space="preserve"> </w:t>
      </w:r>
      <w:r>
        <w:t xml:space="preserve">sliding</w:t>
      </w:r>
      <w:r>
        <w:t xml:space="preserve"> </w:t>
      </w:r>
      <w:r>
        <w:t xml:space="preserve">template</w:t>
      </w:r>
      <w:r>
        <w:t xml:space="preserve"> </w:t>
      </w:r>
      <w:r>
        <w:t xml:space="preserve">model</w:t>
      </w:r>
      <w:r>
        <w:t xml:space="preserve"> </w:t>
      </w:r>
      <w:r>
        <w:t xml:space="preserve">of</w:t>
      </w:r>
      <w:r>
        <w:t xml:space="preserve"> </w:t>
      </w:r>
      <w:r>
        <w:t xml:space="preserve">vowel</w:t>
      </w:r>
      <w:r>
        <w:t xml:space="preserve"> </w:t>
      </w:r>
      <w:r>
        <w:t xml:space="preserve">perception</w:t>
      </w:r>
    </w:p>
    <w:p>
      <w:pPr>
        <w:pStyle w:val="Author"/>
      </w:pPr>
      <w:r>
        <w:t xml:space="preserve">Santiago</w:t>
      </w:r>
      <w:r>
        <w:t xml:space="preserve"> </w:t>
      </w:r>
      <w:r>
        <w:t xml:space="preserve">Barreda</w:t>
      </w:r>
      <w:r>
        <w:t xml:space="preserve"> </w:t>
      </w:r>
      <w:r>
        <w:t xml:space="preserve">and</w:t>
      </w:r>
      <w:r>
        <w:t xml:space="preserve"> </w:t>
      </w:r>
      <w:r>
        <w:t xml:space="preserve">T.</w:t>
      </w:r>
      <w:r>
        <w:t xml:space="preserve"> </w:t>
      </w:r>
      <w:r>
        <w:t xml:space="preserve">Florian</w:t>
      </w:r>
      <w:r>
        <w:t xml:space="preserve"> </w:t>
      </w:r>
      <w:r>
        <w:t xml:space="preserve">Jaeger</w:t>
      </w:r>
    </w:p>
    <w:p>
      <w:pPr>
        <w:pStyle w:val="AbstractTitle"/>
      </w:pPr>
      <w:r>
        <w:t xml:space="preserve">Abstract</w:t>
      </w:r>
    </w:p>
    <w:p>
      <w:pPr>
        <w:pStyle w:val="Abstract"/>
      </w:pPr>
      <w:r>
        <w:t xml:space="preserve">We</w:t>
      </w:r>
      <w:r>
        <w:t xml:space="preserve"> </w:t>
      </w:r>
      <w:r>
        <w:t xml:space="preserve">introduce</w:t>
      </w:r>
      <w:r>
        <w:t xml:space="preserve"> </w:t>
      </w:r>
      <w:r>
        <w:t xml:space="preserve">a</w:t>
      </w:r>
      <w:r>
        <w:t xml:space="preserve"> </w:t>
      </w:r>
      <w:r>
        <w:t xml:space="preserve">fully</w:t>
      </w:r>
      <w:r>
        <w:t xml:space="preserve"> </w:t>
      </w:r>
      <w:r>
        <w:t xml:space="preserve">Bayesian</w:t>
      </w:r>
      <w:r>
        <w:t xml:space="preserve"> </w:t>
      </w:r>
      <w:r>
        <w:t xml:space="preserve">variant</w:t>
      </w:r>
      <w:r>
        <w:t xml:space="preserve"> </w:t>
      </w:r>
      <w:r>
        <w:t xml:space="preserve">of</w:t>
      </w:r>
      <w:r>
        <w:t xml:space="preserve"> </w:t>
      </w:r>
      <w:r>
        <w:t xml:space="preserve">the</w:t>
      </w:r>
      <w:r>
        <w:t xml:space="preserve"> </w:t>
      </w:r>
      <w:r>
        <w:t xml:space="preserve">Probabilistic</w:t>
      </w:r>
      <w:r>
        <w:t xml:space="preserve"> </w:t>
      </w:r>
      <w:r>
        <w:t xml:space="preserve">Sliding</w:t>
      </w:r>
      <w:r>
        <w:t xml:space="preserve"> </w:t>
      </w:r>
      <w:r>
        <w:t xml:space="preserve">Template</w:t>
      </w:r>
      <w:r>
        <w:t xml:space="preserve"> </w:t>
      </w:r>
      <w:r>
        <w:t xml:space="preserve">Model</w:t>
      </w:r>
      <w:r>
        <w:t xml:space="preserve"> </w:t>
      </w:r>
      <w:r>
        <w:t xml:space="preserve">(PSTM)</w:t>
      </w:r>
      <w:r>
        <w:t xml:space="preserve"> </w:t>
      </w:r>
      <w:r>
        <w:t xml:space="preserve">of</w:t>
      </w:r>
      <w:r>
        <w:t xml:space="preserve"> </w:t>
      </w:r>
      <w:r>
        <w:t xml:space="preserve">vowel</w:t>
      </w:r>
      <w:r>
        <w:t xml:space="preserve"> </w:t>
      </w:r>
      <w:r>
        <w:t xml:space="preserve">normalization</w:t>
      </w:r>
      <w:r>
        <w:t xml:space="preserve"> </w:t>
      </w:r>
      <w:r>
        <w:t xml:space="preserve">and</w:t>
      </w:r>
      <w:r>
        <w:t xml:space="preserve"> </w:t>
      </w:r>
      <w:r>
        <w:t xml:space="preserve">perception,</w:t>
      </w:r>
      <w:r>
        <w:t xml:space="preserve"> </w:t>
      </w:r>
      <w:r>
        <w:t xml:space="preserve">first</w:t>
      </w:r>
      <w:r>
        <w:t xml:space="preserve"> </w:t>
      </w:r>
      <w:r>
        <w:t xml:space="preserve">proposed</w:t>
      </w:r>
      <w:r>
        <w:t xml:space="preserve"> </w:t>
      </w:r>
      <w:r>
        <w:t xml:space="preserve">in</w:t>
      </w:r>
      <w:r>
        <w:t xml:space="preserve"> </w:t>
      </w:r>
      <w:r>
        <w:t xml:space="preserve">Nearey</w:t>
      </w:r>
      <w:r>
        <w:t xml:space="preserve"> </w:t>
      </w:r>
      <w:r>
        <w:t xml:space="preserve">and</w:t>
      </w:r>
      <w:r>
        <w:t xml:space="preserve"> </w:t>
      </w:r>
      <w:r>
        <w:t xml:space="preserve">Assmann</w:t>
      </w:r>
      <w:r>
        <w:t xml:space="preserve"> </w:t>
      </w:r>
      <w:r>
        <w:t xml:space="preserve">(2007).</w:t>
      </w:r>
      <w:r>
        <w:t xml:space="preserve"> </w:t>
      </w:r>
      <w:r>
        <w:t xml:space="preserve">Models</w:t>
      </w:r>
      <w:r>
        <w:t xml:space="preserve"> </w:t>
      </w:r>
      <w:r>
        <w:t xml:space="preserve">of</w:t>
      </w:r>
      <w:r>
        <w:t xml:space="preserve"> </w:t>
      </w:r>
      <w:r>
        <w:t xml:space="preserve">normalization</w:t>
      </w:r>
      <w:r>
        <w:t xml:space="preserve"> </w:t>
      </w:r>
      <w:r>
        <w:t xml:space="preserve">typically</w:t>
      </w:r>
      <w:r>
        <w:t xml:space="preserve"> </w:t>
      </w:r>
      <w:r>
        <w:t xml:space="preserve">assume</w:t>
      </w:r>
      <w:r>
        <w:t xml:space="preserve"> </w:t>
      </w:r>
      <w:r>
        <w:t xml:space="preserve">that</w:t>
      </w:r>
      <w:r>
        <w:t xml:space="preserve"> </w:t>
      </w:r>
      <w:r>
        <w:t xml:space="preserve">relevant</w:t>
      </w:r>
      <w:r>
        <w:t xml:space="preserve"> </w:t>
      </w:r>
      <w:r>
        <w:t xml:space="preserve">speaker</w:t>
      </w:r>
      <w:r>
        <w:t xml:space="preserve"> </w:t>
      </w:r>
      <w:r>
        <w:t xml:space="preserve">parameters</w:t>
      </w:r>
      <w:r>
        <w:t xml:space="preserve"> </w:t>
      </w:r>
      <w:r>
        <w:t xml:space="preserve">are</w:t>
      </w:r>
      <w:r>
        <w:t xml:space="preserve"> </w:t>
      </w:r>
      <w:r>
        <w:t xml:space="preserve">already</w:t>
      </w:r>
      <w:r>
        <w:t xml:space="preserve"> </w:t>
      </w:r>
      <w:r>
        <w:t xml:space="preserve">‘</w:t>
      </w:r>
      <w:r>
        <w:t xml:space="preserve">known</w:t>
      </w:r>
      <w:r>
        <w:t xml:space="preserve">’</w:t>
      </w:r>
      <w:r>
        <w:t xml:space="preserve">—e.g.,</w:t>
      </w:r>
      <w:r>
        <w:t xml:space="preserve"> </w:t>
      </w:r>
      <w:r>
        <w:t xml:space="preserve">because</w:t>
      </w:r>
      <w:r>
        <w:t xml:space="preserve"> </w:t>
      </w:r>
      <w:r>
        <w:t xml:space="preserve">the</w:t>
      </w:r>
      <w:r>
        <w:t xml:space="preserve"> </w:t>
      </w:r>
      <w:r>
        <w:t xml:space="preserve">researcher</w:t>
      </w:r>
      <w:r>
        <w:t xml:space="preserve"> </w:t>
      </w:r>
      <w:r>
        <w:t xml:space="preserve">can</w:t>
      </w:r>
      <w:r>
        <w:t xml:space="preserve"> </w:t>
      </w:r>
      <w:r>
        <w:t xml:space="preserve">estimate</w:t>
      </w:r>
      <w:r>
        <w:t xml:space="preserve"> </w:t>
      </w:r>
      <w:r>
        <w:t xml:space="preserve">them</w:t>
      </w:r>
      <w:r>
        <w:t xml:space="preserve"> </w:t>
      </w:r>
      <w:r>
        <w:t xml:space="preserve">from</w:t>
      </w:r>
      <w:r>
        <w:t xml:space="preserve"> </w:t>
      </w:r>
      <w:r>
        <w:t xml:space="preserve">a</w:t>
      </w:r>
      <w:r>
        <w:t xml:space="preserve"> </w:t>
      </w:r>
      <w:r>
        <w:t xml:space="preserve">fully</w:t>
      </w:r>
      <w:r>
        <w:t xml:space="preserve"> </w:t>
      </w:r>
      <w:r>
        <w:t xml:space="preserve">balanced</w:t>
      </w:r>
      <w:r>
        <w:t xml:space="preserve"> </w:t>
      </w:r>
      <w:r>
        <w:t xml:space="preserve">set</w:t>
      </w:r>
      <w:r>
        <w:t xml:space="preserve"> </w:t>
      </w:r>
      <w:r>
        <w:t xml:space="preserve">of</w:t>
      </w:r>
      <w:r>
        <w:t xml:space="preserve"> </w:t>
      </w:r>
      <w:r>
        <w:t xml:space="preserve">vowel</w:t>
      </w:r>
      <w:r>
        <w:t xml:space="preserve"> </w:t>
      </w:r>
      <w:r>
        <w:t xml:space="preserve">recordings.</w:t>
      </w:r>
      <w:r>
        <w:t xml:space="preserve"> </w:t>
      </w:r>
      <w:r>
        <w:t xml:space="preserve">Listeners,</w:t>
      </w:r>
      <w:r>
        <w:t xml:space="preserve"> </w:t>
      </w:r>
      <w:r>
        <w:t xml:space="preserve">however,</w:t>
      </w:r>
      <w:r>
        <w:t xml:space="preserve"> </w:t>
      </w:r>
      <w:r>
        <w:t xml:space="preserve">have</w:t>
      </w:r>
      <w:r>
        <w:t xml:space="preserve"> </w:t>
      </w:r>
      <w:r>
        <w:t xml:space="preserve">to</w:t>
      </w:r>
      <w:r>
        <w:t xml:space="preserve"> </w:t>
      </w:r>
      <w:r>
        <w:t xml:space="preserve">incrementally</w:t>
      </w:r>
      <w:r>
        <w:t xml:space="preserve"> </w:t>
      </w:r>
      <w:r>
        <w:t xml:space="preserve">infer</w:t>
      </w:r>
      <w:r>
        <w:t xml:space="preserve"> </w:t>
      </w:r>
      <w:r>
        <w:t xml:space="preserve">these</w:t>
      </w:r>
      <w:r>
        <w:t xml:space="preserve"> </w:t>
      </w:r>
      <w:r>
        <w:t xml:space="preserve">parameters</w:t>
      </w:r>
      <w:r>
        <w:t xml:space="preserve"> </w:t>
      </w:r>
      <w:r>
        <w:t xml:space="preserve">from</w:t>
      </w:r>
      <w:r>
        <w:t xml:space="preserve"> </w:t>
      </w:r>
      <w:r>
        <w:t xml:space="preserve">the</w:t>
      </w:r>
      <w:r>
        <w:t xml:space="preserve"> </w:t>
      </w:r>
      <w:r>
        <w:t xml:space="preserve">speech</w:t>
      </w:r>
      <w:r>
        <w:t xml:space="preserve"> </w:t>
      </w:r>
      <w:r>
        <w:t xml:space="preserve">input.</w:t>
      </w:r>
      <w:r>
        <w:t xml:space="preserve"> </w:t>
      </w:r>
      <w:r>
        <w:t xml:space="preserve">The</w:t>
      </w:r>
      <w:r>
        <w:t xml:space="preserve"> </w:t>
      </w:r>
      <w:r>
        <w:t xml:space="preserve">PSTM</w:t>
      </w:r>
      <w:r>
        <w:t xml:space="preserve"> </w:t>
      </w:r>
      <w:r>
        <w:t xml:space="preserve">describes</w:t>
      </w:r>
      <w:r>
        <w:t xml:space="preserve"> </w:t>
      </w:r>
      <w:r>
        <w:t xml:space="preserve">this</w:t>
      </w:r>
      <w:r>
        <w:t xml:space="preserve"> </w:t>
      </w:r>
      <w:r>
        <w:t xml:space="preserve">process</w:t>
      </w:r>
      <w:r>
        <w:t xml:space="preserve"> </w:t>
      </w:r>
      <w:r>
        <w:t xml:space="preserve">by</w:t>
      </w:r>
      <w:r>
        <w:t xml:space="preserve"> </w:t>
      </w:r>
      <w:r>
        <w:t xml:space="preserve">integrating</w:t>
      </w:r>
      <w:r>
        <w:t xml:space="preserve"> </w:t>
      </w:r>
      <w:r>
        <w:t xml:space="preserve">social</w:t>
      </w:r>
      <w:r>
        <w:t xml:space="preserve"> </w:t>
      </w:r>
      <w:r>
        <w:t xml:space="preserve">and</w:t>
      </w:r>
      <w:r>
        <w:t xml:space="preserve"> </w:t>
      </w:r>
      <w:r>
        <w:t xml:space="preserve">linguistic</w:t>
      </w:r>
      <w:r>
        <w:t xml:space="preserve"> </w:t>
      </w:r>
      <w:r>
        <w:t xml:space="preserve">inferences</w:t>
      </w:r>
      <w:r>
        <w:t xml:space="preserve"> </w:t>
      </w:r>
      <w:r>
        <w:t xml:space="preserve">into</w:t>
      </w:r>
      <w:r>
        <w:t xml:space="preserve"> </w:t>
      </w:r>
      <w:r>
        <w:t xml:space="preserve">a</w:t>
      </w:r>
      <w:r>
        <w:t xml:space="preserve"> </w:t>
      </w:r>
      <w:r>
        <w:t xml:space="preserve">joint</w:t>
      </w:r>
      <w:r>
        <w:t xml:space="preserve"> </w:t>
      </w:r>
      <w:r>
        <w:t xml:space="preserve">inference</w:t>
      </w:r>
      <w:r>
        <w:t xml:space="preserve"> </w:t>
      </w:r>
      <w:r>
        <w:t xml:space="preserve">process.</w:t>
      </w:r>
      <w:r>
        <w:t xml:space="preserve"> </w:t>
      </w:r>
      <w:r>
        <w:t xml:space="preserve">This</w:t>
      </w:r>
      <w:r>
        <w:t xml:space="preserve"> </w:t>
      </w:r>
      <w:r>
        <w:t xml:space="preserve">allows</w:t>
      </w:r>
      <w:r>
        <w:t xml:space="preserve"> </w:t>
      </w:r>
      <w:r>
        <w:t xml:space="preserve">for</w:t>
      </w:r>
      <w:r>
        <w:t xml:space="preserve"> </w:t>
      </w:r>
      <w:r>
        <w:t xml:space="preserve">the</w:t>
      </w:r>
      <w:r>
        <w:t xml:space="preserve"> </w:t>
      </w:r>
      <w:r>
        <w:t xml:space="preserve">empirical</w:t>
      </w:r>
      <w:r>
        <w:t xml:space="preserve"> </w:t>
      </w:r>
      <w:r>
        <w:t xml:space="preserve">investigation</w:t>
      </w:r>
      <w:r>
        <w:t xml:space="preserve"> </w:t>
      </w:r>
      <w:r>
        <w:t xml:space="preserve">of</w:t>
      </w:r>
      <w:r>
        <w:t xml:space="preserve"> </w:t>
      </w:r>
      <w:r>
        <w:t xml:space="preserve">connections</w:t>
      </w:r>
      <w:r>
        <w:t xml:space="preserve"> </w:t>
      </w:r>
      <w:r>
        <w:t xml:space="preserve">between</w:t>
      </w:r>
      <w:r>
        <w:t xml:space="preserve"> </w:t>
      </w:r>
      <w:r>
        <w:t xml:space="preserve">speech</w:t>
      </w:r>
      <w:r>
        <w:t xml:space="preserve"> </w:t>
      </w:r>
      <w:r>
        <w:t xml:space="preserve">perception,</w:t>
      </w:r>
      <w:r>
        <w:t xml:space="preserve"> </w:t>
      </w:r>
      <w:r>
        <w:t xml:space="preserve">social</w:t>
      </w:r>
      <w:r>
        <w:t xml:space="preserve"> </w:t>
      </w:r>
      <w:r>
        <w:t xml:space="preserve">knowledge,</w:t>
      </w:r>
      <w:r>
        <w:t xml:space="preserve"> </w:t>
      </w:r>
      <w:r>
        <w:t xml:space="preserve">and</w:t>
      </w:r>
      <w:r>
        <w:t xml:space="preserve"> </w:t>
      </w:r>
      <w:r>
        <w:t xml:space="preserve">the</w:t>
      </w:r>
      <w:r>
        <w:t xml:space="preserve"> </w:t>
      </w:r>
      <w:r>
        <w:t xml:space="preserve">estimation</w:t>
      </w:r>
      <w:r>
        <w:t xml:space="preserve"> </w:t>
      </w:r>
      <w:r>
        <w:t xml:space="preserve">of</w:t>
      </w:r>
      <w:r>
        <w:t xml:space="preserve"> </w:t>
      </w:r>
      <w:r>
        <w:t xml:space="preserve">speaker</w:t>
      </w:r>
      <w:r>
        <w:t xml:space="preserve"> </w:t>
      </w:r>
      <w:r>
        <w:t xml:space="preserve">indexical</w:t>
      </w:r>
      <w:r>
        <w:t xml:space="preserve"> </w:t>
      </w:r>
      <w:r>
        <w:t xml:space="preserve">characteristics.</w:t>
      </w:r>
      <w:r>
        <w:t xml:space="preserve"> </w:t>
      </w:r>
      <w:r>
        <w:t xml:space="preserve">A</w:t>
      </w:r>
      <w:r>
        <w:t xml:space="preserve"> </w:t>
      </w:r>
      <w:r>
        <w:t xml:space="preserve">bootstrap</w:t>
      </w:r>
      <w:r>
        <w:t xml:space="preserve"> </w:t>
      </w:r>
      <w:r>
        <w:t xml:space="preserve">analysis</w:t>
      </w:r>
      <w:r>
        <w:t xml:space="preserve"> </w:t>
      </w:r>
      <w:r>
        <w:t xml:space="preserve">indicates</w:t>
      </w:r>
      <w:r>
        <w:t xml:space="preserve"> </w:t>
      </w:r>
      <w:r>
        <w:t xml:space="preserve">that</w:t>
      </w:r>
      <w:r>
        <w:t xml:space="preserve"> </w:t>
      </w:r>
      <w:r>
        <w:t xml:space="preserve">the</w:t>
      </w:r>
      <w:r>
        <w:t xml:space="preserve"> </w:t>
      </w:r>
      <w:r>
        <w:t xml:space="preserve">PSTM</w:t>
      </w:r>
      <w:r>
        <w:t xml:space="preserve"> </w:t>
      </w:r>
      <w:r>
        <w:t xml:space="preserve">explains</w:t>
      </w:r>
      <w:r>
        <w:t xml:space="preserve"> </w:t>
      </w:r>
      <w:r>
        <w:t xml:space="preserve">listener</w:t>
      </w:r>
      <w:r>
        <w:t xml:space="preserve"> </w:t>
      </w:r>
      <w:r>
        <w:t xml:space="preserve">behavior</w:t>
      </w:r>
      <w:r>
        <w:t xml:space="preserve"> </w:t>
      </w:r>
      <w:r>
        <w:t xml:space="preserve">much</w:t>
      </w:r>
      <w:r>
        <w:t xml:space="preserve"> </w:t>
      </w:r>
      <w:r>
        <w:t xml:space="preserve">better</w:t>
      </w:r>
      <w:r>
        <w:t xml:space="preserve"> </w:t>
      </w:r>
      <w:r>
        <w:t xml:space="preserve">than</w:t>
      </w:r>
      <w:r>
        <w:t xml:space="preserve"> </w:t>
      </w:r>
      <w:r>
        <w:t xml:space="preserve">traditional</w:t>
      </w:r>
      <w:r>
        <w:t xml:space="preserve"> </w:t>
      </w:r>
      <w:r>
        <w:t xml:space="preserve">approaches</w:t>
      </w:r>
      <w:r>
        <w:t xml:space="preserve"> </w:t>
      </w:r>
      <w:r>
        <w:t xml:space="preserve">to</w:t>
      </w:r>
      <w:r>
        <w:t xml:space="preserve"> </w:t>
      </w:r>
      <w:r>
        <w:t xml:space="preserve">normalization.</w:t>
      </w:r>
      <w:r>
        <w:t xml:space="preserve"> </w:t>
      </w:r>
      <w:r>
        <w:t xml:space="preserve">The</w:t>
      </w:r>
      <w:r>
        <w:t xml:space="preserve"> </w:t>
      </w:r>
      <w:r>
        <w:t xml:space="preserve">models</w:t>
      </w:r>
      <w:r>
        <w:t xml:space="preserve"> </w:t>
      </w:r>
      <w:r>
        <w:t xml:space="preserve">described</w:t>
      </w:r>
      <w:r>
        <w:t xml:space="preserve"> </w:t>
      </w:r>
      <w:r>
        <w:t xml:space="preserve">here</w:t>
      </w:r>
      <w:r>
        <w:t xml:space="preserve"> </w:t>
      </w:r>
      <w:r>
        <w:t xml:space="preserve">are</w:t>
      </w:r>
      <w:r>
        <w:t xml:space="preserve"> </w:t>
      </w:r>
      <w:r>
        <w:t xml:space="preserve">implemented</w:t>
      </w:r>
      <w:r>
        <w:t xml:space="preserve"> </w:t>
      </w:r>
      <w:r>
        <w:t xml:space="preserve">in</w:t>
      </w:r>
      <w:r>
        <w:t xml:space="preserve"> </w:t>
      </w:r>
      <w:r>
        <w:t xml:space="preserve">the</w:t>
      </w:r>
      <w:r>
        <w:t xml:space="preserve"> </w:t>
      </w:r>
      <w:r>
        <w:t xml:space="preserve">R</w:t>
      </w:r>
      <w:r>
        <w:t xml:space="preserve"> </w:t>
      </w:r>
      <w:r>
        <w:t xml:space="preserve">package</w:t>
      </w:r>
      <w:r>
        <w:t xml:space="preserve"> </w:t>
      </w:r>
      <w:r>
        <w:t xml:space="preserve">STM.</w:t>
      </w:r>
      <w:r>
        <w:t xml:space="preserve"> </w:t>
      </w:r>
      <w:r>
        <w:t xml:space="preserve">This</w:t>
      </w:r>
      <w:r>
        <w:t xml:space="preserve"> </w:t>
      </w:r>
      <w:r>
        <w:t xml:space="preserve">package</w:t>
      </w:r>
      <w:r>
        <w:t xml:space="preserve"> </w:t>
      </w:r>
      <w:r>
        <w:t xml:space="preserve">allows</w:t>
      </w:r>
      <w:r>
        <w:t xml:space="preserve"> </w:t>
      </w:r>
      <w:r>
        <w:t xml:space="preserve">researchers</w:t>
      </w:r>
      <w:r>
        <w:t xml:space="preserve"> </w:t>
      </w:r>
      <w:r>
        <w:t xml:space="preserve">to</w:t>
      </w:r>
      <w:r>
        <w:t xml:space="preserve"> </w:t>
      </w:r>
      <w:r>
        <w:t xml:space="preserve">apply</w:t>
      </w:r>
      <w:r>
        <w:t xml:space="preserve"> </w:t>
      </w:r>
      <w:r>
        <w:t xml:space="preserve">the</w:t>
      </w:r>
      <w:r>
        <w:t xml:space="preserve"> </w:t>
      </w:r>
      <w:r>
        <w:t xml:space="preserve">models</w:t>
      </w:r>
      <w:r>
        <w:t xml:space="preserve"> </w:t>
      </w:r>
      <w:r>
        <w:t xml:space="preserve">described</w:t>
      </w:r>
      <w:r>
        <w:t xml:space="preserve"> </w:t>
      </w:r>
      <w:r>
        <w:t xml:space="preserve">here</w:t>
      </w:r>
      <w:r>
        <w:t xml:space="preserve"> </w:t>
      </w:r>
      <w:r>
        <w:t xml:space="preserve">to</w:t>
      </w:r>
      <w:r>
        <w:t xml:space="preserve"> </w:t>
      </w:r>
      <w:r>
        <w:t xml:space="preserve">their</w:t>
      </w:r>
      <w:r>
        <w:t xml:space="preserve"> </w:t>
      </w:r>
      <w:r>
        <w:t xml:space="preserve">own</w:t>
      </w:r>
      <w:r>
        <w:t xml:space="preserve"> </w:t>
      </w:r>
      <w:r>
        <w:t xml:space="preserve">formant</w:t>
      </w:r>
      <w:r>
        <w:t xml:space="preserve"> </w:t>
      </w:r>
      <w:r>
        <w:t xml:space="preserve">data</w:t>
      </w:r>
      <w:r>
        <w:t xml:space="preserve"> </w:t>
      </w:r>
      <w:r>
        <w:t xml:space="preserve">and</w:t>
      </w:r>
      <w:r>
        <w:t xml:space="preserve"> </w:t>
      </w:r>
      <w:r>
        <w:t xml:space="preserve">research</w:t>
      </w:r>
      <w:r>
        <w:t xml:space="preserve"> </w:t>
      </w:r>
      <w:r>
        <w:t xml:space="preserve">questions.</w:t>
      </w:r>
    </w:p>
    <w:bookmarkStart w:id="20" w:name="introduction"/>
    <w:p>
      <w:pPr>
        <w:pStyle w:val="Heading1"/>
      </w:pPr>
      <w:r>
        <w:t xml:space="preserve">1. Introduction</w:t>
      </w:r>
    </w:p>
    <w:p>
      <w:pPr>
        <w:pStyle w:val="FirstParagraph"/>
      </w:pPr>
      <w:r>
        <w:t xml:space="preserve">Cross-talker variability poses a computational challenge for speech perception: since different talkers can realize the same phonetic information with different acoustics, robust perception across talkers can only be achieved by somehow adjusting to these differences. At the same time, cross-talker differences in pronunciation provide information about the language background and social identity of speakers. One way to approach these issues has been to describe both linguistic and social perception as inference over the joint distribution of auditory percepts (e.g., in the form of phonetic cues), linguistic, and social categories. This can be conceptualized as similarity-based inferences over exemplars</w:t>
      </w:r>
      <w:r>
        <w:t xml:space="preserve"> </w:t>
      </w:r>
      <w:r>
        <w:t xml:space="preserve">(Johnson 1997; Sumner 2011)</w:t>
      </w:r>
      <w:r>
        <w:t xml:space="preserve"> </w:t>
      </w:r>
      <w:r>
        <w:t xml:space="preserve">or as Bayesian inferences</w:t>
      </w:r>
      <w:r>
        <w:t xml:space="preserve"> </w:t>
      </w:r>
      <w:r>
        <w:t xml:space="preserve">(Kleinschmidt and Jaeger 2015; Kleinschmidt, Weatherholtz, and Jaeger 2018)</w:t>
      </w:r>
      <w:r>
        <w:t xml:space="preserve">. However, there is of yet no widely available model that implements these ideas and makes them testable. This motivates the present work.</w:t>
      </w:r>
    </w:p>
    <w:p>
      <w:pPr>
        <w:pStyle w:val="BodyText"/>
      </w:pPr>
      <w:r>
        <w:t xml:space="preserve">Focusing on vowel perception, we describe the</w:t>
      </w:r>
      <w:r>
        <w:t xml:space="preserve"> </w:t>
      </w:r>
      <w:r>
        <w:rPr>
          <w:iCs/>
          <w:i/>
        </w:rPr>
        <w:t xml:space="preserve">Probabilistic Sliding Template Model (PSTM)</w:t>
      </w:r>
      <w:r>
        <w:t xml:space="preserve">, first presented in</w:t>
      </w:r>
      <w:r>
        <w:t xml:space="preserve"> </w:t>
      </w:r>
      <w:r>
        <w:t xml:space="preserve">Nearey and Assmann (2007)</w:t>
      </w:r>
      <w:r>
        <w:t xml:space="preserve">, and based on Terrance Nearey’s sliding template model</w:t>
      </w:r>
      <w:r>
        <w:t xml:space="preserve"> </w:t>
      </w:r>
      <w:r>
        <w:t xml:space="preserve">(STM, Nearey 1978)</w:t>
      </w:r>
      <w:r>
        <w:t xml:space="preserve">. The PSTM is a Bayesian model of</w:t>
      </w:r>
      <w:r>
        <w:t xml:space="preserve"> </w:t>
      </w:r>
      <w:r>
        <w:rPr>
          <w:iCs/>
          <w:i/>
        </w:rPr>
        <w:t xml:space="preserve">vowel normalization</w:t>
      </w:r>
      <w:r>
        <w:t xml:space="preserve">, the perceptual mapping between acoustic information and some linguistic representation. It integrates social and linguistic inferences into a joint process, simultaneously estimating speaker characteristics and categorizing vowels. In doing so, the PSTM allows for the empirical investigation of the connection between speech perception, social knowledge, and the estimation of speaker indexical characteristics. Further, unlike most existing models of normalization, the PSTM infers the speaker characteristics required for normalization</w:t>
      </w:r>
      <w:r>
        <w:t xml:space="preserve"> </w:t>
      </w:r>
      <w:r>
        <w:rPr>
          <w:iCs/>
          <w:i/>
        </w:rPr>
        <w:t xml:space="preserve">incrementally</w:t>
      </w:r>
      <w:r>
        <w:t xml:space="preserve"> </w:t>
      </w:r>
      <w:r>
        <w:t xml:space="preserve">from the speech input, doing so—as we show below—with high accuracy even from a single vowel input.</w:t>
      </w:r>
    </w:p>
    <w:p>
      <w:pPr>
        <w:pStyle w:val="BodyText"/>
      </w:pPr>
      <w:r>
        <w:t xml:space="preserve">We describe the PSTM, and present a more fully Bayesian extension—the</w:t>
      </w:r>
      <w:r>
        <w:t xml:space="preserve"> </w:t>
      </w:r>
      <w:r>
        <w:rPr>
          <w:iCs/>
          <w:i/>
        </w:rPr>
        <w:t xml:space="preserve">Bayesian Sliding Template Model (BSTM)</w:t>
      </w:r>
      <w:r>
        <w:t xml:space="preserve">—envisioned in</w:t>
      </w:r>
      <w:r>
        <w:t xml:space="preserve"> </w:t>
      </w:r>
      <w:r>
        <w:t xml:space="preserve">Nearey and Assmann (2007)</w:t>
      </w:r>
      <w:r>
        <w:t xml:space="preserve"> </w:t>
      </w:r>
      <w:r>
        <w:t xml:space="preserve">but not previously available. The models described here are implemented in the R package</w:t>
      </w:r>
      <w:r>
        <w:t xml:space="preserve"> </w:t>
      </w:r>
      <w:r>
        <w:rPr>
          <w:rStyle w:val="VerbatimChar"/>
        </w:rPr>
        <w:t xml:space="preserve">STM</w:t>
      </w:r>
      <w:r>
        <w:t xml:space="preserve">, which is designed to be user-friendly and flexible. The present article uses the</w:t>
      </w:r>
      <w:r>
        <w:t xml:space="preserve"> </w:t>
      </w:r>
      <w:r>
        <w:rPr>
          <w:rStyle w:val="VerbatimChar"/>
        </w:rPr>
        <w:t xml:space="preserve">STM</w:t>
      </w:r>
      <w:r>
        <w:t xml:space="preserve"> </w:t>
      </w:r>
      <w:r>
        <w:t xml:space="preserve">package, and is written in Quarto markdown. This markdown document, and all R code it sources, are available as part of the OSF repository at https://osf.io/tpwmv/. This allows interested researchers to re-create all of our analyses with the press of a button in RStudio</w:t>
      </w:r>
      <w:r>
        <w:t xml:space="preserve"> </w:t>
      </w:r>
      <w:r>
        <w:t xml:space="preserve">(R Core Team 2023; RStudio Team 2024)</w:t>
      </w:r>
      <w:r>
        <w:t xml:space="preserve">, and to apply similar analyses to their own data.</w:t>
      </w:r>
    </w:p>
    <w:bookmarkEnd w:id="20"/>
    <w:bookmarkStart w:id="28" w:name="sec-uniform"/>
    <w:p>
      <w:pPr>
        <w:pStyle w:val="Heading1"/>
      </w:pPr>
      <w:r>
        <w:t xml:space="preserve">2. Perceptual normalization through uniform scaling</w:t>
      </w:r>
    </w:p>
    <w:p>
      <w:pPr>
        <w:pStyle w:val="FirstParagraph"/>
      </w:pPr>
      <w:r>
        <w:t xml:space="preserve">A core assumption of normalization accounts is that dialect-specific vowel representations are learned and represented in a</w:t>
      </w:r>
      <w:r>
        <w:t xml:space="preserve"> </w:t>
      </w:r>
      <w:r>
        <w:rPr>
          <w:iCs/>
          <w:i/>
        </w:rPr>
        <w:t xml:space="preserve">normalized</w:t>
      </w:r>
      <w:r>
        <w:t xml:space="preserve"> </w:t>
      </w:r>
      <w:r>
        <w:t xml:space="preserve">formant space. We start by motivating and describing the normalized formant space assumed by the models we present below.</w:t>
      </w:r>
    </w:p>
    <w:p>
      <w:pPr>
        <w:pStyle w:val="BodyText"/>
      </w:pPr>
      <w:r>
        <w:t xml:space="preserve">Formant inputs from different talkers tend to be perceived as phonetically similar if they differ only according to a single multiplicative scaling parameter</w:t>
      </w:r>
      <w:r>
        <w:t xml:space="preserve"> </w:t>
      </w:r>
      <w:r>
        <w:t xml:space="preserve">(for a review, see Barreda 2020)</w:t>
      </w:r>
      <w:r>
        <w:t xml:space="preserve">. For example, in order to preserve phonetic similarity, a speaker who produces an F1 that is 10% higher for /a/ than another should also produce F2 and F3 that are 10% higher for that vowel—i.e., all formants are</w:t>
      </w:r>
      <w:r>
        <w:t xml:space="preserve"> </w:t>
      </w:r>
      <w:r>
        <w:rPr>
          <w:iCs/>
          <w:i/>
        </w:rPr>
        <w:t xml:space="preserve">uniformly scaled</w:t>
      </w:r>
      <w:r>
        <w:t xml:space="preserve">. Consider a dialect-specific formant target</w:t>
      </w:r>
      <w:r>
        <w:t xml:space="preserve"> </w:t>
      </w:r>
      <m:oMath>
        <m:sSubSup>
          <m:e>
            <m:acc>
              <m:accPr>
                <m:chr m:val="⃗"/>
              </m:accPr>
              <m:e>
                <m:r>
                  <m:t>F</m:t>
                </m:r>
              </m:e>
            </m:acc>
          </m:e>
          <m:sub>
            <m:r>
              <m:rPr>
                <m:sty m:val="p"/>
              </m:rPr>
              <m:t>v</m:t>
            </m:r>
          </m:sub>
          <m:sup>
            <m:r>
              <m:rPr>
                <m:sty m:val="p"/>
              </m:rPr>
              <m:t>*</m:t>
            </m:r>
          </m:sup>
        </m:sSubSup>
        <m:box>
          <m:boxPr>
            <m:opEmu m:val="on"/>
          </m:boxPr>
          <m:e>
            <m:r>
              <m:rPr>
                <m:sty m:val="p"/>
              </m:rPr>
              <m:t>:=</m:t>
            </m:r>
          </m:e>
        </m:box>
        <m:d>
          <m:dPr>
            <m:begChr m:val="["/>
            <m:endChr m:val="]"/>
            <m:sepChr m:val=""/>
            <m:grow/>
          </m:dPr>
          <m:e>
            <m:r>
              <m:t>F</m:t>
            </m:r>
            <m:sSubSup>
              <m:e>
                <m:r>
                  <m:t>1</m:t>
                </m:r>
              </m:e>
              <m:sub>
                <m:r>
                  <m:rPr>
                    <m:sty m:val="p"/>
                  </m:rPr>
                  <m:t>v</m:t>
                </m:r>
              </m:sub>
              <m:sup>
                <m:r>
                  <m:rPr>
                    <m:sty m:val="p"/>
                  </m:rPr>
                  <m:t>*</m:t>
                </m:r>
              </m:sup>
            </m:sSubSup>
            <m:r>
              <m:rPr>
                <m:sty m:val="p"/>
              </m:rPr>
              <m:t>,</m:t>
            </m:r>
            <m:r>
              <m:t>F</m:t>
            </m:r>
            <m:sSubSup>
              <m:e>
                <m:r>
                  <m:t>2</m:t>
                </m:r>
              </m:e>
              <m:sub>
                <m:r>
                  <m:rPr>
                    <m:sty m:val="p"/>
                  </m:rPr>
                  <m:t>v</m:t>
                </m:r>
              </m:sub>
              <m:sup>
                <m:r>
                  <m:rPr>
                    <m:sty m:val="p"/>
                  </m:rPr>
                  <m:t>*</m:t>
                </m:r>
              </m:sup>
            </m:sSubSup>
            <m:r>
              <m:rPr>
                <m:sty m:val="p"/>
              </m:rPr>
              <m:t>,</m:t>
            </m:r>
            <m:r>
              <m:t>F</m:t>
            </m:r>
            <m:sSubSup>
              <m:e>
                <m:r>
                  <m:t>3</m:t>
                </m:r>
              </m:e>
              <m:sub>
                <m:r>
                  <m:rPr>
                    <m:sty m:val="p"/>
                  </m:rPr>
                  <m:t>v</m:t>
                </m:r>
              </m:sub>
              <m:sup>
                <m:r>
                  <m:rPr>
                    <m:sty m:val="p"/>
                  </m:rPr>
                  <m:t>*</m:t>
                </m:r>
              </m:sup>
            </m:sSubSup>
            <m:r>
              <m:rPr>
                <m:sty m:val="p"/>
              </m:rPr>
              <m:t>,</m:t>
            </m:r>
            <m:r>
              <m:rPr>
                <m:sty m:val="p"/>
              </m:rPr>
              <m:t>.</m:t>
            </m:r>
            <m:r>
              <m:rPr>
                <m:sty m:val="p"/>
              </m:rPr>
              <m:t>.</m:t>
            </m:r>
            <m:r>
              <m:rPr>
                <m:sty m:val="p"/>
              </m:rPr>
              <m:t>.</m:t>
            </m:r>
          </m:e>
        </m:d>
      </m:oMath>
      <w:r>
        <w:t xml:space="preserve"> </w:t>
      </w:r>
      <w:r>
        <w:t xml:space="preserve">for vowel v. A speaker</w:t>
      </w:r>
      <w:r>
        <w:t xml:space="preserve"> </w:t>
      </w:r>
      <m:oMath>
        <m:r>
          <m:t>s</m:t>
        </m:r>
      </m:oMath>
      <w:r>
        <w:t xml:space="preserve"> </w:t>
      </w:r>
      <w:r>
        <w:t xml:space="preserve">of that dialect, should target formants</w:t>
      </w:r>
      <w:r>
        <w:t xml:space="preserve"> </w:t>
      </w:r>
      <m:oMath>
        <m:sSubSup>
          <m:e>
            <m:acc>
              <m:accPr>
                <m:chr m:val="⃗"/>
              </m:accPr>
              <m:e>
                <m:r>
                  <m:t>F</m:t>
                </m:r>
              </m:e>
            </m:acc>
          </m:e>
          <m:sub>
            <m:r>
              <m:rPr>
                <m:sty m:val="p"/>
              </m:rPr>
              <m:t>v</m:t>
            </m:r>
          </m:sub>
          <m:sup>
            <m:r>
              <m:t>s</m:t>
            </m:r>
            <m:r>
              <m:rPr>
                <m:sty m:val="p"/>
              </m:rPr>
              <m:t>*</m:t>
            </m:r>
          </m:sup>
        </m:sSubSup>
        <m:box>
          <m:boxPr>
            <m:opEmu m:val="on"/>
          </m:boxPr>
          <m:e>
            <m:r>
              <m:rPr>
                <m:sty m:val="p"/>
              </m:rPr>
              <m:t>:=</m:t>
            </m:r>
          </m:e>
        </m:box>
        <m:d>
          <m:dPr>
            <m:begChr m:val="["/>
            <m:endChr m:val="]"/>
            <m:sepChr m:val=""/>
            <m:grow/>
          </m:dPr>
          <m:e>
            <m:r>
              <m:t>F</m:t>
            </m:r>
            <m:sSubSup>
              <m:e>
                <m:r>
                  <m:t>1</m:t>
                </m:r>
              </m:e>
              <m:sub>
                <m:r>
                  <m:rPr>
                    <m:sty m:val="p"/>
                  </m:rPr>
                  <m:t>v</m:t>
                </m:r>
              </m:sub>
              <m:sup>
                <m:r>
                  <m:t>s</m:t>
                </m:r>
                <m:r>
                  <m:rPr>
                    <m:sty m:val="p"/>
                  </m:rPr>
                  <m:t>*</m:t>
                </m:r>
              </m:sup>
            </m:sSubSup>
            <m:r>
              <m:rPr>
                <m:sty m:val="p"/>
              </m:rPr>
              <m:t>,</m:t>
            </m:r>
            <m:r>
              <m:t>F</m:t>
            </m:r>
            <m:sSubSup>
              <m:e>
                <m:r>
                  <m:t>2</m:t>
                </m:r>
              </m:e>
              <m:sub>
                <m:r>
                  <m:rPr>
                    <m:sty m:val="p"/>
                  </m:rPr>
                  <m:t>v</m:t>
                </m:r>
              </m:sub>
              <m:sup>
                <m:r>
                  <m:t>s</m:t>
                </m:r>
                <m:r>
                  <m:rPr>
                    <m:sty m:val="p"/>
                  </m:rPr>
                  <m:t>*</m:t>
                </m:r>
              </m:sup>
            </m:sSubSup>
            <m:r>
              <m:rPr>
                <m:sty m:val="p"/>
              </m:rPr>
              <m:t>,</m:t>
            </m:r>
            <m:r>
              <m:t>F</m:t>
            </m:r>
            <m:sSubSup>
              <m:e>
                <m:r>
                  <m:t>3</m:t>
                </m:r>
              </m:e>
              <m:sub>
                <m:r>
                  <m:rPr>
                    <m:sty m:val="p"/>
                  </m:rPr>
                  <m:t>v</m:t>
                </m:r>
              </m:sub>
              <m:sup>
                <m:r>
                  <m:t>s</m:t>
                </m:r>
                <m:r>
                  <m:rPr>
                    <m:sty m:val="p"/>
                  </m:rPr>
                  <m:t>*</m:t>
                </m:r>
              </m:sup>
            </m:sSubSup>
            <m:r>
              <m:rPr>
                <m:sty m:val="p"/>
              </m:rPr>
              <m:t>,</m:t>
            </m:r>
            <m:r>
              <m:rPr>
                <m:sty m:val="p"/>
              </m:rPr>
              <m:t>.</m:t>
            </m:r>
            <m:r>
              <m:rPr>
                <m:sty m:val="p"/>
              </m:rPr>
              <m:t>.</m:t>
            </m:r>
            <m:r>
              <m:rPr>
                <m:sty m:val="p"/>
              </m:rPr>
              <m:t>.</m:t>
            </m:r>
          </m:e>
        </m:d>
      </m:oMath>
      <w:r>
        <w:t xml:space="preserve"> </w:t>
      </w:r>
      <w:r>
        <w:t xml:space="preserve">that are</w:t>
      </w:r>
      <w:r>
        <w:t xml:space="preserve"> </w:t>
      </w:r>
      <w:r>
        <w:rPr>
          <w:iCs/>
          <w:i/>
        </w:rPr>
        <w:t xml:space="preserve">uniformly scaled</w:t>
      </w:r>
      <w:r>
        <w:t xml:space="preserve"> </w:t>
      </w:r>
      <w:r>
        <w:t xml:space="preserve">by a speaker-specific scaling parameter</w:t>
      </w:r>
      <w:r>
        <w:t xml:space="preserve"> </w:t>
      </w:r>
      <m:oMath>
        <m:sSub>
          <m:e>
            <m:r>
              <m:t>ρ</m:t>
            </m:r>
          </m:e>
          <m:sub>
            <m:r>
              <m:t>s</m:t>
            </m:r>
          </m:sub>
        </m:sSub>
      </m:oMath>
      <w:r>
        <w:t xml:space="preserve">, as in</w:t>
      </w:r>
      <w:r>
        <w:t xml:space="preserve"> </w:t>
      </w:r>
      <w:hyperlink w:anchor="eq-define-Fstar">
        <w:r>
          <w:rPr>
            <w:rStyle w:val="Hyperlink"/>
          </w:rPr>
          <w:t xml:space="preserve">Equation 1</w:t>
        </w:r>
      </w:hyperlink>
      <w:r>
        <w:t xml:space="preserve">.</w:t>
      </w:r>
    </w:p>
    <w:p>
      <w:pPr>
        <w:pStyle w:val="BodyText"/>
      </w:pPr>
      <w:bookmarkStart w:id="21" w:name="eq-define-Fstar"/>
      <m:oMathPara>
        <m:oMathParaPr>
          <m:jc m:val="center"/>
        </m:oMathParaPr>
        <m:oMath>
          <m:sSubSup>
            <m:e>
              <m:acc>
                <m:accPr>
                  <m:chr m:val="⃗"/>
                </m:accPr>
                <m:e>
                  <m:r>
                    <m:t>F</m:t>
                  </m:r>
                </m:e>
              </m:acc>
            </m:e>
            <m:sub>
              <m:r>
                <m:rPr>
                  <m:sty m:val="p"/>
                </m:rPr>
                <m:t>v</m:t>
              </m:r>
            </m:sub>
            <m:sup>
              <m:r>
                <m:t>s</m:t>
              </m:r>
              <m:r>
                <m:rPr>
                  <m:sty m:val="p"/>
                </m:rPr>
                <m:t>*</m:t>
              </m:r>
            </m:sup>
          </m:sSubSup>
          <m:box>
            <m:boxPr>
              <m:opEmu m:val="on"/>
            </m:boxPr>
            <m:e>
              <m:r>
                <m:rPr>
                  <m:sty m:val="p"/>
                </m:rPr>
                <m:t>:=</m:t>
              </m:r>
            </m:e>
          </m:box>
          <m:d>
            <m:dPr>
              <m:begChr m:val="["/>
              <m:endChr m:val="]"/>
              <m:sepChr m:val=""/>
              <m:grow/>
            </m:dPr>
            <m:e>
              <m:r>
                <m:t>F</m:t>
              </m:r>
              <m:sSubSup>
                <m:e>
                  <m:r>
                    <m:t>1</m:t>
                  </m:r>
                </m:e>
                <m:sub>
                  <m:r>
                    <m:rPr>
                      <m:sty m:val="p"/>
                    </m:rPr>
                    <m:t>v</m:t>
                  </m:r>
                </m:sub>
                <m:sup>
                  <m:r>
                    <m:t>s</m:t>
                  </m:r>
                  <m:r>
                    <m:rPr>
                      <m:sty m:val="p"/>
                    </m:rPr>
                    <m:t>*</m:t>
                  </m:r>
                </m:sup>
              </m:sSubSup>
              <m:r>
                <m:rPr>
                  <m:sty m:val="p"/>
                </m:rPr>
                <m:t>,</m:t>
              </m:r>
              <m:r>
                <m:t>F</m:t>
              </m:r>
              <m:sSubSup>
                <m:e>
                  <m:r>
                    <m:t>2</m:t>
                  </m:r>
                </m:e>
                <m:sub>
                  <m:r>
                    <m:rPr>
                      <m:sty m:val="p"/>
                    </m:rPr>
                    <m:t>v</m:t>
                  </m:r>
                </m:sub>
                <m:sup>
                  <m:r>
                    <m:t>s</m:t>
                  </m:r>
                  <m:r>
                    <m:rPr>
                      <m:sty m:val="p"/>
                    </m:rPr>
                    <m:t>*</m:t>
                  </m:r>
                </m:sup>
              </m:sSubSup>
              <m:r>
                <m:rPr>
                  <m:sty m:val="p"/>
                </m:rPr>
                <m:t>,</m:t>
              </m:r>
              <m:r>
                <m:t>F</m:t>
              </m:r>
              <m:sSubSup>
                <m:e>
                  <m:r>
                    <m:t>3</m:t>
                  </m:r>
                </m:e>
                <m:sub>
                  <m:r>
                    <m:rPr>
                      <m:sty m:val="p"/>
                    </m:rPr>
                    <m:t>v</m:t>
                  </m:r>
                </m:sub>
                <m:sup>
                  <m:r>
                    <m:t>s</m:t>
                  </m:r>
                  <m:r>
                    <m:rPr>
                      <m:sty m:val="p"/>
                    </m:rPr>
                    <m:t>*</m:t>
                  </m:r>
                </m:sup>
              </m:sSubSup>
              <m:r>
                <m:rPr>
                  <m:sty m:val="p"/>
                </m:rPr>
                <m:t>,</m:t>
              </m:r>
              <m:r>
                <m:rPr>
                  <m:sty m:val="p"/>
                </m:rPr>
                <m:t>.</m:t>
              </m:r>
              <m:r>
                <m:rPr>
                  <m:sty m:val="p"/>
                </m:rPr>
                <m:t>.</m:t>
              </m:r>
              <m:r>
                <m:rPr>
                  <m:sty m:val="p"/>
                </m:rPr>
                <m:t>.</m:t>
              </m:r>
            </m:e>
          </m:d>
          <m:r>
            <m:rPr>
              <m:sty m:val="p"/>
            </m:rPr>
            <m:t>=</m:t>
          </m:r>
          <m:d>
            <m:dPr>
              <m:begChr m:val="["/>
              <m:endChr m:val="]"/>
              <m:sepChr m:val=""/>
              <m:grow/>
            </m:dPr>
            <m:e>
              <m:r>
                <m:t>F</m:t>
              </m:r>
              <m:sSubSup>
                <m:e>
                  <m:r>
                    <m:t>1</m:t>
                  </m:r>
                </m:e>
                <m:sub>
                  <m:r>
                    <m:rPr>
                      <m:sty m:val="p"/>
                    </m:rPr>
                    <m:t>v</m:t>
                  </m:r>
                </m:sub>
                <m:sup>
                  <m:r>
                    <m:rPr>
                      <m:sty m:val="p"/>
                    </m:rPr>
                    <m:t>*</m:t>
                  </m:r>
                </m:sup>
              </m:sSubSup>
              <m:r>
                <m:rPr>
                  <m:sty m:val="p"/>
                </m:rPr>
                <m:t>,</m:t>
              </m:r>
              <m:r>
                <m:t>F</m:t>
              </m:r>
              <m:sSubSup>
                <m:e>
                  <m:r>
                    <m:t>2</m:t>
                  </m:r>
                </m:e>
                <m:sub>
                  <m:r>
                    <m:rPr>
                      <m:sty m:val="p"/>
                    </m:rPr>
                    <m:t>v</m:t>
                  </m:r>
                </m:sub>
                <m:sup>
                  <m:r>
                    <m:rPr>
                      <m:sty m:val="p"/>
                    </m:rPr>
                    <m:t>*</m:t>
                  </m:r>
                </m:sup>
              </m:sSubSup>
              <m:r>
                <m:rPr>
                  <m:sty m:val="p"/>
                </m:rPr>
                <m:t>,</m:t>
              </m:r>
              <m:r>
                <m:t>F</m:t>
              </m:r>
              <m:sSubSup>
                <m:e>
                  <m:r>
                    <m:t>3</m:t>
                  </m:r>
                </m:e>
                <m:sub>
                  <m:r>
                    <m:rPr>
                      <m:sty m:val="p"/>
                    </m:rPr>
                    <m:t>v</m:t>
                  </m:r>
                </m:sub>
                <m:sup>
                  <m:r>
                    <m:rPr>
                      <m:sty m:val="p"/>
                    </m:rPr>
                    <m:t>*</m:t>
                  </m:r>
                </m:sup>
              </m:sSubSup>
              <m:r>
                <m:rPr>
                  <m:sty m:val="p"/>
                </m:rPr>
                <m:t>,</m:t>
              </m:r>
              <m:r>
                <m:rPr>
                  <m:sty m:val="p"/>
                </m:rPr>
                <m:t>.</m:t>
              </m:r>
              <m:r>
                <m:rPr>
                  <m:sty m:val="p"/>
                </m:rPr>
                <m:t>.</m:t>
              </m:r>
              <m:r>
                <m:rPr>
                  <m:sty m:val="p"/>
                </m:rPr>
                <m:t>.</m:t>
              </m:r>
            </m:e>
          </m:d>
          <m:r>
            <m:rPr>
              <m:sty m:val="p"/>
            </m:rPr>
            <m:t>⋅</m:t>
          </m:r>
          <m:sSub>
            <m:e>
              <m:r>
                <m:t>ρ</m:t>
              </m:r>
            </m:e>
            <m:sub>
              <m:r>
                <m:t>s</m:t>
              </m:r>
            </m:sub>
          </m:sSub>
          <m:r>
            <m:t>  </m:t>
          </m:r>
          <m:d>
            <m:dPr>
              <m:begChr m:val="("/>
              <m:endChr m:val=")"/>
              <m:sepChr m:val=""/>
              <m:grow/>
            </m:dPr>
            <m:e>
              <m:r>
                <m:t>1</m:t>
              </m:r>
            </m:e>
          </m:d>
        </m:oMath>
      </m:oMathPara>
      <w:bookmarkEnd w:id="21"/>
    </w:p>
    <w:p>
      <w:pPr>
        <w:pStyle w:val="FirstParagraph"/>
      </w:pPr>
      <w:hyperlink w:anchor="eq-define-Fstar">
        <w:r>
          <w:rPr>
            <w:rStyle w:val="Hyperlink"/>
          </w:rPr>
          <w:t xml:space="preserve">Equation 1</w:t>
        </w:r>
      </w:hyperlink>
      <w:r>
        <w:t xml:space="preserve"> </w:t>
      </w:r>
      <w:r>
        <w:t xml:space="preserve">can be re-expressed as the sum of log-transformed formant targets</w:t>
      </w:r>
      <w:r>
        <w:t xml:space="preserve"> </w:t>
      </w:r>
      <m:oMath>
        <m:sSubSup>
          <m:e>
            <m:acc>
              <m:accPr>
                <m:chr m:val="⃗"/>
              </m:accPr>
              <m:e>
                <m:r>
                  <m:t>G</m:t>
                </m:r>
              </m:e>
            </m:acc>
          </m:e>
          <m:sub>
            <m:r>
              <m:rPr>
                <m:sty m:val="p"/>
              </m:rPr>
              <m:t>v</m:t>
            </m:r>
          </m:sub>
          <m:sup>
            <m:r>
              <m:rPr>
                <m:sty m:val="p"/>
              </m:rPr>
              <m:t>*</m:t>
            </m:r>
          </m:sup>
        </m:sSubSup>
        <m:box>
          <m:boxPr>
            <m:opEmu m:val="on"/>
          </m:boxPr>
          <m:e>
            <m:r>
              <m:rPr>
                <m:sty m:val="p"/>
              </m:rPr>
              <m:t>:=</m:t>
            </m:r>
          </m:e>
        </m:box>
        <m:d>
          <m:dPr>
            <m:begChr m:val="["/>
            <m:endChr m:val="]"/>
            <m:sepChr m:val=""/>
            <m:grow/>
          </m:dPr>
          <m:e>
            <m:r>
              <m:t>G</m:t>
            </m:r>
            <m:sSubSup>
              <m:e>
                <m:r>
                  <m:t>1</m:t>
                </m:r>
              </m:e>
              <m:sub>
                <m:r>
                  <m:rPr>
                    <m:sty m:val="p"/>
                  </m:rPr>
                  <m:t>v</m:t>
                </m:r>
              </m:sub>
              <m:sup>
                <m:r>
                  <m:rPr>
                    <m:sty m:val="p"/>
                  </m:rPr>
                  <m:t>*</m:t>
                </m:r>
              </m:sup>
            </m:sSubSup>
            <m:r>
              <m:rPr>
                <m:sty m:val="p"/>
              </m:rPr>
              <m:t>,</m:t>
            </m:r>
            <m:r>
              <m:t>G</m:t>
            </m:r>
            <m:sSubSup>
              <m:e>
                <m:r>
                  <m:t>2</m:t>
                </m:r>
              </m:e>
              <m:sub>
                <m:r>
                  <m:rPr>
                    <m:sty m:val="p"/>
                  </m:rPr>
                  <m:t>v</m:t>
                </m:r>
              </m:sub>
              <m:sup>
                <m:r>
                  <m:rPr>
                    <m:sty m:val="p"/>
                  </m:rPr>
                  <m:t>*</m:t>
                </m:r>
              </m:sup>
            </m:sSubSup>
            <m:r>
              <m:rPr>
                <m:sty m:val="p"/>
              </m:rPr>
              <m:t>,</m:t>
            </m:r>
            <m:r>
              <m:t>G</m:t>
            </m:r>
            <m:sSubSup>
              <m:e>
                <m:r>
                  <m:t>3</m:t>
                </m:r>
              </m:e>
              <m:sub>
                <m:r>
                  <m:rPr>
                    <m:sty m:val="p"/>
                  </m:rPr>
                  <m:t>v</m:t>
                </m:r>
              </m:sub>
              <m:sup>
                <m:r>
                  <m:rPr>
                    <m:sty m:val="p"/>
                  </m:rPr>
                  <m:t>*</m:t>
                </m:r>
              </m:sup>
            </m:sSubSup>
          </m:e>
        </m:d>
        <m:r>
          <m:rPr>
            <m:sty m:val="p"/>
          </m:rPr>
          <m:t>=</m:t>
        </m:r>
        <m:r>
          <m:rPr>
            <m:sty m:val="p"/>
          </m:rPr>
          <m:t>log</m:t>
        </m:r>
        <m:d>
          <m:dPr>
            <m:begChr m:val="("/>
            <m:endChr m:val=")"/>
            <m:sepChr m:val=""/>
            <m:grow/>
          </m:dPr>
          <m:e>
            <m:sSubSup>
              <m:e>
                <m:acc>
                  <m:accPr>
                    <m:chr m:val="⃗"/>
                  </m:accPr>
                  <m:e>
                    <m:r>
                      <m:t>F</m:t>
                    </m:r>
                  </m:e>
                </m:acc>
              </m:e>
              <m:sub>
                <m:r>
                  <m:rPr>
                    <m:sty m:val="p"/>
                  </m:rPr>
                  <m:t>v</m:t>
                </m:r>
              </m:sub>
              <m:sup>
                <m:r>
                  <m:rPr>
                    <m:sty m:val="p"/>
                  </m:rPr>
                  <m:t>*</m:t>
                </m:r>
              </m:sup>
            </m:sSubSup>
          </m:e>
        </m:d>
      </m:oMath>
      <w:r>
        <w:t xml:space="preserve">, where</w:t>
      </w:r>
      <w:r>
        <w:t xml:space="preserve"> </w:t>
      </w:r>
      <m:oMath>
        <m:sSub>
          <m:e>
            <m:r>
              <m:t>ψ</m:t>
            </m:r>
          </m:e>
          <m:sub>
            <m:r>
              <m:t>s</m:t>
            </m:r>
          </m:sub>
        </m:sSub>
        <m:r>
          <m:rPr>
            <m:sty m:val="p"/>
          </m:rPr>
          <m:t>=</m:t>
        </m:r>
        <m:r>
          <m:rPr>
            <m:sty m:val="p"/>
          </m:rPr>
          <m:t>log</m:t>
        </m:r>
        <m:d>
          <m:dPr>
            <m:begChr m:val="("/>
            <m:endChr m:val=")"/>
            <m:sepChr m:val=""/>
            <m:grow/>
          </m:dPr>
          <m:e>
            <m:sSub>
              <m:e>
                <m:r>
                  <m:t>ρ</m:t>
                </m:r>
              </m:e>
              <m:sub>
                <m:r>
                  <m:t>s</m:t>
                </m:r>
              </m:sub>
            </m:sSub>
          </m:e>
        </m:d>
      </m:oMath>
      <w:r>
        <w:t xml:space="preserve">, as in</w:t>
      </w:r>
      <w:r>
        <w:t xml:space="preserve"> </w:t>
      </w:r>
      <w:hyperlink w:anchor="eq-define-Gstar">
        <w:r>
          <w:rPr>
            <w:rStyle w:val="Hyperlink"/>
          </w:rPr>
          <w:t xml:space="preserve">Equation 2</w:t>
        </w:r>
      </w:hyperlink>
      <w:r>
        <w:t xml:space="preserve">. In log-transformed Hz, uniform scaling thus results in additive, rather than multiplicative, changes. This relation between multiplicative scaling in Hz and additive scaling in log-Hz is illustrated in</w:t>
      </w:r>
      <w:r>
        <w:t xml:space="preserve"> </w:t>
      </w:r>
      <w:hyperlink w:anchor="fig-uniform-scaling">
        <w:r>
          <w:rPr>
            <w:rStyle w:val="Hyperlink"/>
          </w:rPr>
          <w:t xml:space="preserve">Figure 1</w:t>
        </w:r>
      </w:hyperlink>
      <w:r>
        <w:t xml:space="preserve">.</w:t>
      </w:r>
    </w:p>
    <w:p>
      <w:pPr>
        <w:pStyle w:val="BodyText"/>
      </w:pPr>
      <w:bookmarkStart w:id="22" w:name="eq-define-Gstar"/>
      <m:oMathPara>
        <m:oMathParaPr>
          <m:jc m:val="center"/>
        </m:oMathParaPr>
        <m:oMath>
          <m:sSubSup>
            <m:e>
              <m:acc>
                <m:accPr>
                  <m:chr m:val="⃗"/>
                </m:accPr>
                <m:e>
                  <m:r>
                    <m:t>G</m:t>
                  </m:r>
                </m:e>
              </m:acc>
            </m:e>
            <m:sub>
              <m:r>
                <m:rPr>
                  <m:sty m:val="p"/>
                </m:rPr>
                <m:t>v</m:t>
              </m:r>
            </m:sub>
            <m:sup>
              <m:r>
                <m:t>s</m:t>
              </m:r>
              <m:r>
                <m:rPr>
                  <m:sty m:val="p"/>
                </m:rPr>
                <m:t>*</m:t>
              </m:r>
            </m:sup>
          </m:sSubSup>
          <m:box>
            <m:boxPr>
              <m:opEmu m:val="on"/>
            </m:boxPr>
            <m:e>
              <m:r>
                <m:rPr>
                  <m:sty m:val="p"/>
                </m:rPr>
                <m:t>:=</m:t>
              </m:r>
            </m:e>
          </m:box>
          <m:d>
            <m:dPr>
              <m:begChr m:val="["/>
              <m:endChr m:val="]"/>
              <m:sepChr m:val=""/>
              <m:grow/>
            </m:dPr>
            <m:e>
              <m:r>
                <m:t> </m:t>
              </m:r>
              <m:r>
                <m:t>G</m:t>
              </m:r>
              <m:sSubSup>
                <m:e>
                  <m:r>
                    <m:t>1</m:t>
                  </m:r>
                </m:e>
                <m:sub>
                  <m:r>
                    <m:rPr>
                      <m:sty m:val="p"/>
                    </m:rPr>
                    <m:t>v</m:t>
                  </m:r>
                </m:sub>
                <m:sup>
                  <m:r>
                    <m:t>s</m:t>
                  </m:r>
                  <m:r>
                    <m:rPr>
                      <m:sty m:val="p"/>
                    </m:rPr>
                    <m:t>*</m:t>
                  </m:r>
                </m:sup>
              </m:sSubSup>
              <m:r>
                <m:rPr>
                  <m:sty m:val="p"/>
                </m:rPr>
                <m:t>,</m:t>
              </m:r>
              <m:r>
                <m:t> </m:t>
              </m:r>
              <m:r>
                <m:t>G</m:t>
              </m:r>
              <m:sSubSup>
                <m:e>
                  <m:r>
                    <m:t>2</m:t>
                  </m:r>
                </m:e>
                <m:sub>
                  <m:r>
                    <m:rPr>
                      <m:sty m:val="p"/>
                    </m:rPr>
                    <m:t>v</m:t>
                  </m:r>
                </m:sub>
                <m:sup>
                  <m:r>
                    <m:t>s</m:t>
                  </m:r>
                  <m:r>
                    <m:rPr>
                      <m:sty m:val="p"/>
                    </m:rPr>
                    <m:t>*</m:t>
                  </m:r>
                </m:sup>
              </m:sSubSup>
              <m:r>
                <m:rPr>
                  <m:sty m:val="p"/>
                </m:rPr>
                <m:t>,</m:t>
              </m:r>
              <m:r>
                <m:t> </m:t>
              </m:r>
              <m:r>
                <m:t>G</m:t>
              </m:r>
              <m:sSubSup>
                <m:e>
                  <m:r>
                    <m:t>3</m:t>
                  </m:r>
                </m:e>
                <m:sub>
                  <m:r>
                    <m:rPr>
                      <m:sty m:val="p"/>
                    </m:rPr>
                    <m:t>v</m:t>
                  </m:r>
                </m:sub>
                <m:sup>
                  <m:r>
                    <m:t>s</m:t>
                  </m:r>
                  <m:r>
                    <m:rPr>
                      <m:sty m:val="p"/>
                    </m:rPr>
                    <m:t>*</m:t>
                  </m:r>
                </m:sup>
              </m:sSubSup>
              <m:r>
                <m:rPr>
                  <m:sty m:val="p"/>
                </m:rPr>
                <m:t>,</m:t>
              </m:r>
              <m:r>
                <m:rPr>
                  <m:sty m:val="p"/>
                </m:rPr>
                <m:t>.</m:t>
              </m:r>
              <m:r>
                <m:rPr>
                  <m:sty m:val="p"/>
                </m:rPr>
                <m:t>.</m:t>
              </m:r>
              <m:r>
                <m:rPr>
                  <m:sty m:val="p"/>
                </m:rPr>
                <m:t>.</m:t>
              </m:r>
            </m:e>
          </m:d>
          <m:r>
            <m:rPr>
              <m:sty m:val="p"/>
            </m:rPr>
            <m:t>=</m:t>
          </m:r>
          <m:d>
            <m:dPr>
              <m:begChr m:val="["/>
              <m:endChr m:val="]"/>
              <m:sepChr m:val=""/>
              <m:grow/>
            </m:dPr>
            <m:e>
              <m:r>
                <m:t> </m:t>
              </m:r>
              <m:r>
                <m:t>G</m:t>
              </m:r>
              <m:sSubSup>
                <m:e>
                  <m:r>
                    <m:t>1</m:t>
                  </m:r>
                </m:e>
                <m:sub>
                  <m:r>
                    <m:rPr>
                      <m:sty m:val="p"/>
                    </m:rPr>
                    <m:t>v</m:t>
                  </m:r>
                </m:sub>
                <m:sup>
                  <m:r>
                    <m:rPr>
                      <m:sty m:val="p"/>
                    </m:rPr>
                    <m:t>*</m:t>
                  </m:r>
                </m:sup>
              </m:sSubSup>
              <m:r>
                <m:rPr>
                  <m:sty m:val="p"/>
                </m:rPr>
                <m:t>,</m:t>
              </m:r>
              <m:r>
                <m:t> </m:t>
              </m:r>
              <m:r>
                <m:t>G</m:t>
              </m:r>
              <m:sSubSup>
                <m:e>
                  <m:r>
                    <m:t>2</m:t>
                  </m:r>
                </m:e>
                <m:sub>
                  <m:r>
                    <m:rPr>
                      <m:sty m:val="p"/>
                    </m:rPr>
                    <m:t>v</m:t>
                  </m:r>
                </m:sub>
                <m:sup>
                  <m:r>
                    <m:rPr>
                      <m:sty m:val="p"/>
                    </m:rPr>
                    <m:t>*</m:t>
                  </m:r>
                </m:sup>
              </m:sSubSup>
              <m:r>
                <m:rPr>
                  <m:sty m:val="p"/>
                </m:rPr>
                <m:t>,</m:t>
              </m:r>
              <m:r>
                <m:t> </m:t>
              </m:r>
              <m:r>
                <m:t>G</m:t>
              </m:r>
              <m:sSubSup>
                <m:e>
                  <m:r>
                    <m:t>3</m:t>
                  </m:r>
                </m:e>
                <m:sub>
                  <m:r>
                    <m:rPr>
                      <m:sty m:val="p"/>
                    </m:rPr>
                    <m:t>v</m:t>
                  </m:r>
                </m:sub>
                <m:sup>
                  <m:r>
                    <m:rPr>
                      <m:sty m:val="p"/>
                    </m:rPr>
                    <m:t>*</m:t>
                  </m:r>
                </m:sup>
              </m:sSubSup>
              <m:r>
                <m:rPr>
                  <m:sty m:val="p"/>
                </m:rPr>
                <m:t>,</m:t>
              </m:r>
              <m:r>
                <m:rPr>
                  <m:sty m:val="p"/>
                </m:rPr>
                <m:t>.</m:t>
              </m:r>
              <m:r>
                <m:rPr>
                  <m:sty m:val="p"/>
                </m:rPr>
                <m:t>.</m:t>
              </m:r>
              <m:r>
                <m:rPr>
                  <m:sty m:val="p"/>
                </m:rPr>
                <m:t>.</m:t>
              </m:r>
            </m:e>
          </m:d>
          <m:r>
            <m:rPr>
              <m:sty m:val="p"/>
            </m:rPr>
            <m:t>+</m:t>
          </m:r>
          <m:d>
            <m:dPr>
              <m:begChr m:val="["/>
              <m:endChr m:val="]"/>
              <m:sepChr m:val=""/>
              <m:grow/>
            </m:dPr>
            <m:e>
              <m:sSub>
                <m:e>
                  <m:r>
                    <m:t>ψ</m:t>
                  </m:r>
                </m:e>
                <m:sub>
                  <m:r>
                    <m:t>s</m:t>
                  </m:r>
                </m:sub>
              </m:sSub>
              <m:r>
                <m:rPr>
                  <m:sty m:val="p"/>
                </m:rPr>
                <m:t>,</m:t>
              </m:r>
              <m:sSub>
                <m:e>
                  <m:r>
                    <m:t>ψ</m:t>
                  </m:r>
                </m:e>
                <m:sub>
                  <m:r>
                    <m:t>s</m:t>
                  </m:r>
                </m:sub>
              </m:sSub>
              <m:r>
                <m:rPr>
                  <m:sty m:val="p"/>
                </m:rPr>
                <m:t>,</m:t>
              </m:r>
              <m:sSub>
                <m:e>
                  <m:r>
                    <m:t>ψ</m:t>
                  </m:r>
                </m:e>
                <m:sub>
                  <m:r>
                    <m:t>s</m:t>
                  </m:r>
                </m:sub>
              </m:sSub>
              <m:r>
                <m:rPr>
                  <m:sty m:val="p"/>
                </m:rPr>
                <m:t>,</m:t>
              </m:r>
              <m:r>
                <m:rPr>
                  <m:sty m:val="p"/>
                </m:rPr>
                <m:t>.</m:t>
              </m:r>
              <m:r>
                <m:rPr>
                  <m:sty m:val="p"/>
                </m:rPr>
                <m:t>.</m:t>
              </m:r>
              <m:r>
                <m:rPr>
                  <m:sty m:val="p"/>
                </m:rPr>
                <m:t>.</m:t>
              </m:r>
            </m:e>
          </m:d>
          <m:r>
            <m:t>  </m:t>
          </m:r>
          <m:d>
            <m:dPr>
              <m:begChr m:val="("/>
              <m:endChr m:val=")"/>
              <m:sepChr m:val=""/>
              <m:grow/>
            </m:dPr>
            <m:e>
              <m:r>
                <m:t>2</m:t>
              </m:r>
            </m:e>
          </m:d>
        </m:oMath>
      </m:oMathPara>
      <w:bookmarkEnd w:id="22"/>
    </w:p>
    <w:tbl>
      <w:tblPr>
        <w:tblStyle w:val="Table"/>
        <w:tblW w:type="pct" w:w="5000"/>
        <w:tblLook w:firstRow="0" w:lastRow="0" w:firstColumn="0" w:lastColumn="0" w:noHBand="0" w:noVBand="0" w:val="0000"/>
        <w:jc w:val="start"/>
        <w:tblLayout w:type="fixed"/>
      </w:tblPr>
      <w:tblGrid>
        <w:gridCol w:w="7920"/>
      </w:tblGrid>
      <w:tr>
        <w:tc>
          <w:tcPr/>
          <w:bookmarkStart w:id="26" w:name="fig-uniform-scaling"/>
          <w:p>
            <w:pPr>
              <w:pStyle w:val="Compact"/>
              <w:jc w:val="center"/>
            </w:pPr>
            <w:r>
              <w:drawing>
                <wp:inline>
                  <wp:extent cx="5334000" cy="4267200"/>
                  <wp:effectExtent b="0" l="0" r="0" t="0"/>
                  <wp:docPr descr="" title="" id="24" name="Picture"/>
                  <a:graphic>
                    <a:graphicData uri="http://schemas.openxmlformats.org/drawingml/2006/picture">
                      <pic:pic>
                        <pic:nvPicPr>
                          <pic:cNvPr descr="Re_introducing_the_PSTM_files/figure-docx/fig-uniform-scaling-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A comparison of two vowel spaces (based on data in Hillenbrand et al., 1995) differing according to a single multiplicative scaling parameter (</w:t>
            </w:r>
            <m:oMath>
              <m:sSub>
                <m:e>
                  <m:r>
                    <m:t>ρ</m:t>
                  </m:r>
                </m:e>
                <m:sub>
                  <m:r>
                    <m:t>s</m:t>
                  </m:r>
                </m:sub>
              </m:sSub>
            </m:oMath>
            <w:r>
              <w:t xml:space="preserve">). Each IPA symbols shows a speaker’s vowel target</w:t>
            </w:r>
            <w:r>
              <w:t xml:space="preserve"> </w:t>
            </w:r>
            <m:oMath>
              <m:sSubSup>
                <m:e>
                  <m:acc>
                    <m:accPr>
                      <m:chr m:val="⃗"/>
                    </m:accPr>
                    <m:e>
                      <m:r>
                        <m:t>F</m:t>
                      </m:r>
                    </m:e>
                  </m:acc>
                </m:e>
                <m:sub>
                  <m:r>
                    <m:rPr>
                      <m:sty m:val="p"/>
                    </m:rPr>
                    <m:t>v</m:t>
                  </m:r>
                </m:sub>
                <m:sup>
                  <m:r>
                    <m:t>s</m:t>
                  </m:r>
                  <m:r>
                    <m:rPr>
                      <m:sty m:val="p"/>
                    </m:rPr>
                    <m:t>*</m:t>
                  </m:r>
                </m:sup>
              </m:sSubSup>
            </m:oMath>
            <w:r>
              <w:t xml:space="preserve"> </w:t>
            </w:r>
            <w:r>
              <w:t xml:space="preserve">in an F1-F2 space. The</w:t>
            </w:r>
            <w:r>
              <w:t xml:space="preserve"> </w:t>
            </w:r>
            <w:r>
              <w:t xml:space="preserve">“</w:t>
            </w:r>
            <w:r>
              <w:t xml:space="preserve">x</w:t>
            </w:r>
            <w:r>
              <w:t xml:space="preserve">”</w:t>
            </w:r>
            <w:r>
              <w:t xml:space="preserve"> </w:t>
            </w:r>
            <w:r>
              <w:t xml:space="preserve">marks an ambiguous vowel token whose interpretations depends on the assumed vowel space. (b) The outline of the same vowel spaces presented as polygons. Uniform scaling expands or shrinks the polygons but preserves their shape. (c) The same comparison expressed in log-transformed Hz. Each IPA symbols shows a speaker’s vowel target</w:t>
            </w:r>
            <w:r>
              <w:t xml:space="preserve"> </w:t>
            </w:r>
            <m:oMath>
              <m:sSubSup>
                <m:e>
                  <m:acc>
                    <m:accPr>
                      <m:chr m:val="⃗"/>
                    </m:accPr>
                    <m:e>
                      <m:r>
                        <m:t>G</m:t>
                      </m:r>
                    </m:e>
                  </m:acc>
                </m:e>
                <m:sub>
                  <m:r>
                    <m:rPr>
                      <m:sty m:val="p"/>
                    </m:rPr>
                    <m:t>v</m:t>
                  </m:r>
                </m:sub>
                <m:sup>
                  <m:r>
                    <m:t>s</m:t>
                  </m:r>
                  <m:r>
                    <m:rPr>
                      <m:sty m:val="p"/>
                    </m:rPr>
                    <m:t>*</m:t>
                  </m:r>
                </m:sup>
              </m:sSubSup>
            </m:oMath>
            <w:r>
              <w:t xml:space="preserve"> </w:t>
            </w:r>
            <w:r>
              <w:t xml:space="preserve">in a log-F1-F2 space. The two vowel systems now differ in</w:t>
            </w:r>
            <w:r>
              <w:t xml:space="preserve"> </w:t>
            </w:r>
            <m:oMath>
              <m:sSub>
                <m:e>
                  <m:r>
                    <m:t>ψ</m:t>
                  </m:r>
                </m:e>
                <m:sub>
                  <m:r>
                    <m:t>s</m:t>
                  </m:r>
                </m:sub>
              </m:sSub>
            </m:oMath>
            <w:r>
              <w:t xml:space="preserve">. (d) When expressed in log-Hz, uniform scaling results in shifts of the polygons without changing their shape and size.</w:t>
            </w:r>
          </w:p>
          <w:bookmarkEnd w:id="26"/>
        </w:tc>
      </w:tr>
    </w:tbl>
    <w:p>
      <w:pPr>
        <w:pStyle w:val="BodyText"/>
      </w:pPr>
      <w:r>
        <w:t xml:space="preserve">The interpretation of any formant input—e.g., the</w:t>
      </w:r>
      <w:r>
        <w:t xml:space="preserve"> </w:t>
      </w:r>
      <w:r>
        <w:t xml:space="preserve">“</w:t>
      </w:r>
      <w:r>
        <w:t xml:space="preserve">x</w:t>
      </w:r>
      <w:r>
        <w:t xml:space="preserve">”</w:t>
      </w:r>
      <w:r>
        <w:t xml:space="preserve"> </w:t>
      </w:r>
      <w:r>
        <w:t xml:space="preserve">in</w:t>
      </w:r>
      <w:r>
        <w:t xml:space="preserve"> </w:t>
      </w:r>
      <w:hyperlink w:anchor="fig-uniform-scaling">
        <w:r>
          <w:rPr>
            <w:rStyle w:val="Hyperlink"/>
          </w:rPr>
          <w:t xml:space="preserve">Figure 1</w:t>
        </w:r>
      </w:hyperlink>
      <w:r>
        <w:t xml:space="preserve"> </w:t>
      </w:r>
      <w:r>
        <w:t xml:space="preserve">—will thus depend on the scaling parameter</w:t>
      </w:r>
      <w:r>
        <w:t xml:space="preserve"> </w:t>
      </w:r>
      <m:oMath>
        <m:sSub>
          <m:e>
            <m:r>
              <m:t>ψ</m:t>
            </m:r>
          </m:e>
          <m:sub>
            <m:r>
              <m:t>s</m:t>
            </m:r>
          </m:sub>
        </m:sSub>
      </m:oMath>
      <w:r>
        <w:t xml:space="preserve">. Specifically, to transform a formant input</w:t>
      </w:r>
      <w:r>
        <w:t xml:space="preserve"> </w:t>
      </w:r>
      <m:oMath>
        <m:acc>
          <m:accPr>
            <m:chr m:val="⃗"/>
          </m:accPr>
          <m:e>
            <m:r>
              <m:t>F</m:t>
            </m:r>
          </m:e>
        </m:acc>
      </m:oMath>
      <w:r>
        <w:t xml:space="preserve"> </w:t>
      </w:r>
      <w:r>
        <w:t xml:space="preserve">into the uniformly scaled—i.e., normalized—dialect-specific formant space, listeners only need to subtract the speaker-specific scaling parameter</w:t>
      </w:r>
      <w:r>
        <w:t xml:space="preserve"> </w:t>
      </w:r>
      <m:oMath>
        <m:sSub>
          <m:e>
            <m:acc>
              <m:accPr>
                <m:chr m:val="⃗"/>
              </m:accPr>
              <m:e>
                <m:r>
                  <m:t>ψ</m:t>
                </m:r>
              </m:e>
            </m:acc>
          </m:e>
          <m:sub>
            <m:r>
              <m:t>s</m:t>
            </m:r>
          </m:sub>
        </m:sSub>
        <m:box>
          <m:boxPr>
            <m:opEmu m:val="on"/>
          </m:boxPr>
          <m:e>
            <m:r>
              <m:rPr>
                <m:sty m:val="p"/>
              </m:rPr>
              <m:t>:=</m:t>
            </m:r>
          </m:e>
        </m:box>
        <m:d>
          <m:dPr>
            <m:begChr m:val="["/>
            <m:endChr m:val="]"/>
            <m:sepChr m:val=""/>
            <m:grow/>
          </m:dPr>
          <m:e>
            <m:sSub>
              <m:e>
                <m:r>
                  <m:t>ψ</m:t>
                </m:r>
              </m:e>
              <m:sub>
                <m:r>
                  <m:t>s</m:t>
                </m:r>
              </m:sub>
            </m:sSub>
            <m:r>
              <m:rPr>
                <m:sty m:val="p"/>
              </m:rPr>
              <m:t>,</m:t>
            </m:r>
            <m:sSub>
              <m:e>
                <m:r>
                  <m:t>ψ</m:t>
                </m:r>
              </m:e>
              <m:sub>
                <m:r>
                  <m:t>s</m:t>
                </m:r>
              </m:sub>
            </m:sSub>
            <m:r>
              <m:rPr>
                <m:sty m:val="p"/>
              </m:rPr>
              <m:t>,</m:t>
            </m:r>
            <m:sSub>
              <m:e>
                <m:r>
                  <m:t>ψ</m:t>
                </m:r>
              </m:e>
              <m:sub>
                <m:r>
                  <m:t>s</m:t>
                </m:r>
              </m:sub>
            </m:sSub>
            <m:r>
              <m:rPr>
                <m:sty m:val="p"/>
              </m:rPr>
              <m:t>,</m:t>
            </m:r>
            <m:r>
              <m:rPr>
                <m:sty m:val="p"/>
              </m:rPr>
              <m:t>.</m:t>
            </m:r>
            <m:r>
              <m:rPr>
                <m:sty m:val="p"/>
              </m:rPr>
              <m:t>.</m:t>
            </m:r>
            <m:r>
              <m:rPr>
                <m:sty m:val="p"/>
              </m:rPr>
              <m:t>.</m:t>
            </m:r>
          </m:e>
        </m:d>
      </m:oMath>
      <w:r>
        <w:t xml:space="preserve"> </w:t>
      </w:r>
      <w:r>
        <w:t xml:space="preserve">from the log-transformed formant input</w:t>
      </w:r>
      <w:r>
        <w:t xml:space="preserve"> </w:t>
      </w:r>
      <m:oMath>
        <m:acc>
          <m:accPr>
            <m:chr m:val="⃗"/>
          </m:accPr>
          <m:e>
            <m:r>
              <m:t>G</m:t>
            </m:r>
          </m:e>
        </m:acc>
        <m:box>
          <m:boxPr>
            <m:opEmu m:val="on"/>
          </m:boxPr>
          <m:e>
            <m:r>
              <m:rPr>
                <m:sty m:val="p"/>
              </m:rPr>
              <m:t>:=</m:t>
            </m:r>
          </m:e>
        </m:box>
        <m:d>
          <m:dPr>
            <m:begChr m:val="["/>
            <m:endChr m:val="]"/>
            <m:sepChr m:val=""/>
            <m:grow/>
          </m:dPr>
          <m:e>
            <m:r>
              <m:t>G</m:t>
            </m:r>
            <m:r>
              <m:t>1</m:t>
            </m:r>
            <m:r>
              <m:rPr>
                <m:sty m:val="p"/>
              </m:rPr>
              <m:t>,</m:t>
            </m:r>
            <m:r>
              <m:t>G</m:t>
            </m:r>
            <m:r>
              <m:t>2</m:t>
            </m:r>
            <m:r>
              <m:rPr>
                <m:sty m:val="p"/>
              </m:rPr>
              <m:t>,</m:t>
            </m:r>
            <m:r>
              <m:t>G</m:t>
            </m:r>
            <m:r>
              <m:t>3</m:t>
            </m:r>
            <m:r>
              <m:rPr>
                <m:sty m:val="p"/>
              </m:rPr>
              <m:t>,</m:t>
            </m:r>
            <m:r>
              <m:rPr>
                <m:sty m:val="p"/>
              </m:rPr>
              <m:t>.</m:t>
            </m:r>
            <m:r>
              <m:rPr>
                <m:sty m:val="p"/>
              </m:rPr>
              <m:t>.</m:t>
            </m:r>
            <m:r>
              <m:rPr>
                <m:sty m:val="p"/>
              </m:rPr>
              <m:t>.</m:t>
            </m:r>
          </m:e>
        </m:d>
      </m:oMath>
      <w:r>
        <w:t xml:space="preserve"> </w:t>
      </w:r>
      <w:r>
        <w:t xml:space="preserve">as in</w:t>
      </w:r>
      <w:r>
        <w:t xml:space="preserve"> </w:t>
      </w:r>
      <w:hyperlink w:anchor="eq-define-N">
        <w:r>
          <w:rPr>
            <w:rStyle w:val="Hyperlink"/>
          </w:rPr>
          <w:t xml:space="preserve">Equation 3</w:t>
        </w:r>
      </w:hyperlink>
      <w:r>
        <w:t xml:space="preserve">. We refer to the resulting normalized formants as</w:t>
      </w:r>
      <w:r>
        <w:t xml:space="preserve"> </w:t>
      </w:r>
      <m:oMath>
        <m:acc>
          <m:accPr>
            <m:chr m:val="⃗"/>
          </m:accPr>
          <m:e>
            <m:r>
              <m:t>N</m:t>
            </m:r>
          </m:e>
        </m:acc>
      </m:oMath>
      <w:r>
        <w:t xml:space="preserve">:</w:t>
      </w:r>
    </w:p>
    <w:p>
      <w:pPr>
        <w:pStyle w:val="BodyText"/>
      </w:pPr>
      <w:bookmarkStart w:id="27" w:name="eq-define-N"/>
      <m:oMathPara>
        <m:oMathParaPr>
          <m:jc m:val="center"/>
        </m:oMathParaPr>
        <m:oMath>
          <m:acc>
            <m:accPr>
              <m:chr m:val="⃗"/>
            </m:accPr>
            <m:e>
              <m:r>
                <m:t>N</m:t>
              </m:r>
            </m:e>
          </m:acc>
          <m:box>
            <m:boxPr>
              <m:opEmu m:val="on"/>
            </m:boxPr>
            <m:e>
              <m:r>
                <m:rPr>
                  <m:sty m:val="p"/>
                </m:rPr>
                <m:t>:=</m:t>
              </m:r>
            </m:e>
          </m:box>
          <m:d>
            <m:dPr>
              <m:begChr m:val="["/>
              <m:endChr m:val="]"/>
              <m:sepChr m:val=""/>
              <m:grow/>
            </m:dPr>
            <m:e>
              <m:r>
                <m:t>N</m:t>
              </m:r>
              <m:r>
                <m:t>1</m:t>
              </m:r>
              <m:r>
                <m:rPr>
                  <m:sty m:val="p"/>
                </m:rPr>
                <m:t>,</m:t>
              </m:r>
              <m:r>
                <m:t> </m:t>
              </m:r>
              <m:r>
                <m:t>N</m:t>
              </m:r>
              <m:r>
                <m:t>2</m:t>
              </m:r>
              <m:r>
                <m:rPr>
                  <m:sty m:val="p"/>
                </m:rPr>
                <m:t>,</m:t>
              </m:r>
              <m:r>
                <m:t> </m:t>
              </m:r>
              <m:r>
                <m:t>N</m:t>
              </m:r>
              <m:r>
                <m:t>3</m:t>
              </m:r>
              <m:r>
                <m:rPr>
                  <m:sty m:val="p"/>
                </m:rPr>
                <m:t>,</m:t>
              </m:r>
              <m:r>
                <m:t> </m:t>
              </m:r>
              <m:r>
                <m:rPr>
                  <m:sty m:val="p"/>
                </m:rPr>
                <m:t>.</m:t>
              </m:r>
              <m:r>
                <m:rPr>
                  <m:sty m:val="p"/>
                </m:rPr>
                <m:t>.</m:t>
              </m:r>
              <m:r>
                <m:rPr>
                  <m:sty m:val="p"/>
                </m:rPr>
                <m:t>.</m:t>
              </m:r>
            </m:e>
          </m:d>
          <m:r>
            <m:rPr>
              <m:sty m:val="p"/>
            </m:rPr>
            <m:t>=</m:t>
          </m:r>
          <m:acc>
            <m:accPr>
              <m:chr m:val="⃗"/>
            </m:accPr>
            <m:e>
              <m:r>
                <m:t>G</m:t>
              </m:r>
            </m:e>
          </m:acc>
          <m:r>
            <m:rPr>
              <m:sty m:val="p"/>
            </m:rPr>
            <m:t>−</m:t>
          </m:r>
          <m:sSub>
            <m:e>
              <m:acc>
                <m:accPr>
                  <m:chr m:val="⃗"/>
                </m:accPr>
                <m:e>
                  <m:r>
                    <m:t>ψ</m:t>
                  </m:r>
                </m:e>
              </m:acc>
            </m:e>
            <m:sub>
              <m:r>
                <m:t>s</m:t>
              </m:r>
            </m:sub>
          </m:sSub>
          <m:r>
            <m:t>  </m:t>
          </m:r>
          <m:d>
            <m:dPr>
              <m:begChr m:val="("/>
              <m:endChr m:val=")"/>
              <m:sepChr m:val=""/>
              <m:grow/>
            </m:dPr>
            <m:e>
              <m:r>
                <m:t>3</m:t>
              </m:r>
            </m:e>
          </m:d>
        </m:oMath>
      </m:oMathPara>
      <w:bookmarkEnd w:id="27"/>
    </w:p>
    <w:bookmarkEnd w:id="28"/>
    <w:bookmarkStart w:id="31" w:name="Xfe3d298593bd3424035fcc52f55d254e0fb9386"/>
    <w:p>
      <w:pPr>
        <w:pStyle w:val="Heading1"/>
      </w:pPr>
      <w:r>
        <w:t xml:space="preserve">3. The Probabilistic Sliding Template Model of vowel perception (PSTM)</w:t>
      </w:r>
    </w:p>
    <w:p>
      <w:pPr>
        <w:pStyle w:val="FirstParagraph"/>
      </w:pPr>
      <w:r>
        <w:t xml:space="preserve">As anticipated above, listeners are assumed to learn dialect-specific vowel representations over the</w:t>
      </w:r>
      <w:r>
        <w:t xml:space="preserve"> </w:t>
      </w:r>
      <w:r>
        <w:rPr>
          <w:iCs/>
          <w:i/>
        </w:rPr>
        <w:t xml:space="preserve">normalized</w:t>
      </w:r>
      <w:r>
        <w:t xml:space="preserve"> </w:t>
      </w:r>
      <w:r>
        <w:t xml:space="preserve">vowel formants. These representations are assumed to capture the formant distributions that result for each vowel due to noise during the articulation and perception of formants.</w:t>
      </w:r>
      <w:r>
        <w:t xml:space="preserve"> </w:t>
      </w:r>
      <w:r>
        <w:t xml:space="preserve">Nearey and Assmann (2007)</w:t>
      </w:r>
      <w:r>
        <w:t xml:space="preserve"> </w:t>
      </w:r>
      <w:r>
        <w:t xml:space="preserve">referred to listeners’ dialect-specific implicit knowledge about each vowel’s formant distributions as</w:t>
      </w:r>
      <w:r>
        <w:t xml:space="preserve"> </w:t>
      </w:r>
      <w:r>
        <w:t xml:space="preserve">“</w:t>
      </w:r>
      <w:r>
        <w:t xml:space="preserve">probabilistic templates</w:t>
      </w:r>
      <w:r>
        <w:t xml:space="preserve">”</w:t>
      </w:r>
      <w:r>
        <w:t xml:space="preserve">.</w:t>
      </w:r>
    </w:p>
    <w:p>
      <w:pPr>
        <w:pStyle w:val="BodyText"/>
      </w:pPr>
      <w:r>
        <w:t xml:space="preserve">The probabilistic templates could be represented, for instance, as exemplar clouds</w:t>
      </w:r>
      <w:r>
        <w:t xml:space="preserve"> </w:t>
      </w:r>
      <w:r>
        <w:t xml:space="preserve">(Johnson 1997)</w:t>
      </w:r>
      <w:r>
        <w:t xml:space="preserve"> </w:t>
      </w:r>
      <w:r>
        <w:t xml:space="preserve">or, in a more compact form, as parametric distributions</w:t>
      </w:r>
      <w:r>
        <w:t xml:space="preserve"> </w:t>
      </w:r>
      <w:r>
        <w:t xml:space="preserve">(Nearey and Assmann 2007)</w:t>
      </w:r>
      <w:r>
        <w:t xml:space="preserve">. For computational tractability, we follow the latter approach, and represent vowel categories as multivariate Normal distributions over normalized formants, with mean vectors</w:t>
      </w:r>
      <w:r>
        <w:t xml:space="preserve"> </w:t>
      </w:r>
      <m:oMath>
        <m:sSub>
          <m:e>
            <m:acc>
              <m:accPr>
                <m:chr m:val="⃗"/>
              </m:accPr>
              <m:e>
                <m:r>
                  <m:t>μ</m:t>
                </m:r>
              </m:e>
            </m:acc>
          </m:e>
          <m:sub>
            <m:r>
              <m:rPr>
                <m:nor/>
                <m:sty m:val="p"/>
              </m:rPr>
              <m:t>v</m:t>
            </m:r>
          </m:sub>
        </m:sSub>
      </m:oMath>
      <w:r>
        <w:t xml:space="preserve"> </w:t>
      </w:r>
      <w:r>
        <w:t xml:space="preserve">and covariance matrices</w:t>
      </w:r>
      <w:r>
        <w:t xml:space="preserve"> </w:t>
      </w:r>
      <m:oMath>
        <m:sSub>
          <m:e>
            <m:acc>
              <m:accPr>
                <m:chr m:val="⃗"/>
              </m:accPr>
              <m:e>
                <m:r>
                  <m:t>Σ</m:t>
                </m:r>
              </m:e>
            </m:acc>
          </m:e>
          <m:sub>
            <m:r>
              <m:rPr>
                <m:nor/>
                <m:sty m:val="p"/>
              </m:rPr>
              <m:t>v</m:t>
            </m:r>
          </m:sub>
        </m:sSub>
      </m:oMath>
      <w:r>
        <w:t xml:space="preserve">. We may then use the multivariate normal density (MVN) of each vowel to calculate the likelihood of any observed log-transformed formant input</w:t>
      </w:r>
      <w:r>
        <w:t xml:space="preserve"> </w:t>
      </w:r>
      <m:oMath>
        <m:acc>
          <m:accPr>
            <m:chr m:val="⃗"/>
          </m:accPr>
          <m:e>
            <m:r>
              <m:t>G</m:t>
            </m:r>
          </m:e>
        </m:acc>
      </m:oMath>
      <w:r>
        <w:t xml:space="preserve"> </w:t>
      </w:r>
      <w:r>
        <w:t xml:space="preserve">given that vowel and the speaker-specific scaling parameter</w:t>
      </w:r>
      <w:r>
        <w:t xml:space="preserve"> </w:t>
      </w:r>
      <m:oMath>
        <m:sSub>
          <m:e>
            <m:r>
              <m:t>ψ</m:t>
            </m:r>
          </m:e>
          <m:sub>
            <m:r>
              <m:t>s</m:t>
            </m:r>
          </m:sub>
        </m:sSub>
      </m:oMath>
      <w:r>
        <w:t xml:space="preserve">. This can be done by either sliding the template as in</w:t>
      </w:r>
      <w:r>
        <w:t xml:space="preserve"> </w:t>
      </w:r>
      <w:hyperlink w:anchor="fig-uniform-scaling">
        <w:r>
          <w:rPr>
            <w:rStyle w:val="Hyperlink"/>
          </w:rPr>
          <w:t xml:space="preserve">Figure 1</w:t>
        </w:r>
      </w:hyperlink>
      <w:r>
        <w:t xml:space="preserve">(d) above or, equivalently, by scaling the formants into the normalized template space:</w:t>
      </w:r>
    </w:p>
    <w:p>
      <w:pPr>
        <w:pStyle w:val="BodyText"/>
      </w:pPr>
      <w:bookmarkStart w:id="29" w:name="eq-posterior-G"/>
      <m:oMathPara>
        <m:oMathParaPr>
          <m:jc m:val="center"/>
        </m:oMathParaPr>
        <m:oMath>
          <m:r>
            <m:t>P</m:t>
          </m:r>
          <m:d>
            <m:dPr>
              <m:begChr m:val="("/>
              <m:endChr m:val=")"/>
              <m:sepChr m:val=""/>
              <m:grow/>
            </m:dPr>
            <m:e>
              <m:acc>
                <m:accPr>
                  <m:chr m:val="⃗"/>
                </m:accPr>
                <m:e>
                  <m:r>
                    <m:t>G</m:t>
                  </m:r>
                </m:e>
              </m:acc>
              <m:r>
                <m:rPr>
                  <m:sty m:val="p"/>
                </m:rPr>
                <m:t>|</m:t>
              </m:r>
              <m:r>
                <m:rPr>
                  <m:sty m:val="p"/>
                </m:rPr>
                <m:t>v</m:t>
              </m:r>
              <m:r>
                <m:rPr>
                  <m:sty m:val="p"/>
                </m:rPr>
                <m:t>,</m:t>
              </m:r>
              <m:sSub>
                <m:e>
                  <m:r>
                    <m:t>ψ</m:t>
                  </m:r>
                </m:e>
                <m:sub>
                  <m:r>
                    <m:t>s</m:t>
                  </m:r>
                </m:sub>
              </m:sSub>
            </m:e>
          </m:d>
          <m:box>
            <m:boxPr>
              <m:opEmu m:val="on"/>
            </m:boxPr>
            <m:e>
              <m:r>
                <m:rPr>
                  <m:sty m:val="p"/>
                </m:rPr>
                <m:t>:=</m:t>
              </m:r>
            </m:e>
          </m:box>
          <m:r>
            <m:t>M</m:t>
          </m:r>
          <m:r>
            <m:t>V</m:t>
          </m:r>
          <m:r>
            <m:t>N</m:t>
          </m:r>
          <m:d>
            <m:dPr>
              <m:begChr m:val="("/>
              <m:endChr m:val=")"/>
              <m:sepChr m:val=""/>
              <m:grow/>
            </m:dPr>
            <m:e>
              <m:acc>
                <m:accPr>
                  <m:chr m:val="⃗"/>
                </m:accPr>
                <m:e>
                  <m:r>
                    <m:t>G</m:t>
                  </m:r>
                </m:e>
              </m:acc>
              <m:r>
                <m:rPr>
                  <m:sty m:val="p"/>
                </m:rPr>
                <m:t>|</m:t>
              </m:r>
              <m:sSub>
                <m:e>
                  <m:acc>
                    <m:accPr>
                      <m:chr m:val="⃗"/>
                    </m:accPr>
                    <m:e>
                      <m:r>
                        <m:t>μ</m:t>
                      </m:r>
                    </m:e>
                  </m:acc>
                </m:e>
                <m:sub>
                  <m:r>
                    <m:rPr>
                      <m:nor/>
                      <m:sty m:val="p"/>
                    </m:rPr>
                    <m:t>v</m:t>
                  </m:r>
                </m:sub>
              </m:sSub>
              <m:r>
                <m:rPr>
                  <m:sty m:val="p"/>
                </m:rPr>
                <m:t>+</m:t>
              </m:r>
              <m:sSub>
                <m:e>
                  <m:acc>
                    <m:accPr>
                      <m:chr m:val="⃗"/>
                    </m:accPr>
                    <m:e>
                      <m:r>
                        <m:t>ψ</m:t>
                      </m:r>
                    </m:e>
                  </m:acc>
                </m:e>
                <m:sub>
                  <m:r>
                    <m:t>s</m:t>
                  </m:r>
                </m:sub>
              </m:sSub>
              <m:r>
                <m:rPr>
                  <m:sty m:val="p"/>
                </m:rPr>
                <m:t>,</m:t>
              </m:r>
              <m:sSub>
                <m:e>
                  <m:acc>
                    <m:accPr>
                      <m:chr m:val="⃗"/>
                    </m:accPr>
                    <m:e>
                      <m:r>
                        <m:t>Σ</m:t>
                      </m:r>
                    </m:e>
                  </m:acc>
                </m:e>
                <m:sub>
                  <m:r>
                    <m:rPr>
                      <m:nor/>
                      <m:sty m:val="p"/>
                    </m:rPr>
                    <m:t>v</m:t>
                  </m:r>
                </m:sub>
              </m:sSub>
            </m:e>
          </m:d>
          <m:r>
            <m:rPr>
              <m:sty m:val="p"/>
            </m:rPr>
            <m:t>=</m:t>
          </m:r>
          <m:r>
            <m:t>M</m:t>
          </m:r>
          <m:r>
            <m:t>V</m:t>
          </m:r>
          <m:r>
            <m:t>N</m:t>
          </m:r>
          <m:d>
            <m:dPr>
              <m:begChr m:val="("/>
              <m:endChr m:val=")"/>
              <m:sepChr m:val=""/>
              <m:grow/>
            </m:dPr>
            <m:e>
              <m:acc>
                <m:accPr>
                  <m:chr m:val="⃗"/>
                </m:accPr>
                <m:e>
                  <m:r>
                    <m:t>G</m:t>
                  </m:r>
                </m:e>
              </m:acc>
              <m:r>
                <m:rPr>
                  <m:sty m:val="p"/>
                </m:rPr>
                <m:t>−</m:t>
              </m:r>
              <m:sSub>
                <m:e>
                  <m:acc>
                    <m:accPr>
                      <m:chr m:val="⃗"/>
                    </m:accPr>
                    <m:e>
                      <m:r>
                        <m:t>ψ</m:t>
                      </m:r>
                    </m:e>
                  </m:acc>
                </m:e>
                <m:sub>
                  <m:r>
                    <m:t>s</m:t>
                  </m:r>
                </m:sub>
              </m:sSub>
              <m:r>
                <m:rPr>
                  <m:sty m:val="p"/>
                </m:rPr>
                <m:t>|</m:t>
              </m:r>
              <m:sSub>
                <m:e>
                  <m:acc>
                    <m:accPr>
                      <m:chr m:val="⃗"/>
                    </m:accPr>
                    <m:e>
                      <m:r>
                        <m:t>μ</m:t>
                      </m:r>
                    </m:e>
                  </m:acc>
                </m:e>
                <m:sub>
                  <m:r>
                    <m:rPr>
                      <m:nor/>
                      <m:sty m:val="p"/>
                    </m:rPr>
                    <m:t>v</m:t>
                  </m:r>
                </m:sub>
              </m:sSub>
              <m:r>
                <m:rPr>
                  <m:sty m:val="p"/>
                </m:rPr>
                <m:t>,</m:t>
              </m:r>
              <m:sSub>
                <m:e>
                  <m:acc>
                    <m:accPr>
                      <m:chr m:val="⃗"/>
                    </m:accPr>
                    <m:e>
                      <m:r>
                        <m:t>Σ</m:t>
                      </m:r>
                    </m:e>
                  </m:acc>
                </m:e>
                <m:sub>
                  <m:r>
                    <m:rPr>
                      <m:nor/>
                      <m:sty m:val="p"/>
                    </m:rPr>
                    <m:t>v</m:t>
                  </m:r>
                </m:sub>
              </m:sSub>
            </m:e>
          </m:d>
          <m:r>
            <m:rPr>
              <m:sty m:val="p"/>
            </m:rPr>
            <m:t>=</m:t>
          </m:r>
          <m:r>
            <m:t>M</m:t>
          </m:r>
          <m:r>
            <m:t>V</m:t>
          </m:r>
          <m:r>
            <m:t>N</m:t>
          </m:r>
          <m:d>
            <m:dPr>
              <m:begChr m:val="("/>
              <m:endChr m:val=")"/>
              <m:sepChr m:val=""/>
              <m:grow/>
            </m:dPr>
            <m:e>
              <m:acc>
                <m:accPr>
                  <m:chr m:val="⃗"/>
                </m:accPr>
                <m:e>
                  <m:r>
                    <m:t>N</m:t>
                  </m:r>
                </m:e>
              </m:acc>
              <m:r>
                <m:rPr>
                  <m:sty m:val="p"/>
                </m:rPr>
                <m:t>|</m:t>
              </m:r>
              <m:sSub>
                <m:e>
                  <m:acc>
                    <m:accPr>
                      <m:chr m:val="⃗"/>
                    </m:accPr>
                    <m:e>
                      <m:r>
                        <m:t>μ</m:t>
                      </m:r>
                    </m:e>
                  </m:acc>
                </m:e>
                <m:sub>
                  <m:r>
                    <m:rPr>
                      <m:nor/>
                      <m:sty m:val="p"/>
                    </m:rPr>
                    <m:t>v</m:t>
                  </m:r>
                </m:sub>
              </m:sSub>
              <m:r>
                <m:rPr>
                  <m:sty m:val="p"/>
                </m:rPr>
                <m:t>,</m:t>
              </m:r>
              <m:sSub>
                <m:e>
                  <m:acc>
                    <m:accPr>
                      <m:chr m:val="⃗"/>
                    </m:accPr>
                    <m:e>
                      <m:r>
                        <m:t>Σ</m:t>
                      </m:r>
                    </m:e>
                  </m:acc>
                </m:e>
                <m:sub>
                  <m:r>
                    <m:rPr>
                      <m:nor/>
                      <m:sty m:val="p"/>
                    </m:rPr>
                    <m:t>v</m:t>
                  </m:r>
                </m:sub>
              </m:sSub>
            </m:e>
          </m:d>
          <m:r>
            <m:t>  </m:t>
          </m:r>
          <m:d>
            <m:dPr>
              <m:begChr m:val="("/>
              <m:endChr m:val=")"/>
              <m:sepChr m:val=""/>
              <m:grow/>
            </m:dPr>
            <m:e>
              <m:r>
                <m:t>4</m:t>
              </m:r>
            </m:e>
          </m:d>
        </m:oMath>
      </m:oMathPara>
      <w:bookmarkEnd w:id="29"/>
    </w:p>
    <w:p>
      <w:pPr>
        <w:pStyle w:val="FirstParagraph"/>
      </w:pPr>
      <w:r>
        <w:t xml:space="preserve">The likelihoods in</w:t>
      </w:r>
      <w:r>
        <w:t xml:space="preserve"> </w:t>
      </w:r>
      <w:hyperlink w:anchor="eq-posterior-G">
        <w:r>
          <w:rPr>
            <w:rStyle w:val="Hyperlink"/>
          </w:rPr>
          <w:t xml:space="preserve">Equation 4</w:t>
        </w:r>
      </w:hyperlink>
      <w:r>
        <w:t xml:space="preserve"> </w:t>
      </w:r>
      <w:r>
        <w:t xml:space="preserve">can be combined with the prior probability of each vowel category in the current context to find the</w:t>
      </w:r>
      <w:r>
        <w:t xml:space="preserve"> </w:t>
      </w:r>
      <w:r>
        <w:rPr>
          <w:iCs/>
          <w:i/>
        </w:rPr>
        <w:t xml:space="preserve">posterior probability</w:t>
      </w:r>
      <w:r>
        <w:t xml:space="preserve"> </w:t>
      </w:r>
      <w:r>
        <w:t xml:space="preserve">of each vowel category</w:t>
      </w:r>
      <w:r>
        <w:t xml:space="preserve"> </w:t>
      </w:r>
      <m:oMath>
        <m:sSub>
          <m:e>
            <m:r>
              <m:rPr>
                <m:sty m:val="p"/>
              </m:rPr>
              <m:t>v</m:t>
            </m:r>
          </m:e>
          <m:sub>
            <m:r>
              <m:t>i</m:t>
            </m:r>
          </m:sub>
        </m:sSub>
      </m:oMath>
      <w:r>
        <w:t xml:space="preserve">, as in</w:t>
      </w:r>
      <w:r>
        <w:t xml:space="preserve"> </w:t>
      </w:r>
      <w:hyperlink w:anchor="eq-e10">
        <w:r>
          <w:rPr>
            <w:rStyle w:val="Hyperlink"/>
          </w:rPr>
          <w:t xml:space="preserve">Equation 5</w:t>
        </w:r>
      </w:hyperlink>
      <w:r>
        <w:t xml:space="preserve"> </w:t>
      </w:r>
      <w:r>
        <w:t xml:space="preserve">(where</w:t>
      </w:r>
      <w:r>
        <w:t xml:space="preserve"> </w:t>
      </w:r>
      <m:oMath>
        <m:r>
          <m:t>V</m:t>
        </m:r>
      </m:oMath>
      <w:r>
        <w:t xml:space="preserve"> </w:t>
      </w:r>
      <w:r>
        <w:t xml:space="preserve">is the number of unique vowel categories).</w:t>
      </w:r>
    </w:p>
    <w:p>
      <w:pPr>
        <w:pStyle w:val="BodyText"/>
      </w:pPr>
      <w:bookmarkStart w:id="30" w:name="eq-e10"/>
      <m:oMathPara>
        <m:oMathParaPr>
          <m:jc m:val="center"/>
        </m:oMathParaPr>
        <m:oMath>
          <m:r>
            <m:t>P</m:t>
          </m:r>
          <m:d>
            <m:dPr>
              <m:begChr m:val="("/>
              <m:endChr m:val=")"/>
              <m:sepChr m:val=""/>
              <m:grow/>
            </m:dPr>
            <m:e>
              <m:sSub>
                <m:e>
                  <m:r>
                    <m:rPr>
                      <m:sty m:val="p"/>
                    </m:rPr>
                    <m:t>v</m:t>
                  </m:r>
                </m:e>
                <m:sub>
                  <m:r>
                    <m:t>i</m:t>
                  </m:r>
                </m:sub>
              </m:sSub>
              <m:r>
                <m:rPr>
                  <m:sty m:val="p"/>
                </m:rPr>
                <m:t>|</m:t>
              </m:r>
              <m:acc>
                <m:accPr>
                  <m:chr m:val="⃗"/>
                </m:accPr>
                <m:e>
                  <m:r>
                    <m:t>G</m:t>
                  </m:r>
                </m:e>
              </m:acc>
              <m:r>
                <m:rPr>
                  <m:sty m:val="p"/>
                </m:rPr>
                <m:t>,</m:t>
              </m:r>
              <m:sSub>
                <m:e>
                  <m:r>
                    <m:t>ψ</m:t>
                  </m:r>
                </m:e>
                <m:sub>
                  <m:r>
                    <m:t>s</m:t>
                  </m:r>
                </m:sub>
              </m:sSub>
            </m:e>
          </m:d>
          <m:r>
            <m:rPr>
              <m:sty m:val="p"/>
            </m:rPr>
            <m:t>=</m:t>
          </m:r>
          <m:f>
            <m:fPr>
              <m:type m:val="bar"/>
            </m:fPr>
            <m:num>
              <m:r>
                <m:t>P</m:t>
              </m:r>
              <m:d>
                <m:dPr>
                  <m:begChr m:val="("/>
                  <m:endChr m:val=")"/>
                  <m:sepChr m:val=""/>
                  <m:grow/>
                </m:dPr>
                <m:e>
                  <m:acc>
                    <m:accPr>
                      <m:chr m:val="⃗"/>
                    </m:accPr>
                    <m:e>
                      <m:r>
                        <m:t>G</m:t>
                      </m:r>
                    </m:e>
                  </m:acc>
                  <m:r>
                    <m:rPr>
                      <m:sty m:val="p"/>
                    </m:rPr>
                    <m:t>|</m:t>
                  </m:r>
                  <m:sSub>
                    <m:e>
                      <m:r>
                        <m:rPr>
                          <m:nor/>
                          <m:sty m:val="p"/>
                        </m:rPr>
                        <m:t>v</m:t>
                      </m:r>
                    </m:e>
                    <m:sub>
                      <m:r>
                        <m:t>i</m:t>
                      </m:r>
                    </m:sub>
                  </m:sSub>
                  <m:r>
                    <m:rPr>
                      <m:sty m:val="p"/>
                    </m:rPr>
                    <m:t>,</m:t>
                  </m:r>
                  <m:sSub>
                    <m:e>
                      <m:r>
                        <m:t>ψ</m:t>
                      </m:r>
                    </m:e>
                    <m:sub>
                      <m:r>
                        <m:t>s</m:t>
                      </m:r>
                    </m:sub>
                  </m:sSub>
                </m:e>
              </m:d>
              <m:r>
                <m:rPr>
                  <m:sty m:val="p"/>
                </m:rPr>
                <m:t>⋅</m:t>
              </m:r>
              <m:r>
                <m:t>P</m:t>
              </m:r>
              <m:d>
                <m:dPr>
                  <m:begChr m:val="("/>
                  <m:endChr m:val=")"/>
                  <m:sepChr m:val=""/>
                  <m:grow/>
                </m:dPr>
                <m:e>
                  <m:sSub>
                    <m:e>
                      <m:r>
                        <m:rPr>
                          <m:nor/>
                          <m:sty m:val="p"/>
                        </m:rPr>
                        <m:t>v</m:t>
                      </m:r>
                    </m:e>
                    <m:sub>
                      <m:r>
                        <m:t>i</m:t>
                      </m:r>
                    </m:sub>
                  </m:sSub>
                </m:e>
              </m:d>
            </m:num>
            <m:den>
              <m:nary>
                <m:naryPr>
                  <m:chr m:val="∑"/>
                  <m:limLoc m:val="undOvr"/>
                  <m:subHide m:val="off"/>
                  <m:supHide m:val="off"/>
                </m:naryPr>
                <m:sub>
                  <m:r>
                    <m:t>j</m:t>
                  </m:r>
                  <m:r>
                    <m:rPr>
                      <m:sty m:val="p"/>
                    </m:rPr>
                    <m:t>=</m:t>
                  </m:r>
                  <m:r>
                    <m:t>1</m:t>
                  </m:r>
                </m:sub>
                <m:sup>
                  <m:r>
                    <m:t>V</m:t>
                  </m:r>
                </m:sup>
                <m:e>
                  <m:r>
                    <m:t>P</m:t>
                  </m:r>
                  <m:d>
                    <m:dPr>
                      <m:begChr m:val="("/>
                      <m:endChr m:val=")"/>
                      <m:sepChr m:val=""/>
                      <m:grow/>
                    </m:dPr>
                    <m:e>
                      <m:acc>
                        <m:accPr>
                          <m:chr m:val="⃗"/>
                        </m:accPr>
                        <m:e>
                          <m:r>
                            <m:t>G</m:t>
                          </m:r>
                        </m:e>
                      </m:acc>
                      <m:r>
                        <m:rPr>
                          <m:sty m:val="p"/>
                        </m:rPr>
                        <m:t>|</m:t>
                      </m:r>
                      <m:sSub>
                        <m:e>
                          <m:r>
                            <m:rPr>
                              <m:nor/>
                              <m:sty m:val="p"/>
                            </m:rPr>
                            <m:t>v</m:t>
                          </m:r>
                        </m:e>
                        <m:sub>
                          <m:r>
                            <m:t>j</m:t>
                          </m:r>
                        </m:sub>
                      </m:sSub>
                      <m:r>
                        <m:rPr>
                          <m:sty m:val="p"/>
                        </m:rPr>
                        <m:t>,</m:t>
                      </m:r>
                      <m:sSub>
                        <m:e>
                          <m:r>
                            <m:t>ψ</m:t>
                          </m:r>
                        </m:e>
                        <m:sub>
                          <m:r>
                            <m:t>s</m:t>
                          </m:r>
                        </m:sub>
                      </m:sSub>
                    </m:e>
                  </m:d>
                  <m:r>
                    <m:rPr>
                      <m:sty m:val="p"/>
                    </m:rPr>
                    <m:t>⋅</m:t>
                  </m:r>
                  <m:r>
                    <m:t>P</m:t>
                  </m:r>
                  <m:d>
                    <m:dPr>
                      <m:begChr m:val="("/>
                      <m:endChr m:val=")"/>
                      <m:sepChr m:val=""/>
                      <m:grow/>
                    </m:dPr>
                    <m:e>
                      <m:sSub>
                        <m:e>
                          <m:r>
                            <m:rPr>
                              <m:nor/>
                              <m:sty m:val="p"/>
                            </m:rPr>
                            <m:t>v</m:t>
                          </m:r>
                        </m:e>
                        <m:sub>
                          <m:r>
                            <m:t>j</m:t>
                          </m:r>
                        </m:sub>
                      </m:sSub>
                    </m:e>
                  </m:d>
                </m:e>
              </m:nary>
            </m:den>
          </m:f>
          <m:r>
            <m:t>  </m:t>
          </m:r>
          <m:d>
            <m:dPr>
              <m:begChr m:val="("/>
              <m:endChr m:val=")"/>
              <m:sepChr m:val=""/>
              <m:grow/>
            </m:dPr>
            <m:e>
              <m:r>
                <m:t>5</m:t>
              </m:r>
            </m:e>
          </m:d>
        </m:oMath>
      </m:oMathPara>
      <w:bookmarkEnd w:id="30"/>
    </w:p>
    <w:p>
      <w:pPr>
        <w:pStyle w:val="FirstParagraph"/>
      </w:pPr>
      <w:r>
        <w:t xml:space="preserve">This posterior probability provides a gradient measure of category membership</w:t>
      </w:r>
      <w:r>
        <w:t xml:space="preserve"> </w:t>
      </w:r>
      <w:r>
        <w:t xml:space="preserve">(Nearey and Assmann 2007; Luce and Pisoni 1998; Norris and McQueen 2008; Xie, Jaeger, and Kurumada 2023)</w:t>
      </w:r>
      <w:r>
        <w:t xml:space="preserve">—conceptually paralleling the gradient activation of categories in connectionist, neural network, or exemplar theories of speech perception. Categorization—and thus listeners’ responses in a</w:t>
      </w:r>
      <w:r>
        <w:t xml:space="preserve"> </w:t>
      </w:r>
      <m:oMath>
        <m:r>
          <m:t>n</m:t>
        </m:r>
      </m:oMath>
      <w:r>
        <w:t xml:space="preserve">-alternative forced-choice categorization task—can be modeled via decision rules based on the posterior probability. For instance, listener might always respond with the vowel that has the highest posterior probability</w:t>
      </w:r>
      <w:r>
        <w:t xml:space="preserve"> </w:t>
      </w:r>
      <w:r>
        <w:t xml:space="preserve">(criterion choice rule, as assumed in Nearey and Assmann 2007)</w:t>
      </w:r>
      <w:r>
        <w:t xml:space="preserve"> </w:t>
      </w:r>
      <w:r>
        <w:t xml:space="preserve">or respond by sampling from the posterior</w:t>
      </w:r>
      <w:r>
        <w:t xml:space="preserve"> </w:t>
      </w:r>
      <w:r>
        <w:t xml:space="preserve">(Luce’s choice rule, cf. discussion in Massaro and Friedman 1990)</w:t>
      </w:r>
      <w:r>
        <w:t xml:space="preserve">.</w:t>
      </w:r>
    </w:p>
    <w:p>
      <w:pPr>
        <w:pStyle w:val="BodyText"/>
      </w:pPr>
      <w:r>
        <w:t xml:space="preserve">Given an estimate of the speaker-specific scaling parameter</w:t>
      </w:r>
      <w:r>
        <w:t xml:space="preserve"> </w:t>
      </w:r>
      <m:oMath>
        <m:sSub>
          <m:e>
            <m:r>
              <m:t>ψ</m:t>
            </m:r>
          </m:e>
          <m:sub>
            <m:r>
              <m:t>s</m:t>
            </m:r>
          </m:sub>
        </m:sSub>
      </m:oMath>
      <w:r>
        <w:t xml:space="preserve">, listeners can thus categorize formant inputs under any dialect-specific template. Similarly, researchers can use speaker-specific</w:t>
      </w:r>
      <w:r>
        <w:t xml:space="preserve"> </w:t>
      </w:r>
      <m:oMath>
        <m:sSub>
          <m:e>
            <m:r>
              <m:t>ψ</m:t>
            </m:r>
          </m:e>
          <m:sub>
            <m:r>
              <m:t>s</m:t>
            </m:r>
          </m:sub>
        </m:sSub>
      </m:oMath>
      <w:r>
        <w:t xml:space="preserve"> </w:t>
      </w:r>
      <w:r>
        <w:t xml:space="preserve">estimates to project formant data from various talkers into a common normalized space. This can be useful when comparing vowel productions across different types of speakers—for instance, to assess effects of social identity, language background, or to compare clinical and neurotypical populations. However, a speaker’s</w:t>
      </w:r>
      <w:r>
        <w:t xml:space="preserve"> </w:t>
      </w:r>
      <m:oMath>
        <m:sSub>
          <m:e>
            <m:r>
              <m:t>ψ</m:t>
            </m:r>
          </m:e>
          <m:sub>
            <m:r>
              <m:t>s</m:t>
            </m:r>
          </m:sub>
        </m:sSub>
      </m:oMath>
      <w:r>
        <w:t xml:space="preserve"> </w:t>
      </w:r>
      <w:r>
        <w:t xml:space="preserve">is a latent variable not directly present in their speech. As a result, both researchers and listeners must</w:t>
      </w:r>
      <w:r>
        <w:t xml:space="preserve"> </w:t>
      </w:r>
      <w:r>
        <w:rPr>
          <w:iCs/>
          <w:i/>
        </w:rPr>
        <w:t xml:space="preserve">estimate</w:t>
      </w:r>
      <w:r>
        <w:t xml:space="preserve"> </w:t>
      </w:r>
      <m:oMath>
        <m:sSub>
          <m:e>
            <m:r>
              <m:t>ψ</m:t>
            </m:r>
          </m:e>
          <m:sub>
            <m:r>
              <m:t>s</m:t>
            </m:r>
          </m:sub>
        </m:sSub>
      </m:oMath>
      <w:r>
        <w:t xml:space="preserve">.</w:t>
      </w:r>
    </w:p>
    <w:bookmarkEnd w:id="31"/>
    <w:bookmarkStart w:id="62" w:name="sec-methods"/>
    <w:p>
      <w:pPr>
        <w:pStyle w:val="Heading1"/>
      </w:pPr>
      <w:r>
        <w:t xml:space="preserve">4. Probabilistic estimation of</w:t>
      </w:r>
      <w:r>
        <w:t xml:space="preserve"> </w:t>
      </w:r>
      <m:oMath>
        <m:sSub>
          <m:e>
            <m:r>
              <m:t>ψ</m:t>
            </m:r>
          </m:e>
          <m:sub>
            <m:r>
              <m:t>s</m:t>
            </m:r>
          </m:sub>
        </m:sSub>
      </m:oMath>
    </w:p>
    <w:p>
      <w:pPr>
        <w:pStyle w:val="FirstParagraph"/>
      </w:pPr>
      <w:r>
        <w:t xml:space="preserve">For researchers who are only interested in projecting formant estimates</w:t>
      </w:r>
      <w:r>
        <w:t xml:space="preserve"> </w:t>
      </w:r>
      <m:oMath>
        <m:acc>
          <m:accPr>
            <m:chr m:val="⃗"/>
          </m:accPr>
          <m:e>
            <m:r>
              <m:t>F</m:t>
            </m:r>
          </m:e>
        </m:acc>
      </m:oMath>
      <w:r>
        <w:t xml:space="preserve"> </w:t>
      </w:r>
      <w:r>
        <w:t xml:space="preserve">from different talkers into a common normalized space, estimation of</w:t>
      </w:r>
      <w:r>
        <w:t xml:space="preserve"> </w:t>
      </w:r>
      <m:oMath>
        <m:sSub>
          <m:e>
            <m:r>
              <m:t>ψ</m:t>
            </m:r>
          </m:e>
          <m:sub>
            <m:r>
              <m:t>s</m:t>
            </m:r>
          </m:sub>
        </m:sSub>
      </m:oMath>
      <w:r>
        <w:t xml:space="preserve"> </w:t>
      </w:r>
      <w:r>
        <w:t xml:space="preserve">can be relatively straightforward. Provided access to a data set with sufficiently many formant estimates per speaker, and the same number of formant estimates per vowel for each speaker, researchers can obtain speaker-specific estimates</w:t>
      </w:r>
      <w:r>
        <w:t xml:space="preserve"> </w:t>
      </w:r>
      <m:oMath>
        <m:sSub>
          <m:e>
            <m:acc>
              <m:accPr>
                <m:chr m:val="̂"/>
              </m:accPr>
              <m:e>
                <m:r>
                  <m:t>ψ</m:t>
                </m:r>
              </m:e>
            </m:acc>
          </m:e>
          <m:sub>
            <m:r>
              <m:t>s</m:t>
            </m:r>
          </m:sub>
        </m:sSub>
      </m:oMath>
      <w:r>
        <w:t xml:space="preserve"> </w:t>
      </w:r>
      <w:r>
        <w:t xml:space="preserve">by simply averaging all log-transformed formant inputs</w:t>
      </w:r>
      <w:r>
        <w:t xml:space="preserve"> </w:t>
      </w:r>
      <m:oMath>
        <m:acc>
          <m:accPr>
            <m:chr m:val="⃗"/>
          </m:accPr>
          <m:e>
            <m:r>
              <m:t>G</m:t>
            </m:r>
          </m:e>
        </m:acc>
      </m:oMath>
      <w:r>
        <w:t xml:space="preserve"> </w:t>
      </w:r>
      <w:r>
        <w:t xml:space="preserve">(method 1 from Nearey and Assmann 2007)</w:t>
      </w:r>
      <w:r>
        <w:t xml:space="preserve">:</w:t>
      </w:r>
    </w:p>
    <w:p>
      <w:pPr>
        <w:pStyle w:val="BodyText"/>
      </w:pPr>
      <w:bookmarkStart w:id="32" w:name="eq-method-naive"/>
      <m:oMathPara>
        <m:oMathParaPr>
          <m:jc m:val="center"/>
        </m:oMathParaPr>
        <m:oMath>
          <m:sSub>
            <m:e>
              <m:acc>
                <m:accPr>
                  <m:chr m:val="̂"/>
                </m:accPr>
                <m:e>
                  <m:r>
                    <m:t>ψ</m:t>
                  </m:r>
                </m:e>
              </m:acc>
            </m:e>
            <m:sub>
              <m:r>
                <m:t>s</m:t>
              </m:r>
            </m:sub>
          </m:sSub>
          <m:box>
            <m:boxPr>
              <m:opEmu m:val="on"/>
            </m:boxPr>
            <m:e>
              <m:r>
                <m:rPr>
                  <m:sty m:val="p"/>
                </m:rPr>
                <m:t>:=</m:t>
              </m:r>
            </m:e>
          </m:box>
          <m:acc>
            <m:accPr>
              <m:chr m:val="‾"/>
            </m:accPr>
            <m:e>
              <m:r>
                <m:t>G</m:t>
              </m:r>
            </m:e>
          </m:acc>
          <m:r>
            <m:rPr>
              <m:sty m:val="p"/>
            </m:rPr>
            <m:t>=</m:t>
          </m:r>
          <m:f>
            <m:fPr>
              <m:type m:val="bar"/>
            </m:fPr>
            <m:num>
              <m:r>
                <m:t>1</m:t>
              </m:r>
            </m:num>
            <m:den>
              <m:d>
                <m:dPr>
                  <m:begChr m:val="("/>
                  <m:endChr m:val=")"/>
                  <m:sepChr m:val=""/>
                  <m:grow/>
                </m:dPr>
                <m:e>
                  <m:r>
                    <m:t>K</m:t>
                  </m:r>
                  <m:r>
                    <m:rPr>
                      <m:sty m:val="p"/>
                    </m:rPr>
                    <m:t>⋅</m:t>
                  </m:r>
                  <m:r>
                    <m:t>N</m:t>
                  </m:r>
                </m:e>
              </m:d>
            </m:den>
          </m:f>
          <m:nary>
            <m:naryPr>
              <m:chr m:val="∑"/>
              <m:limLoc m:val="undOvr"/>
              <m:subHide m:val="off"/>
              <m:supHide m:val="off"/>
            </m:naryPr>
            <m:sub>
              <m:r>
                <m:t>j</m:t>
              </m:r>
              <m:r>
                <m:rPr>
                  <m:sty m:val="p"/>
                </m:rPr>
                <m:t>=</m:t>
              </m:r>
              <m:r>
                <m:t>1</m:t>
              </m:r>
            </m:sub>
            <m:sup>
              <m:r>
                <m:t>N</m:t>
              </m:r>
            </m:sup>
            <m:e>
              <m:nary>
                <m:naryPr>
                  <m:chr m:val="∑"/>
                  <m:limLoc m:val="undOvr"/>
                  <m:subHide m:val="off"/>
                  <m:supHide m:val="off"/>
                </m:naryPr>
                <m:sub>
                  <m:r>
                    <m:t>k</m:t>
                  </m:r>
                  <m:r>
                    <m:rPr>
                      <m:sty m:val="p"/>
                    </m:rPr>
                    <m:t>=</m:t>
                  </m:r>
                  <m:r>
                    <m:t>1</m:t>
                  </m:r>
                </m:sub>
                <m:sup>
                  <m:r>
                    <m:t>K</m:t>
                  </m:r>
                </m:sup>
                <m:e>
                  <m:sSub>
                    <m:e>
                      <m:r>
                        <m:t>G</m:t>
                      </m:r>
                    </m:e>
                    <m:sub>
                      <m:r>
                        <m:t>j</m:t>
                      </m:r>
                      <m:r>
                        <m:rPr>
                          <m:sty m:val="p"/>
                        </m:rPr>
                        <m:t>,</m:t>
                      </m:r>
                      <m:r>
                        <m:t>k</m:t>
                      </m:r>
                      <m:r>
                        <m:rPr>
                          <m:sty m:val="p"/>
                        </m:rPr>
                        <m:t>,</m:t>
                      </m:r>
                      <m:r>
                        <m:t>s</m:t>
                      </m:r>
                    </m:sub>
                  </m:sSub>
                </m:e>
              </m:nary>
            </m:e>
          </m:nary>
          <m:r>
            <m:t>  </m:t>
          </m:r>
          <m:d>
            <m:dPr>
              <m:begChr m:val="("/>
              <m:endChr m:val=")"/>
              <m:sepChr m:val=""/>
              <m:grow/>
            </m:dPr>
            <m:e>
              <m:r>
                <m:t>6</m:t>
              </m:r>
            </m:e>
          </m:d>
        </m:oMath>
      </m:oMathPara>
      <w:bookmarkEnd w:id="32"/>
    </w:p>
    <w:p>
      <w:pPr>
        <w:pStyle w:val="FirstParagraph"/>
      </w:pPr>
      <w:r>
        <w:t xml:space="preserve">where</w:t>
      </w:r>
      <w:r>
        <w:t xml:space="preserve"> </w:t>
      </w:r>
      <m:oMath>
        <m:r>
          <m:t>N</m:t>
        </m:r>
      </m:oMath>
      <w:r>
        <w:t xml:space="preserve"> </w:t>
      </w:r>
      <w:r>
        <w:t xml:space="preserve">is the number of observations per talker,</w:t>
      </w:r>
      <w:r>
        <w:t xml:space="preserve"> </w:t>
      </w:r>
      <m:oMath>
        <m:r>
          <m:t>K</m:t>
        </m:r>
      </m:oMath>
      <w:r>
        <w:t xml:space="preserve"> </w:t>
      </w:r>
      <w:r>
        <w:t xml:space="preserve">is the number of formants per input (e.g. </w:t>
      </w:r>
      <m:oMath>
        <m:r>
          <m:t>K</m:t>
        </m:r>
        <m:r>
          <m:rPr>
            <m:sty m:val="p"/>
          </m:rPr>
          <m:t>=</m:t>
        </m:r>
        <m:r>
          <m:t>2</m:t>
        </m:r>
      </m:oMath>
      <w:r>
        <w:t xml:space="preserve"> </w:t>
      </w:r>
      <w:r>
        <w:t xml:space="preserve">if only F1 and F2 are considered), and</w:t>
      </w:r>
      <w:r>
        <w:t xml:space="preserve"> </w:t>
      </w:r>
      <m:oMath>
        <m:sSub>
          <m:e>
            <m:r>
              <m:t>G</m:t>
            </m:r>
          </m:e>
          <m:sub>
            <m:r>
              <m:t>j</m:t>
            </m:r>
            <m:r>
              <m:rPr>
                <m:sty m:val="p"/>
              </m:rPr>
              <m:t>,</m:t>
            </m:r>
            <m:r>
              <m:t>k</m:t>
            </m:r>
            <m:r>
              <m:rPr>
                <m:sty m:val="p"/>
              </m:rPr>
              <m:t>,</m:t>
            </m:r>
            <m:r>
              <m:t>s</m:t>
            </m:r>
          </m:sub>
        </m:sSub>
      </m:oMath>
      <w:r>
        <w:t xml:space="preserve"> </w:t>
      </w:r>
      <w:r>
        <w:t xml:space="preserve">is the</w:t>
      </w:r>
      <w:r>
        <w:t xml:space="preserve"> </w:t>
      </w:r>
      <m:oMath>
        <m:r>
          <m:t>k</m:t>
        </m:r>
      </m:oMath>
      <w:r>
        <w:t xml:space="preserve">th formant of the</w:t>
      </w:r>
      <w:r>
        <w:t xml:space="preserve"> </w:t>
      </w:r>
      <m:oMath>
        <m:r>
          <m:t>j</m:t>
        </m:r>
      </m:oMath>
      <w:r>
        <w:t xml:space="preserve"> </w:t>
      </w:r>
      <w:r>
        <w:t xml:space="preserve">vowel observation of speaker</w:t>
      </w:r>
      <w:r>
        <w:t xml:space="preserve"> </w:t>
      </w:r>
      <m:oMath>
        <m:r>
          <m:t>s</m:t>
        </m:r>
      </m:oMath>
      <w:r>
        <w:t xml:space="preserve">. Under this formulation, uniform scaling is a form of extrinsic normalization, relying on information that is collected across observations.</w:t>
      </w:r>
    </w:p>
    <w:p>
      <w:pPr>
        <w:pStyle w:val="BodyText"/>
      </w:pPr>
      <w:r>
        <w:t xml:space="preserve">This simple approach quickly becomes unfeasible even for researchers. First, estimates based on</w:t>
      </w:r>
      <w:r>
        <w:t xml:space="preserve"> </w:t>
      </w:r>
      <w:hyperlink w:anchor="eq-method-naive">
        <w:r>
          <w:rPr>
            <w:rStyle w:val="Hyperlink"/>
          </w:rPr>
          <w:t xml:space="preserve">Equation 6</w:t>
        </w:r>
      </w:hyperlink>
      <w:r>
        <w:t xml:space="preserve"> </w:t>
      </w:r>
      <w:r>
        <w:t xml:space="preserve">can be highly sensitive to formant measurement errors when the number of recordings per vowel is small. Second, even for large data sets, the approach in</w:t>
      </w:r>
      <w:r>
        <w:t xml:space="preserve"> </w:t>
      </w:r>
      <w:hyperlink w:anchor="eq-method-naive">
        <w:r>
          <w:rPr>
            <w:rStyle w:val="Hyperlink"/>
          </w:rPr>
          <w:t xml:space="preserve">Equation 6</w:t>
        </w:r>
      </w:hyperlink>
      <w:r>
        <w:t xml:space="preserve"> </w:t>
      </w:r>
      <w:r>
        <w:t xml:space="preserve">runs into substantial problems when comparing within or across data sets with different numbers of observations per vowel and talker</w:t>
      </w:r>
      <w:r>
        <w:t xml:space="preserve"> </w:t>
      </w:r>
      <w:r>
        <w:t xml:space="preserve">(for discussion, Barreda and Nearey 2018; Nearey and Assmann 2007; Xie, Jaeger, and Kurumada 2023, SI 2.1)</w:t>
      </w:r>
      <w:r>
        <w:t xml:space="preserve">. This problem arises for the same reasons that make formants relevant to vowel perception in the first place: the distribution of formants—and thus their mean—differs between vowels. This means that</w:t>
      </w:r>
      <w:r>
        <w:t xml:space="preserve"> </w:t>
      </w:r>
      <w:hyperlink w:anchor="eq-method-naive">
        <w:r>
          <w:rPr>
            <w:rStyle w:val="Hyperlink"/>
          </w:rPr>
          <w:t xml:space="preserve">Equation 6</w:t>
        </w:r>
      </w:hyperlink>
      <w:r>
        <w:t xml:space="preserve"> </w:t>
      </w:r>
      <w:r>
        <w:t xml:space="preserve">will yield systematically different estimates</w:t>
      </w:r>
      <w:r>
        <w:t xml:space="preserve"> </w:t>
      </w:r>
      <m:oMath>
        <m:sSub>
          <m:e>
            <m:acc>
              <m:accPr>
                <m:chr m:val="̂"/>
              </m:accPr>
              <m:e>
                <m:r>
                  <m:t>ψ</m:t>
                </m:r>
              </m:e>
            </m:acc>
          </m:e>
          <m:sub>
            <m:r>
              <m:t>s</m:t>
            </m:r>
          </m:sub>
        </m:sSub>
      </m:oMath>
      <w:r>
        <w:t xml:space="preserve">, even for the same speaker with the same underlying</w:t>
      </w:r>
      <w:r>
        <w:t xml:space="preserve"> </w:t>
      </w:r>
      <m:oMath>
        <m:sSub>
          <m:e>
            <m:r>
              <m:t>ψ</m:t>
            </m:r>
          </m:e>
          <m:sub>
            <m:r>
              <m:t>s</m:t>
            </m:r>
          </m:sub>
        </m:sSub>
      </m:oMath>
      <w:r>
        <w:t xml:space="preserve">, depending on the specific set of vowel instances over which</w:t>
      </w:r>
      <w:r>
        <w:t xml:space="preserve"> </w:t>
      </w:r>
      <m:oMath>
        <m:sSub>
          <m:e>
            <m:r>
              <m:t>ψ</m:t>
            </m:r>
          </m:e>
          <m:sub>
            <m:r>
              <m:t>s</m:t>
            </m:r>
          </m:sub>
        </m:sSub>
      </m:oMath>
      <w:r>
        <w:t xml:space="preserve"> </w:t>
      </w:r>
      <w:r>
        <w:t xml:space="preserve">is estimated.</w:t>
      </w:r>
    </w:p>
    <w:p>
      <w:pPr>
        <w:pStyle w:val="BodyText"/>
      </w:pPr>
      <w:r>
        <w:t xml:space="preserve">The same considerations make the approach in</w:t>
      </w:r>
      <w:r>
        <w:t xml:space="preserve"> </w:t>
      </w:r>
      <w:hyperlink w:anchor="eq-method-naive">
        <w:r>
          <w:rPr>
            <w:rStyle w:val="Hyperlink"/>
          </w:rPr>
          <w:t xml:space="preserve">Equation 6</w:t>
        </w:r>
      </w:hyperlink>
      <w:r>
        <w:t xml:space="preserve"> </w:t>
      </w:r>
      <w:r>
        <w:t xml:space="preserve">unsuitable for</w:t>
      </w:r>
      <w:r>
        <w:t xml:space="preserve"> </w:t>
      </w:r>
      <w:r>
        <w:rPr>
          <w:iCs/>
          <w:i/>
        </w:rPr>
        <w:t xml:space="preserve">listeners</w:t>
      </w:r>
      <w:r>
        <w:t xml:space="preserve">. And, unlike researchers, listeners who encounter an unfamiliar talker do not have the luxury of waiting until they have observed a large amount of formant inputs from that talker: if normalization via uniform scaling is to aid robust speech perception, listeners must quickly arrive at adequate estimates of</w:t>
      </w:r>
      <w:r>
        <w:t xml:space="preserve"> </w:t>
      </w:r>
      <m:oMath>
        <m:sSub>
          <m:e>
            <m:r>
              <m:t>ψ</m:t>
            </m:r>
          </m:e>
          <m:sub>
            <m:r>
              <m:t>s</m:t>
            </m:r>
          </m:sub>
        </m:sSub>
      </m:oMath>
      <w:r>
        <w:t xml:space="preserve">—ideally within the very first instance of a vowel that they heard from the unfamiliar talker. If listeners were using something like</w:t>
      </w:r>
      <w:r>
        <w:t xml:space="preserve"> </w:t>
      </w:r>
      <w:hyperlink w:anchor="eq-method-naive">
        <w:r>
          <w:rPr>
            <w:rStyle w:val="Hyperlink"/>
          </w:rPr>
          <w:t xml:space="preserve">Equation 6</w:t>
        </w:r>
      </w:hyperlink>
      <w:r>
        <w:t xml:space="preserve"> </w:t>
      </w:r>
      <w:r>
        <w:t xml:space="preserve">to estimate</w:t>
      </w:r>
      <w:r>
        <w:t xml:space="preserve"> </w:t>
      </w:r>
      <m:oMath>
        <m:sSub>
          <m:e>
            <m:r>
              <m:t>ψ</m:t>
            </m:r>
          </m:e>
          <m:sub>
            <m:r>
              <m:t>s</m:t>
            </m:r>
          </m:sub>
        </m:sSub>
      </m:oMath>
      <w:r>
        <w:t xml:space="preserve"> </w:t>
      </w:r>
      <w:r>
        <w:t xml:space="preserve">for individual vowel tokens, their estimates of</w:t>
      </w:r>
      <w:r>
        <w:t xml:space="preserve"> </w:t>
      </w:r>
      <m:oMath>
        <m:sSub>
          <m:e>
            <m:r>
              <m:t>ψ</m:t>
            </m:r>
          </m:e>
          <m:sub>
            <m:r>
              <m:t>s</m:t>
            </m:r>
          </m:sub>
        </m:sSub>
      </m:oMath>
      <w:r>
        <w:t xml:space="preserve"> </w:t>
      </w:r>
      <w:r>
        <w:t xml:space="preserve">would vary substantially from trial to trial—depending also on which vowels the talker has produced. This would result in both highly inaccurate speech perception and very large changes to inferred speaker characteristics that themselves depend on</w:t>
      </w:r>
      <w:r>
        <w:t xml:space="preserve"> </w:t>
      </w:r>
      <m:oMath>
        <m:sSub>
          <m:e>
            <m:r>
              <m:t>ψ</m:t>
            </m:r>
          </m:e>
          <m:sub>
            <m:r>
              <m:t>s</m:t>
            </m:r>
          </m:sub>
        </m:sSub>
      </m:oMath>
      <w:r>
        <w:t xml:space="preserve"> </w:t>
      </w:r>
      <w:r>
        <w:t xml:space="preserve">(e.g., size and gender). Neither of these outcomes are observed in the literature.</w:t>
      </w:r>
    </w:p>
    <w:p>
      <w:pPr>
        <w:pStyle w:val="BodyText"/>
      </w:pPr>
      <w:r>
        <w:t xml:space="preserve">Nearey and Assmann (2007)</w:t>
      </w:r>
      <w:r>
        <w:t xml:space="preserve"> </w:t>
      </w:r>
      <w:r>
        <w:t xml:space="preserve">addressed this issue by proposing several probabilistic approaches to</w:t>
      </w:r>
      <w:r>
        <w:t xml:space="preserve"> </w:t>
      </w:r>
      <m:oMath>
        <m:sSub>
          <m:e>
            <m:r>
              <m:t>ψ</m:t>
            </m:r>
          </m:e>
          <m:sub>
            <m:r>
              <m:t>s</m:t>
            </m:r>
          </m:sub>
        </m:sSub>
      </m:oMath>
      <w:r>
        <w:t xml:space="preserve"> </w:t>
      </w:r>
      <w:r>
        <w:t xml:space="preserve">estimation that do not rely on a balanced sample of the speakers entire vowel system. These models share two key methodological insights. First, they constrain estimates of</w:t>
      </w:r>
      <w:r>
        <w:t xml:space="preserve"> </w:t>
      </w:r>
      <m:oMath>
        <m:sSub>
          <m:e>
            <m:r>
              <m:t>ψ</m:t>
            </m:r>
          </m:e>
          <m:sub>
            <m:r>
              <m:t>s</m:t>
            </m:r>
          </m:sub>
        </m:sSub>
      </m:oMath>
      <w:r>
        <w:t xml:space="preserve"> </w:t>
      </w:r>
      <w:r>
        <w:t xml:space="preserve">given the listener’s assumed phonological knowledge (i.e. the template). Second, listeners are assumed to have prior expectations about the distribution of</w:t>
      </w:r>
      <w:r>
        <w:t xml:space="preserve"> </w:t>
      </w:r>
      <m:oMath>
        <m:sSub>
          <m:e>
            <m:r>
              <m:t>ψ</m:t>
            </m:r>
          </m:e>
          <m:sub>
            <m:r>
              <m:t>s</m:t>
            </m:r>
          </m:sub>
        </m:sSub>
      </m:oMath>
      <w:r>
        <w:t xml:space="preserve"> </w:t>
      </w:r>
      <w:r>
        <w:t xml:space="preserve">depending on the acoustic and indexical characteristics of the talker. Here, we focus on three of the methods proposed by Nearey and Assmann (methods 2, 3, and 6). These methods differ only in their assumptions about listeners’ prior expectations about</w:t>
      </w:r>
      <w:r>
        <w:t xml:space="preserve"> </w:t>
      </w:r>
      <m:oMath>
        <m:sSub>
          <m:e>
            <m:r>
              <m:t>ψ</m:t>
            </m:r>
          </m:e>
          <m:sub>
            <m:r>
              <m:t>s</m:t>
            </m:r>
          </m:sub>
        </m:sSub>
      </m:oMath>
      <w:r>
        <w:t xml:space="preserve">. Specifically, the three methods make increasingly stronger assumptions about the implicit knowledge that listeners have learned and stored about the distribution of</w:t>
      </w:r>
      <w:r>
        <w:t xml:space="preserve"> </w:t>
      </w:r>
      <m:oMath>
        <m:sSub>
          <m:e>
            <m:r>
              <m:t>ψ</m:t>
            </m:r>
          </m:e>
          <m:sub>
            <m:r>
              <m:t>s</m:t>
            </m:r>
          </m:sub>
        </m:sSub>
      </m:oMath>
      <w:r>
        <w:t xml:space="preserve">. By comparing how well these methods fit listeners’ behavior, one can therefore test hypotheses about the type of implicit knowledge listeners have. Before we turn to the differences between the three methods, we describe their shared characteristics.</w:t>
      </w:r>
    </w:p>
    <w:bookmarkStart w:id="38" w:name="sec-shared"/>
    <w:p>
      <w:pPr>
        <w:pStyle w:val="Heading2"/>
      </w:pPr>
      <w:r>
        <w:t xml:space="preserve">4.1 Estimating</w:t>
      </w:r>
      <w:r>
        <w:t xml:space="preserve"> </w:t>
      </w:r>
      <m:oMath>
        <m:sSub>
          <m:e>
            <m:r>
              <m:t>ψ</m:t>
            </m:r>
          </m:e>
          <m:sub>
            <m:r>
              <m:t>s</m:t>
            </m:r>
          </m:sub>
        </m:sSub>
      </m:oMath>
      <w:r>
        <w:t xml:space="preserve"> </w:t>
      </w:r>
      <w:r>
        <w:t xml:space="preserve">using prior expectations about vowel templates and</w:t>
      </w:r>
      <w:r>
        <w:t xml:space="preserve"> </w:t>
      </w:r>
      <m:oMath>
        <m:sSub>
          <m:e>
            <m:r>
              <m:t>ψ</m:t>
            </m:r>
          </m:e>
          <m:sub>
            <m:r>
              <m:t>s</m:t>
            </m:r>
          </m:sub>
        </m:sSub>
      </m:oMath>
    </w:p>
    <w:p>
      <w:pPr>
        <w:pStyle w:val="FirstParagraph"/>
      </w:pPr>
      <w:r>
        <w:t xml:space="preserve">Methods 2, 3, and 6 share that they estimate the</w:t>
      </w:r>
      <w:r>
        <w:t xml:space="preserve"> </w:t>
      </w:r>
      <w:r>
        <w:rPr>
          <w:iCs/>
          <w:i/>
        </w:rPr>
        <w:t xml:space="preserve">maximum a posteriori</w:t>
      </w:r>
      <w:r>
        <w:t xml:space="preserve"> </w:t>
      </w:r>
      <w:r>
        <w:t xml:space="preserve">(MAP) value of</w:t>
      </w:r>
      <w:r>
        <w:t xml:space="preserve"> </w:t>
      </w:r>
      <m:oMath>
        <m:sSub>
          <m:e>
            <m:r>
              <m:t>ψ</m:t>
            </m:r>
          </m:e>
          <m:sub>
            <m:r>
              <m:t>s</m:t>
            </m:r>
          </m:sub>
        </m:sSub>
      </m:oMath>
      <w:r>
        <w:t xml:space="preserve">.</w:t>
      </w:r>
      <w:r>
        <w:t xml:space="preserve"> </w:t>
      </w:r>
      <w:r>
        <w:t xml:space="preserve">Nearey and Assmann (2007)</w:t>
      </w:r>
      <w:r>
        <w:t xml:space="preserve"> </w:t>
      </w:r>
      <w:r>
        <w:t xml:space="preserve">did not provide the derivation of these MAP estimates but they are based on the posterior distribution of</w:t>
      </w:r>
      <w:r>
        <w:t xml:space="preserve"> </w:t>
      </w:r>
      <m:oMath>
        <m:sSub>
          <m:e>
            <m:r>
              <m:t>ψ</m:t>
            </m:r>
          </m:e>
          <m:sub>
            <m:r>
              <m:t>s</m:t>
            </m:r>
          </m:sub>
        </m:sSub>
      </m:oMath>
      <w:r>
        <w:t xml:space="preserve"> </w:t>
      </w:r>
      <w:r>
        <w:t xml:space="preserve">given the observed formant pattern, the vowel category, and the listener’s prior expectations about the distributions of</w:t>
      </w:r>
      <w:r>
        <w:t xml:space="preserve"> </w:t>
      </w:r>
      <m:oMath>
        <m:sSub>
          <m:e>
            <m:r>
              <m:t>ψ</m:t>
            </m:r>
          </m:e>
          <m:sub>
            <m:r>
              <m:t>s</m:t>
            </m:r>
          </m:sub>
        </m:sSub>
      </m:oMath>
      <w:r>
        <w:t xml:space="preserve"> </w:t>
      </w:r>
      <w:r>
        <w:t xml:space="preserve">and vowel categories:</w:t>
      </w:r>
    </w:p>
    <w:p>
      <w:pPr>
        <w:pStyle w:val="BodyText"/>
      </w:pPr>
      <w:bookmarkStart w:id="33" w:name="eq-posterior-psi"/>
      <m:oMathPara>
        <m:oMathParaPr>
          <m:jc m:val="center"/>
        </m:oMathParaPr>
        <m:oMath>
          <m:r>
            <m:t>P</m:t>
          </m:r>
          <m:d>
            <m:dPr>
              <m:begChr m:val="("/>
              <m:endChr m:val=")"/>
              <m:sepChr m:val=""/>
              <m:grow/>
            </m:dPr>
            <m:e>
              <m:sSub>
                <m:e>
                  <m:r>
                    <m:t>ψ</m:t>
                  </m:r>
                </m:e>
                <m:sub>
                  <m:r>
                    <m:t>s</m:t>
                  </m:r>
                </m:sub>
              </m:sSub>
              <m:r>
                <m:rPr>
                  <m:sty m:val="p"/>
                </m:rPr>
                <m:t>|</m:t>
              </m:r>
              <m:acc>
                <m:accPr>
                  <m:chr m:val="⃗"/>
                </m:accPr>
                <m:e>
                  <m:r>
                    <m:t>G</m:t>
                  </m:r>
                </m:e>
              </m:acc>
              <m:r>
                <m:rPr>
                  <m:sty m:val="p"/>
                </m:rPr>
                <m:t>,</m:t>
              </m:r>
              <m:sSub>
                <m:e>
                  <m:r>
                    <m:rPr>
                      <m:nor/>
                      <m:sty m:val="p"/>
                    </m:rPr>
                    <m:t>v</m:t>
                  </m:r>
                </m:e>
                <m:sub>
                  <m:r>
                    <m:t>j</m:t>
                  </m:r>
                </m:sub>
              </m:sSub>
            </m:e>
          </m:d>
          <m:r>
            <m:rPr>
              <m:sty m:val="p"/>
            </m:rPr>
            <m:t>=</m:t>
          </m:r>
          <m:f>
            <m:fPr>
              <m:type m:val="bar"/>
            </m:fPr>
            <m:num>
              <m:r>
                <m:t>P</m:t>
              </m:r>
              <m:d>
                <m:dPr>
                  <m:begChr m:val="("/>
                  <m:endChr m:val=")"/>
                  <m:sepChr m:val=""/>
                  <m:grow/>
                </m:dPr>
                <m:e>
                  <m:acc>
                    <m:accPr>
                      <m:chr m:val="⃗"/>
                    </m:accPr>
                    <m:e>
                      <m:r>
                        <m:t>G</m:t>
                      </m:r>
                    </m:e>
                  </m:acc>
                  <m:r>
                    <m:rPr>
                      <m:sty m:val="p"/>
                    </m:rPr>
                    <m:t>|</m:t>
                  </m:r>
                  <m:sSub>
                    <m:e>
                      <m:r>
                        <m:rPr>
                          <m:nor/>
                          <m:sty m:val="p"/>
                        </m:rPr>
                        <m:t>v</m:t>
                      </m:r>
                    </m:e>
                    <m:sub>
                      <m:r>
                        <m:t>j</m:t>
                      </m:r>
                    </m:sub>
                  </m:sSub>
                  <m:r>
                    <m:rPr>
                      <m:sty m:val="p"/>
                    </m:rPr>
                    <m:t>,</m:t>
                  </m:r>
                  <m:sSub>
                    <m:e>
                      <m:r>
                        <m:t>ψ</m:t>
                      </m:r>
                    </m:e>
                    <m:sub>
                      <m:r>
                        <m:t>s</m:t>
                      </m:r>
                    </m:sub>
                  </m:sSub>
                </m:e>
              </m:d>
              <m:r>
                <m:rPr>
                  <m:sty m:val="p"/>
                </m:rPr>
                <m:t>⋅</m:t>
              </m:r>
              <m:r>
                <m:t>P</m:t>
              </m:r>
              <m:d>
                <m:dPr>
                  <m:begChr m:val="("/>
                  <m:endChr m:val=")"/>
                  <m:sepChr m:val=""/>
                  <m:grow/>
                </m:dPr>
                <m:e>
                  <m:sSub>
                    <m:e>
                      <m:r>
                        <m:t>ψ</m:t>
                      </m:r>
                    </m:e>
                    <m:sub>
                      <m:r>
                        <m:t>s</m:t>
                      </m:r>
                    </m:sub>
                  </m:sSub>
                </m:e>
              </m:d>
              <m:r>
                <m:rPr>
                  <m:sty m:val="p"/>
                </m:rPr>
                <m:t>⋅</m:t>
              </m:r>
              <m:r>
                <m:t>P</m:t>
              </m:r>
              <m:sSub>
                <m:e>
                  <m:d>
                    <m:dPr>
                      <m:begChr m:val="("/>
                      <m:endChr m:val=")"/>
                      <m:sepChr m:val=""/>
                      <m:grow/>
                    </m:dPr>
                    <m:e>
                      <m:r>
                        <m:rPr>
                          <m:nor/>
                          <m:sty m:val="p"/>
                        </m:rPr>
                        <m:t>v</m:t>
                      </m:r>
                    </m:e>
                  </m:d>
                </m:e>
                <m:sub>
                  <m:r>
                    <m:t>j</m:t>
                  </m:r>
                </m:sub>
              </m:sSub>
            </m:num>
            <m:den>
              <m:nary>
                <m:naryPr>
                  <m:chr m:val="∑"/>
                  <m:limLoc m:val="undOvr"/>
                  <m:subHide m:val="off"/>
                  <m:supHide m:val="off"/>
                </m:naryPr>
                <m:sub>
                  <m:r>
                    <m:t>i</m:t>
                  </m:r>
                  <m:r>
                    <m:rPr>
                      <m:sty m:val="p"/>
                    </m:rPr>
                    <m:t>=</m:t>
                  </m:r>
                  <m:r>
                    <m:t>1</m:t>
                  </m:r>
                </m:sub>
                <m:sup>
                  <m:r>
                    <m:t>V</m:t>
                  </m:r>
                </m:sup>
                <m:e>
                  <m:r>
                    <m:t>P</m:t>
                  </m:r>
                </m:e>
              </m:nary>
              <m:d>
                <m:dPr>
                  <m:begChr m:val="("/>
                  <m:endChr m:val=")"/>
                  <m:sepChr m:val=""/>
                  <m:grow/>
                </m:dPr>
                <m:e>
                  <m:acc>
                    <m:accPr>
                      <m:chr m:val="⃗"/>
                    </m:accPr>
                    <m:e>
                      <m:r>
                        <m:t>G</m:t>
                      </m:r>
                    </m:e>
                  </m:acc>
                  <m:r>
                    <m:rPr>
                      <m:sty m:val="p"/>
                    </m:rPr>
                    <m:t>|</m:t>
                  </m:r>
                  <m:sSub>
                    <m:e>
                      <m:r>
                        <m:rPr>
                          <m:nor/>
                          <m:sty m:val="p"/>
                        </m:rPr>
                        <m:t>v</m:t>
                      </m:r>
                    </m:e>
                    <m:sub>
                      <m:r>
                        <m:t>i</m:t>
                      </m:r>
                    </m:sub>
                  </m:sSub>
                  <m:r>
                    <m:rPr>
                      <m:sty m:val="p"/>
                    </m:rPr>
                    <m:t>,</m:t>
                  </m:r>
                  <m:sSub>
                    <m:e>
                      <m:r>
                        <m:t>ψ</m:t>
                      </m:r>
                    </m:e>
                    <m:sub>
                      <m:r>
                        <m:t>s</m:t>
                      </m:r>
                    </m:sub>
                  </m:sSub>
                </m:e>
              </m:d>
              <m:r>
                <m:rPr>
                  <m:sty m:val="p"/>
                </m:rPr>
                <m:t>⋅</m:t>
              </m:r>
              <m:r>
                <m:t>P</m:t>
              </m:r>
              <m:d>
                <m:dPr>
                  <m:begChr m:val="("/>
                  <m:endChr m:val=")"/>
                  <m:sepChr m:val=""/>
                  <m:grow/>
                </m:dPr>
                <m:e>
                  <m:sSub>
                    <m:e>
                      <m:r>
                        <m:t>ψ</m:t>
                      </m:r>
                    </m:e>
                    <m:sub>
                      <m:r>
                        <m:t>s</m:t>
                      </m:r>
                    </m:sub>
                  </m:sSub>
                </m:e>
              </m:d>
              <m:r>
                <m:rPr>
                  <m:sty m:val="p"/>
                </m:rPr>
                <m:t>⋅</m:t>
              </m:r>
              <m:r>
                <m:t>P</m:t>
              </m:r>
              <m:d>
                <m:dPr>
                  <m:begChr m:val="("/>
                  <m:endChr m:val=")"/>
                  <m:sepChr m:val=""/>
                  <m:grow/>
                </m:dPr>
                <m:e>
                  <m:sSub>
                    <m:e>
                      <m:r>
                        <m:rPr>
                          <m:nor/>
                          <m:sty m:val="p"/>
                        </m:rPr>
                        <m:t>v</m:t>
                      </m:r>
                    </m:e>
                    <m:sub>
                      <m:r>
                        <m:t>i</m:t>
                      </m:r>
                    </m:sub>
                  </m:sSub>
                </m:e>
              </m:d>
            </m:den>
          </m:f>
          <m:r>
            <m:t>  </m:t>
          </m:r>
          <m:d>
            <m:dPr>
              <m:begChr m:val="("/>
              <m:endChr m:val=")"/>
              <m:sepChr m:val=""/>
              <m:grow/>
            </m:dPr>
            <m:e>
              <m:r>
                <m:t>7</m:t>
              </m:r>
            </m:e>
          </m:d>
        </m:oMath>
      </m:oMathPara>
      <w:bookmarkEnd w:id="33"/>
    </w:p>
    <w:p>
      <w:pPr>
        <w:pStyle w:val="FirstParagraph"/>
      </w:pPr>
      <w:r>
        <w:t xml:space="preserve">As per</w:t>
      </w:r>
      <w:r>
        <w:t xml:space="preserve"> </w:t>
      </w:r>
      <w:hyperlink w:anchor="eq-posterior-G">
        <w:r>
          <w:rPr>
            <w:rStyle w:val="Hyperlink"/>
          </w:rPr>
          <w:t xml:space="preserve">Equation 4</w:t>
        </w:r>
      </w:hyperlink>
      <w:r>
        <w:t xml:space="preserve">, the likelihood</w:t>
      </w:r>
      <w:r>
        <w:t xml:space="preserve"> </w:t>
      </w:r>
      <m:oMath>
        <m:r>
          <m:t>P</m:t>
        </m:r>
        <m:d>
          <m:dPr>
            <m:begChr m:val="("/>
            <m:endChr m:val=")"/>
            <m:sepChr m:val=""/>
            <m:grow/>
          </m:dPr>
          <m:e>
            <m:acc>
              <m:accPr>
                <m:chr m:val="⃗"/>
              </m:accPr>
              <m:e>
                <m:r>
                  <m:t>G</m:t>
                </m:r>
              </m:e>
            </m:acc>
            <m:r>
              <m:rPr>
                <m:sty m:val="p"/>
              </m:rPr>
              <m:t>|</m:t>
            </m:r>
            <m:r>
              <m:rPr>
                <m:nor/>
                <m:sty m:val="p"/>
              </m:rPr>
              <m:t>v</m:t>
            </m:r>
            <m:r>
              <m:rPr>
                <m:sty m:val="p"/>
              </m:rPr>
              <m:t>,</m:t>
            </m:r>
            <m:sSub>
              <m:e>
                <m:r>
                  <m:t>ψ</m:t>
                </m:r>
              </m:e>
              <m:sub>
                <m:r>
                  <m:t>s</m:t>
                </m:r>
              </m:sub>
            </m:sSub>
          </m:e>
        </m:d>
      </m:oMath>
      <w:r>
        <w:t xml:space="preserve"> </w:t>
      </w:r>
      <w:r>
        <w:t xml:space="preserve">given the vowel category and</w:t>
      </w:r>
      <w:r>
        <w:t xml:space="preserve"> </w:t>
      </w:r>
      <m:oMath>
        <m:sSub>
          <m:e>
            <m:r>
              <m:t>ψ</m:t>
            </m:r>
          </m:e>
          <m:sub>
            <m:r>
              <m:t>s</m:t>
            </m:r>
          </m:sub>
        </m:sSub>
      </m:oMath>
      <w:r>
        <w:t xml:space="preserve"> </w:t>
      </w:r>
      <w:r>
        <w:t xml:space="preserve">is assumed to be a multivariate normal distribution. Researchers can estimate the mean</w:t>
      </w:r>
      <w:r>
        <w:t xml:space="preserve"> </w:t>
      </w:r>
      <m:oMath>
        <m:sSub>
          <m:e>
            <m:acc>
              <m:accPr>
                <m:chr m:val="⃗"/>
              </m:accPr>
              <m:e>
                <m:r>
                  <m:t>μ</m:t>
                </m:r>
              </m:e>
            </m:acc>
          </m:e>
          <m:sub>
            <m:r>
              <m:t>v</m:t>
            </m:r>
          </m:sub>
        </m:sSub>
      </m:oMath>
      <w:r>
        <w:t xml:space="preserve"> </w:t>
      </w:r>
      <w:r>
        <w:t xml:space="preserve">and covariance matrix</w:t>
      </w:r>
      <w:r>
        <w:t xml:space="preserve"> </w:t>
      </w:r>
      <m:oMath>
        <m:sSub>
          <m:e>
            <m:acc>
              <m:accPr>
                <m:chr m:val="⃗"/>
              </m:accPr>
              <m:e>
                <m:r>
                  <m:t>Σ</m:t>
                </m:r>
              </m:e>
            </m:acc>
          </m:e>
          <m:sub>
            <m:r>
              <m:t>v</m:t>
            </m:r>
          </m:sub>
        </m:sSub>
      </m:oMath>
      <w:r>
        <w:t xml:space="preserve"> </w:t>
      </w:r>
      <w:r>
        <w:t xml:space="preserve">for each vowel category based on any reasonably-sized database of vowel formants from the dialect(s) that the listener is assumed to have learned their template(s) from.</w:t>
      </w:r>
      <w:r>
        <w:rPr>
          <w:rStyle w:val="FootnoteReference"/>
        </w:rPr>
        <w:footnoteReference w:id="34"/>
      </w:r>
      <w:r>
        <w:t xml:space="preserve"> </w:t>
      </w:r>
      <w:r>
        <w:t xml:space="preserve">Similarly,</w:t>
      </w:r>
      <w:r>
        <w:t xml:space="preserve"> </w:t>
      </w:r>
      <m:oMath>
        <m:r>
          <m:t>P</m:t>
        </m:r>
        <m:d>
          <m:dPr>
            <m:begChr m:val="("/>
            <m:endChr m:val=")"/>
            <m:sepChr m:val=""/>
            <m:grow/>
          </m:dPr>
          <m:e>
            <m:r>
              <m:rPr>
                <m:nor/>
                <m:sty m:val="p"/>
              </m:rPr>
              <m:t>v</m:t>
            </m:r>
          </m:e>
        </m:d>
      </m:oMath>
      <w:r>
        <w:t xml:space="preserve">, can be calculated from relevant speech corpora or, for many experimental contexts, assumed to be equal across all categories and ignored in the calculation.</w:t>
      </w:r>
    </w:p>
    <w:p>
      <w:pPr>
        <w:pStyle w:val="BodyText"/>
      </w:pPr>
      <w:r>
        <w:t xml:space="preserve">The posterior distribution in</w:t>
      </w:r>
      <w:r>
        <w:t xml:space="preserve"> </w:t>
      </w:r>
      <w:hyperlink w:anchor="eq-posterior-psi">
        <w:r>
          <w:rPr>
            <w:rStyle w:val="Hyperlink"/>
          </w:rPr>
          <w:t xml:space="preserve">Equation 7</w:t>
        </w:r>
      </w:hyperlink>
      <w:r>
        <w:t xml:space="preserve"> </w:t>
      </w:r>
      <w:r>
        <w:t xml:space="preserve">can be used to obtain separate MAP estimates of</w:t>
      </w:r>
      <w:r>
        <w:t xml:space="preserve"> </w:t>
      </w:r>
      <m:oMath>
        <m:sSub>
          <m:e>
            <m:r>
              <m:t>ψ</m:t>
            </m:r>
          </m:e>
          <m:sub>
            <m:r>
              <m:t>s</m:t>
            </m:r>
          </m:sub>
        </m:sSub>
      </m:oMath>
      <w:r>
        <w:t xml:space="preserve"> </w:t>
      </w:r>
      <w:r>
        <w:t xml:space="preserve">for each vowel category,</w:t>
      </w:r>
      <w:r>
        <w:t xml:space="preserve"> </w:t>
      </w:r>
      <m:oMath>
        <m:sSub>
          <m:e>
            <m:acc>
              <m:accPr>
                <m:chr m:val="̂"/>
              </m:accPr>
              <m:e>
                <m:r>
                  <m:t>ψ</m:t>
                </m:r>
              </m:e>
            </m:acc>
          </m:e>
          <m:sub>
            <m:r>
              <m:t>s</m:t>
            </m:r>
            <m:r>
              <m:rPr>
                <m:sty m:val="p"/>
              </m:rPr>
              <m:t>,</m:t>
            </m:r>
            <m:r>
              <m:rPr>
                <m:nor/>
                <m:sty m:val="p"/>
              </m:rPr>
              <m:t>v</m:t>
            </m:r>
          </m:sub>
        </m:sSub>
      </m:oMath>
      <w:r>
        <w:t xml:space="preserve">. A vowel system with</w:t>
      </w:r>
      <w:r>
        <w:t xml:space="preserve"> </w:t>
      </w:r>
      <m:oMath>
        <m:r>
          <m:t>V</m:t>
        </m:r>
      </m:oMath>
      <w:r>
        <w:t xml:space="preserve"> </w:t>
      </w:r>
      <w:r>
        <w:t xml:space="preserve">vowels would result in</w:t>
      </w:r>
      <w:r>
        <w:t xml:space="preserve"> </w:t>
      </w:r>
      <m:oMath>
        <m:r>
          <m:t>V</m:t>
        </m:r>
      </m:oMath>
      <w:r>
        <w:t xml:space="preserve"> </w:t>
      </w:r>
      <w:r>
        <w:t xml:space="preserve">MAP estimates</w:t>
      </w:r>
      <w:r>
        <w:t xml:space="preserve"> </w:t>
      </w:r>
      <m:oMath>
        <m:sSub>
          <m:e>
            <m:acc>
              <m:accPr>
                <m:chr m:val="̂"/>
              </m:accPr>
              <m:e>
                <m:r>
                  <m:t>ψ</m:t>
                </m:r>
              </m:e>
            </m:acc>
          </m:e>
          <m:sub>
            <m:r>
              <m:t>s</m:t>
            </m:r>
            <m:r>
              <m:rPr>
                <m:sty m:val="p"/>
              </m:rPr>
              <m:t>,</m:t>
            </m:r>
            <m:r>
              <m:rPr>
                <m:nor/>
                <m:sty m:val="p"/>
              </m:rPr>
              <m:t>v</m:t>
            </m:r>
          </m:sub>
        </m:sSub>
      </m:oMath>
      <w:r>
        <w:t xml:space="preserve">:</w:t>
      </w:r>
    </w:p>
    <w:p>
      <w:pPr>
        <w:pStyle w:val="BodyText"/>
      </w:pPr>
      <w:bookmarkStart w:id="35" w:name="eq-MAP-vowel-specific"/>
      <m:oMathPara>
        <m:oMathParaPr>
          <m:jc m:val="center"/>
        </m:oMathParaPr>
        <m:oMath>
          <m:m>
            <m:mPr>
              <m:baseJc m:val="center"/>
              <m:plcHide m:val="on"/>
              <m:mcs>
                <m:mc>
                  <m:mcPr>
                    <m:mcJc m:val="right"/>
                    <m:count m:val="1"/>
                  </m:mcPr>
                </m:mc>
              </m:mcs>
            </m:mPr>
            <m:mr>
              <m:e>
                <m:sSub>
                  <m:e>
                    <m:acc>
                      <m:accPr>
                        <m:chr m:val="̂"/>
                      </m:accPr>
                      <m:e>
                        <m:r>
                          <m:t>ψ</m:t>
                        </m:r>
                      </m:e>
                    </m:acc>
                  </m:e>
                  <m:sub>
                    <m:r>
                      <m:t>s</m:t>
                    </m:r>
                    <m:r>
                      <m:rPr>
                        <m:sty m:val="p"/>
                      </m:rPr>
                      <m:t>,</m:t>
                    </m:r>
                    <m:r>
                      <m:rPr>
                        <m:nor/>
                        <m:sty m:val="p"/>
                      </m:rPr>
                      <m:t>v=1</m:t>
                    </m:r>
                  </m:sub>
                </m:sSub>
                <m:box>
                  <m:boxPr>
                    <m:opEmu m:val="on"/>
                  </m:boxPr>
                  <m:e>
                    <m:r>
                      <m:rPr>
                        <m:sty m:val="p"/>
                      </m:rPr>
                      <m:t>:=</m:t>
                    </m:r>
                  </m:e>
                </m:box>
                <m:limLow>
                  <m:e>
                    <m:r>
                      <m:rPr>
                        <m:sty m:val="p"/>
                      </m:rPr>
                      <m:t>arg</m:t>
                    </m:r>
                    <m:r>
                      <m:rPr>
                        <m:sty m:val="p"/>
                      </m:rPr>
                      <m:t>max</m:t>
                    </m:r>
                  </m:e>
                  <m:lim>
                    <m:sSub>
                      <m:e>
                        <m:r>
                          <m:t>ψ</m:t>
                        </m:r>
                      </m:e>
                      <m:sub>
                        <m:r>
                          <m:t>s</m:t>
                        </m:r>
                      </m:sub>
                    </m:sSub>
                  </m:lim>
                </m:limLow>
                <m:d>
                  <m:dPr>
                    <m:begChr m:val="["/>
                    <m:endChr m:val="]"/>
                    <m:sepChr m:val=""/>
                    <m:grow/>
                  </m:dPr>
                  <m:e>
                    <m:r>
                      <m:t>P</m:t>
                    </m:r>
                    <m:d>
                      <m:dPr>
                        <m:begChr m:val="("/>
                        <m:endChr m:val=")"/>
                        <m:sepChr m:val=""/>
                        <m:grow/>
                      </m:dPr>
                      <m:e>
                        <m:acc>
                          <m:accPr>
                            <m:chr m:val="⃗"/>
                          </m:accPr>
                          <m:e>
                            <m:r>
                              <m:t>G</m:t>
                            </m:r>
                          </m:e>
                        </m:acc>
                        <m:r>
                          <m:rPr>
                            <m:sty m:val="p"/>
                          </m:rPr>
                          <m:t>|</m:t>
                        </m:r>
                        <m:r>
                          <m:rPr>
                            <m:nor/>
                            <m:sty m:val="p"/>
                          </m:rPr>
                          <m:t>v=1</m:t>
                        </m:r>
                        <m:r>
                          <m:rPr>
                            <m:sty m:val="p"/>
                          </m:rPr>
                          <m:t>,</m:t>
                        </m:r>
                        <m:sSub>
                          <m:e>
                            <m:r>
                              <m:t>ψ</m:t>
                            </m:r>
                          </m:e>
                          <m:sub>
                            <m:r>
                              <m:t>s</m:t>
                            </m:r>
                          </m:sub>
                        </m:sSub>
                      </m:e>
                    </m:d>
                    <m:r>
                      <m:rPr>
                        <m:sty m:val="p"/>
                      </m:rPr>
                      <m:t>⋅</m:t>
                    </m:r>
                    <m:r>
                      <m:t>P</m:t>
                    </m:r>
                    <m:d>
                      <m:dPr>
                        <m:begChr m:val="("/>
                        <m:endChr m:val=")"/>
                        <m:sepChr m:val=""/>
                        <m:grow/>
                      </m:dPr>
                      <m:e>
                        <m:sSub>
                          <m:e>
                            <m:r>
                              <m:t>ψ</m:t>
                            </m:r>
                          </m:e>
                          <m:sub>
                            <m:r>
                              <m:t>s</m:t>
                            </m:r>
                          </m:sub>
                        </m:sSub>
                      </m:e>
                    </m:d>
                    <m:r>
                      <m:rPr>
                        <m:sty m:val="p"/>
                      </m:rPr>
                      <m:t>⋅</m:t>
                    </m:r>
                    <m:r>
                      <m:t>P</m:t>
                    </m:r>
                    <m:d>
                      <m:dPr>
                        <m:begChr m:val="("/>
                        <m:endChr m:val=")"/>
                        <m:sepChr m:val=""/>
                        <m:grow/>
                      </m:dPr>
                      <m:e>
                        <m:r>
                          <m:rPr>
                            <m:nor/>
                            <m:sty m:val="p"/>
                          </m:rPr>
                          <m:t>v</m:t>
                        </m:r>
                        <m:r>
                          <m:rPr>
                            <m:sty m:val="p"/>
                          </m:rPr>
                          <m:t>=</m:t>
                        </m:r>
                        <m:r>
                          <m:t>1</m:t>
                        </m:r>
                      </m:e>
                    </m:d>
                  </m:e>
                </m:d>
              </m:e>
            </m:mr>
            <m:mr>
              <m:e>
                <m:sSub>
                  <m:e>
                    <m:acc>
                      <m:accPr>
                        <m:chr m:val="̂"/>
                      </m:accPr>
                      <m:e>
                        <m:r>
                          <m:t>ψ</m:t>
                        </m:r>
                      </m:e>
                    </m:acc>
                  </m:e>
                  <m:sub>
                    <m:r>
                      <m:t>s</m:t>
                    </m:r>
                    <m:r>
                      <m:rPr>
                        <m:sty m:val="p"/>
                      </m:rPr>
                      <m:t>,</m:t>
                    </m:r>
                    <m:r>
                      <m:rPr>
                        <m:nor/>
                        <m:sty m:val="p"/>
                      </m:rPr>
                      <m:t>v=2</m:t>
                    </m:r>
                  </m:sub>
                </m:sSub>
                <m:box>
                  <m:boxPr>
                    <m:opEmu m:val="on"/>
                  </m:boxPr>
                  <m:e>
                    <m:r>
                      <m:rPr>
                        <m:sty m:val="p"/>
                      </m:rPr>
                      <m:t>:=</m:t>
                    </m:r>
                  </m:e>
                </m:box>
                <m:limLow>
                  <m:e>
                    <m:r>
                      <m:rPr>
                        <m:sty m:val="p"/>
                      </m:rPr>
                      <m:t>arg</m:t>
                    </m:r>
                    <m:r>
                      <m:rPr>
                        <m:sty m:val="p"/>
                      </m:rPr>
                      <m:t>max</m:t>
                    </m:r>
                  </m:e>
                  <m:lim>
                    <m:sSub>
                      <m:e>
                        <m:r>
                          <m:t>ψ</m:t>
                        </m:r>
                      </m:e>
                      <m:sub>
                        <m:r>
                          <m:t>s</m:t>
                        </m:r>
                      </m:sub>
                    </m:sSub>
                  </m:lim>
                </m:limLow>
                <m:d>
                  <m:dPr>
                    <m:begChr m:val="["/>
                    <m:endChr m:val="]"/>
                    <m:sepChr m:val=""/>
                    <m:grow/>
                  </m:dPr>
                  <m:e>
                    <m:r>
                      <m:t>P</m:t>
                    </m:r>
                    <m:d>
                      <m:dPr>
                        <m:begChr m:val="("/>
                        <m:endChr m:val=")"/>
                        <m:sepChr m:val=""/>
                        <m:grow/>
                      </m:dPr>
                      <m:e>
                        <m:acc>
                          <m:accPr>
                            <m:chr m:val="⃗"/>
                          </m:accPr>
                          <m:e>
                            <m:r>
                              <m:t>G</m:t>
                            </m:r>
                          </m:e>
                        </m:acc>
                        <m:r>
                          <m:rPr>
                            <m:sty m:val="p"/>
                          </m:rPr>
                          <m:t>|</m:t>
                        </m:r>
                        <m:r>
                          <m:rPr>
                            <m:nor/>
                            <m:sty m:val="p"/>
                          </m:rPr>
                          <m:t>v=2</m:t>
                        </m:r>
                        <m:r>
                          <m:rPr>
                            <m:sty m:val="p"/>
                          </m:rPr>
                          <m:t>,</m:t>
                        </m:r>
                        <m:sSub>
                          <m:e>
                            <m:r>
                              <m:t>ψ</m:t>
                            </m:r>
                          </m:e>
                          <m:sub>
                            <m:r>
                              <m:t>s</m:t>
                            </m:r>
                          </m:sub>
                        </m:sSub>
                      </m:e>
                    </m:d>
                    <m:r>
                      <m:rPr>
                        <m:sty m:val="p"/>
                      </m:rPr>
                      <m:t>⋅</m:t>
                    </m:r>
                    <m:r>
                      <m:t>P</m:t>
                    </m:r>
                    <m:d>
                      <m:dPr>
                        <m:begChr m:val="("/>
                        <m:endChr m:val=")"/>
                        <m:sepChr m:val=""/>
                        <m:grow/>
                      </m:dPr>
                      <m:e>
                        <m:sSub>
                          <m:e>
                            <m:r>
                              <m:t>ψ</m:t>
                            </m:r>
                          </m:e>
                          <m:sub>
                            <m:r>
                              <m:t>s</m:t>
                            </m:r>
                          </m:sub>
                        </m:sSub>
                      </m:e>
                    </m:d>
                    <m:r>
                      <m:rPr>
                        <m:sty m:val="p"/>
                      </m:rPr>
                      <m:t>⋅</m:t>
                    </m:r>
                    <m:r>
                      <m:t>P</m:t>
                    </m:r>
                    <m:d>
                      <m:dPr>
                        <m:begChr m:val="("/>
                        <m:endChr m:val=")"/>
                        <m:sepChr m:val=""/>
                        <m:grow/>
                      </m:dPr>
                      <m:e>
                        <m:r>
                          <m:rPr>
                            <m:nor/>
                            <m:sty m:val="p"/>
                          </m:rPr>
                          <m:t>v</m:t>
                        </m:r>
                        <m:r>
                          <m:rPr>
                            <m:sty m:val="p"/>
                          </m:rPr>
                          <m:t>=</m:t>
                        </m:r>
                        <m:r>
                          <m:t>2</m:t>
                        </m:r>
                      </m:e>
                    </m:d>
                  </m:e>
                </m:d>
              </m:e>
            </m:mr>
            <m:mr>
              <m:e>
                <m:r>
                  <m:rPr>
                    <m:sty m:val="p"/>
                  </m:rPr>
                  <m:t>⋮</m:t>
                </m:r>
              </m:e>
            </m:mr>
            <m:mr>
              <m:e>
                <m:sSub>
                  <m:e>
                    <m:acc>
                      <m:accPr>
                        <m:chr m:val="̂"/>
                      </m:accPr>
                      <m:e>
                        <m:r>
                          <m:t>ψ</m:t>
                        </m:r>
                      </m:e>
                    </m:acc>
                  </m:e>
                  <m:sub>
                    <m:r>
                      <m:t>s</m:t>
                    </m:r>
                    <m:r>
                      <m:rPr>
                        <m:sty m:val="p"/>
                      </m:rPr>
                      <m:t>,</m:t>
                    </m:r>
                    <m:r>
                      <m:rPr>
                        <m:nor/>
                        <m:sty m:val="p"/>
                      </m:rPr>
                      <m:t>v=V</m:t>
                    </m:r>
                  </m:sub>
                </m:sSub>
                <m:box>
                  <m:boxPr>
                    <m:opEmu m:val="on"/>
                  </m:boxPr>
                  <m:e>
                    <m:r>
                      <m:rPr>
                        <m:sty m:val="p"/>
                      </m:rPr>
                      <m:t>:=</m:t>
                    </m:r>
                  </m:e>
                </m:box>
                <m:limLow>
                  <m:e>
                    <m:r>
                      <m:rPr>
                        <m:sty m:val="p"/>
                      </m:rPr>
                      <m:t>arg</m:t>
                    </m:r>
                    <m:r>
                      <m:rPr>
                        <m:sty m:val="p"/>
                      </m:rPr>
                      <m:t>max</m:t>
                    </m:r>
                  </m:e>
                  <m:lim>
                    <m:sSub>
                      <m:e>
                        <m:r>
                          <m:t>ψ</m:t>
                        </m:r>
                      </m:e>
                      <m:sub>
                        <m:r>
                          <m:t>s</m:t>
                        </m:r>
                      </m:sub>
                    </m:sSub>
                  </m:lim>
                </m:limLow>
                <m:d>
                  <m:dPr>
                    <m:begChr m:val="["/>
                    <m:endChr m:val="]"/>
                    <m:sepChr m:val=""/>
                    <m:grow/>
                  </m:dPr>
                  <m:e>
                    <m:r>
                      <m:t>P</m:t>
                    </m:r>
                    <m:d>
                      <m:dPr>
                        <m:begChr m:val="("/>
                        <m:endChr m:val=")"/>
                        <m:sepChr m:val=""/>
                        <m:grow/>
                      </m:dPr>
                      <m:e>
                        <m:acc>
                          <m:accPr>
                            <m:chr m:val="⃗"/>
                          </m:accPr>
                          <m:e>
                            <m:r>
                              <m:t>G</m:t>
                            </m:r>
                          </m:e>
                        </m:acc>
                        <m:r>
                          <m:rPr>
                            <m:sty m:val="p"/>
                          </m:rPr>
                          <m:t>|</m:t>
                        </m:r>
                        <m:r>
                          <m:rPr>
                            <m:nor/>
                            <m:sty m:val="p"/>
                          </m:rPr>
                          <m:t>v=V</m:t>
                        </m:r>
                        <m:r>
                          <m:rPr>
                            <m:sty m:val="p"/>
                          </m:rPr>
                          <m:t>,</m:t>
                        </m:r>
                        <m:sSub>
                          <m:e>
                            <m:r>
                              <m:t>ψ</m:t>
                            </m:r>
                          </m:e>
                          <m:sub>
                            <m:r>
                              <m:t>s</m:t>
                            </m:r>
                          </m:sub>
                        </m:sSub>
                      </m:e>
                    </m:d>
                    <m:r>
                      <m:rPr>
                        <m:sty m:val="p"/>
                      </m:rPr>
                      <m:t>⋅</m:t>
                    </m:r>
                    <m:r>
                      <m:t>P</m:t>
                    </m:r>
                    <m:d>
                      <m:dPr>
                        <m:begChr m:val="("/>
                        <m:endChr m:val=")"/>
                        <m:sepChr m:val=""/>
                        <m:grow/>
                      </m:dPr>
                      <m:e>
                        <m:sSub>
                          <m:e>
                            <m:r>
                              <m:t>ψ</m:t>
                            </m:r>
                          </m:e>
                          <m:sub>
                            <m:r>
                              <m:t>s</m:t>
                            </m:r>
                          </m:sub>
                        </m:sSub>
                      </m:e>
                    </m:d>
                    <m:r>
                      <m:rPr>
                        <m:sty m:val="p"/>
                      </m:rPr>
                      <m:t>⋅</m:t>
                    </m:r>
                    <m:r>
                      <m:t>P</m:t>
                    </m:r>
                    <m:d>
                      <m:dPr>
                        <m:begChr m:val="("/>
                        <m:endChr m:val=")"/>
                        <m:sepChr m:val=""/>
                        <m:grow/>
                      </m:dPr>
                      <m:e>
                        <m:r>
                          <m:rPr>
                            <m:nor/>
                            <m:sty m:val="p"/>
                          </m:rPr>
                          <m:t>v</m:t>
                        </m:r>
                        <m:r>
                          <m:rPr>
                            <m:sty m:val="p"/>
                          </m:rPr>
                          <m:t>=</m:t>
                        </m:r>
                        <m:r>
                          <m:t>V</m:t>
                        </m:r>
                      </m:e>
                    </m:d>
                  </m:e>
                </m:d>
              </m:e>
            </m:mr>
          </m:m>
          <m:r>
            <m:t>  </m:t>
          </m:r>
          <m:d>
            <m:dPr>
              <m:begChr m:val="("/>
              <m:endChr m:val=")"/>
              <m:sepChr m:val=""/>
              <m:grow/>
            </m:dPr>
            <m:e>
              <m:r>
                <m:t>8</m:t>
              </m:r>
            </m:e>
          </m:d>
        </m:oMath>
      </m:oMathPara>
      <w:bookmarkEnd w:id="35"/>
    </w:p>
    <w:p>
      <w:pPr>
        <w:pStyle w:val="FirstParagraph"/>
      </w:pPr>
      <w:r>
        <w:t xml:space="preserve">Nearey and Assmann (2007)</w:t>
      </w:r>
      <w:r>
        <w:t xml:space="preserve"> </w:t>
      </w:r>
      <w:r>
        <w:t xml:space="preserve">use the best</w:t>
      </w:r>
      <w:r>
        <w:t xml:space="preserve"> </w:t>
      </w:r>
      <m:oMath>
        <m:sSub>
          <m:e>
            <m:acc>
              <m:accPr>
                <m:chr m:val="̂"/>
              </m:accPr>
              <m:e>
                <m:r>
                  <m:t>ψ</m:t>
                </m:r>
              </m:e>
            </m:acc>
          </m:e>
          <m:sub>
            <m:r>
              <m:t>s</m:t>
            </m:r>
            <m:r>
              <m:rPr>
                <m:sty m:val="p"/>
              </m:rPr>
              <m:t>,</m:t>
            </m:r>
            <m:r>
              <m:rPr>
                <m:nor/>
                <m:sty m:val="p"/>
              </m:rPr>
              <m:t>v</m:t>
            </m:r>
          </m:sub>
        </m:sSub>
      </m:oMath>
      <w:r>
        <w:t xml:space="preserve"> </w:t>
      </w:r>
      <w:r>
        <w:t xml:space="preserve">for each vowel to calculate the posterior probability of each category given the formant input, as in</w:t>
      </w:r>
      <w:r>
        <w:t xml:space="preserve"> </w:t>
      </w:r>
      <w:hyperlink w:anchor="eq-posterior-vowel">
        <w:r>
          <w:rPr>
            <w:rStyle w:val="Hyperlink"/>
          </w:rPr>
          <w:t xml:space="preserve">Equation 9</w:t>
        </w:r>
      </w:hyperlink>
      <w:r>
        <w:t xml:space="preserve">. Note that this is an update of</w:t>
      </w:r>
      <w:r>
        <w:t xml:space="preserve"> </w:t>
      </w:r>
      <w:hyperlink w:anchor="eq-e10">
        <w:r>
          <w:rPr>
            <w:rStyle w:val="Hyperlink"/>
          </w:rPr>
          <w:t xml:space="preserve">Equation 5</w:t>
        </w:r>
      </w:hyperlink>
      <w:r>
        <w:t xml:space="preserve"> </w:t>
      </w:r>
      <w:r>
        <w:t xml:space="preserve">using vowel-specific estimates of</w:t>
      </w:r>
      <w:r>
        <w:t xml:space="preserve"> </w:t>
      </w:r>
      <m:oMath>
        <m:sSub>
          <m:e>
            <m:r>
              <m:t>ψ</m:t>
            </m:r>
          </m:e>
          <m:sub>
            <m:r>
              <m:t>s</m:t>
            </m:r>
          </m:sub>
        </m:sSub>
      </m:oMath>
      <w:r>
        <w:t xml:space="preserve">, and the prior probability of that estimate.</w:t>
      </w:r>
    </w:p>
    <w:p>
      <w:pPr>
        <w:pStyle w:val="BodyText"/>
      </w:pPr>
      <w:bookmarkStart w:id="36" w:name="eq-posterior-vowel"/>
      <m:oMathPara>
        <m:oMathParaPr>
          <m:jc m:val="center"/>
        </m:oMathParaPr>
        <m:oMath>
          <m:r>
            <m:t>P</m:t>
          </m:r>
          <m:d>
            <m:dPr>
              <m:begChr m:val="("/>
              <m:endChr m:val=")"/>
              <m:sepChr m:val=""/>
              <m:grow/>
            </m:dPr>
            <m:e>
              <m:sSub>
                <m:e>
                  <m:r>
                    <m:rPr>
                      <m:nor/>
                      <m:sty m:val="p"/>
                    </m:rPr>
                    <m:t>v</m:t>
                  </m:r>
                </m:e>
                <m:sub>
                  <m:r>
                    <m:t>j</m:t>
                  </m:r>
                </m:sub>
              </m:sSub>
              <m:r>
                <m:rPr>
                  <m:sty m:val="p"/>
                </m:rPr>
                <m:t>|</m:t>
              </m:r>
              <m:acc>
                <m:accPr>
                  <m:chr m:val="⃗"/>
                </m:accPr>
                <m:e>
                  <m:r>
                    <m:t>G</m:t>
                  </m:r>
                </m:e>
              </m:acc>
              <m:r>
                <m:rPr>
                  <m:sty m:val="p"/>
                </m:rPr>
                <m:t>,</m:t>
              </m:r>
              <m:sSub>
                <m:e>
                  <m:acc>
                    <m:accPr>
                      <m:chr m:val="̂"/>
                    </m:accPr>
                    <m:e>
                      <m:r>
                        <m:t>ψ</m:t>
                      </m:r>
                    </m:e>
                  </m:acc>
                </m:e>
                <m:sub>
                  <m:r>
                    <m:t>s</m:t>
                  </m:r>
                  <m:r>
                    <m:rPr>
                      <m:sty m:val="p"/>
                    </m:rPr>
                    <m:t>,</m:t>
                  </m:r>
                  <m:r>
                    <m:rPr>
                      <m:nor/>
                      <m:sty m:val="p"/>
                    </m:rPr>
                    <m:t>v</m:t>
                  </m:r>
                  <m:r>
                    <m:rPr>
                      <m:sty m:val="p"/>
                    </m:rPr>
                    <m:t>=</m:t>
                  </m:r>
                  <m:r>
                    <m:t>j</m:t>
                  </m:r>
                </m:sub>
              </m:sSub>
            </m:e>
          </m:d>
          <m:r>
            <m:rPr>
              <m:sty m:val="p"/>
            </m:rPr>
            <m:t>=</m:t>
          </m:r>
          <m:f>
            <m:fPr>
              <m:type m:val="bar"/>
            </m:fPr>
            <m:num>
              <m:r>
                <m:t>P</m:t>
              </m:r>
              <m:d>
                <m:dPr>
                  <m:begChr m:val="("/>
                  <m:endChr m:val=")"/>
                  <m:sepChr m:val=""/>
                  <m:grow/>
                </m:dPr>
                <m:e>
                  <m:acc>
                    <m:accPr>
                      <m:chr m:val="⃗"/>
                    </m:accPr>
                    <m:e>
                      <m:r>
                        <m:t>G</m:t>
                      </m:r>
                    </m:e>
                  </m:acc>
                  <m:r>
                    <m:rPr>
                      <m:sty m:val="p"/>
                    </m:rPr>
                    <m:t>|</m:t>
                  </m:r>
                  <m:sSub>
                    <m:e>
                      <m:r>
                        <m:rPr>
                          <m:nor/>
                          <m:sty m:val="p"/>
                        </m:rPr>
                        <m:t>v</m:t>
                      </m:r>
                    </m:e>
                    <m:sub>
                      <m:r>
                        <m:t>j</m:t>
                      </m:r>
                    </m:sub>
                  </m:sSub>
                  <m:r>
                    <m:rPr>
                      <m:sty m:val="p"/>
                    </m:rPr>
                    <m:t>,</m:t>
                  </m:r>
                  <m:sSub>
                    <m:e>
                      <m:acc>
                        <m:accPr>
                          <m:chr m:val="̂"/>
                        </m:accPr>
                        <m:e>
                          <m:r>
                            <m:t>ψ</m:t>
                          </m:r>
                        </m:e>
                      </m:acc>
                    </m:e>
                    <m:sub>
                      <m:r>
                        <m:t>s</m:t>
                      </m:r>
                      <m:r>
                        <m:rPr>
                          <m:sty m:val="p"/>
                        </m:rPr>
                        <m:t>,</m:t>
                      </m:r>
                      <m:r>
                        <m:rPr>
                          <m:nor/>
                          <m:sty m:val="p"/>
                        </m:rPr>
                        <m:t>v</m:t>
                      </m:r>
                      <m:r>
                        <m:rPr>
                          <m:sty m:val="p"/>
                        </m:rPr>
                        <m:t>=</m:t>
                      </m:r>
                      <m:r>
                        <m:t>j</m:t>
                      </m:r>
                    </m:sub>
                  </m:sSub>
                </m:e>
              </m:d>
              <m:r>
                <m:rPr>
                  <m:sty m:val="p"/>
                </m:rPr>
                <m:t>⋅</m:t>
              </m:r>
              <m:r>
                <m:t>P</m:t>
              </m:r>
              <m:d>
                <m:dPr>
                  <m:begChr m:val="("/>
                  <m:endChr m:val=")"/>
                  <m:sepChr m:val=""/>
                  <m:grow/>
                </m:dPr>
                <m:e>
                  <m:sSub>
                    <m:e>
                      <m:r>
                        <m:t>ψ</m:t>
                      </m:r>
                    </m:e>
                    <m:sub>
                      <m:r>
                        <m:t>s</m:t>
                      </m:r>
                    </m:sub>
                  </m:sSub>
                  <m:r>
                    <m:rPr>
                      <m:sty m:val="p"/>
                    </m:rPr>
                    <m:t>=</m:t>
                  </m:r>
                  <m:sSub>
                    <m:e>
                      <m:acc>
                        <m:accPr>
                          <m:chr m:val="̂"/>
                        </m:accPr>
                        <m:e>
                          <m:r>
                            <m:t>ψ</m:t>
                          </m:r>
                        </m:e>
                      </m:acc>
                    </m:e>
                    <m:sub>
                      <m:r>
                        <m:t>s</m:t>
                      </m:r>
                      <m:r>
                        <m:rPr>
                          <m:sty m:val="p"/>
                        </m:rPr>
                        <m:t>,</m:t>
                      </m:r>
                      <m:r>
                        <m:rPr>
                          <m:nor/>
                          <m:sty m:val="p"/>
                        </m:rPr>
                        <m:t>v</m:t>
                      </m:r>
                      <m:r>
                        <m:rPr>
                          <m:sty m:val="p"/>
                        </m:rPr>
                        <m:t>=</m:t>
                      </m:r>
                      <m:r>
                        <m:t>j</m:t>
                      </m:r>
                    </m:sub>
                  </m:sSub>
                </m:e>
              </m:d>
              <m:r>
                <m:rPr>
                  <m:sty m:val="p"/>
                </m:rPr>
                <m:t>⋅</m:t>
              </m:r>
              <m:r>
                <m:t>P</m:t>
              </m:r>
              <m:d>
                <m:dPr>
                  <m:begChr m:val="("/>
                  <m:endChr m:val=")"/>
                  <m:sepChr m:val=""/>
                  <m:grow/>
                </m:dPr>
                <m:e>
                  <m:sSub>
                    <m:e>
                      <m:r>
                        <m:rPr>
                          <m:nor/>
                          <m:sty m:val="p"/>
                        </m:rPr>
                        <m:t>v</m:t>
                      </m:r>
                    </m:e>
                    <m:sub>
                      <m:r>
                        <m:t>j</m:t>
                      </m:r>
                    </m:sub>
                  </m:sSub>
                </m:e>
              </m:d>
            </m:num>
            <m:den>
              <m:nary>
                <m:naryPr>
                  <m:chr m:val="∑"/>
                  <m:limLoc m:val="undOvr"/>
                  <m:subHide m:val="off"/>
                  <m:supHide m:val="off"/>
                </m:naryPr>
                <m:sub>
                  <m:r>
                    <m:t>i</m:t>
                  </m:r>
                  <m:r>
                    <m:rPr>
                      <m:sty m:val="p"/>
                    </m:rPr>
                    <m:t>=</m:t>
                  </m:r>
                  <m:r>
                    <m:t>1</m:t>
                  </m:r>
                </m:sub>
                <m:sup>
                  <m:r>
                    <m:t>V</m:t>
                  </m:r>
                </m:sup>
                <m:e>
                  <m:r>
                    <m:t>P</m:t>
                  </m:r>
                </m:e>
              </m:nary>
              <m:d>
                <m:dPr>
                  <m:begChr m:val="("/>
                  <m:endChr m:val=")"/>
                  <m:sepChr m:val=""/>
                  <m:grow/>
                </m:dPr>
                <m:e>
                  <m:acc>
                    <m:accPr>
                      <m:chr m:val="⃗"/>
                    </m:accPr>
                    <m:e>
                      <m:r>
                        <m:t>G</m:t>
                      </m:r>
                    </m:e>
                  </m:acc>
                  <m:r>
                    <m:rPr>
                      <m:sty m:val="p"/>
                    </m:rPr>
                    <m:t>|</m:t>
                  </m:r>
                  <m:sSub>
                    <m:e>
                      <m:r>
                        <m:rPr>
                          <m:nor/>
                          <m:sty m:val="p"/>
                        </m:rPr>
                        <m:t>v</m:t>
                      </m:r>
                    </m:e>
                    <m:sub>
                      <m:r>
                        <m:t>i</m:t>
                      </m:r>
                    </m:sub>
                  </m:sSub>
                  <m:r>
                    <m:rPr>
                      <m:sty m:val="p"/>
                    </m:rPr>
                    <m:t>,</m:t>
                  </m:r>
                  <m:sSub>
                    <m:e>
                      <m:acc>
                        <m:accPr>
                          <m:chr m:val="̂"/>
                        </m:accPr>
                        <m:e>
                          <m:r>
                            <m:t>ψ</m:t>
                          </m:r>
                        </m:e>
                      </m:acc>
                    </m:e>
                    <m:sub>
                      <m:r>
                        <m:t>s</m:t>
                      </m:r>
                      <m:r>
                        <m:rPr>
                          <m:sty m:val="p"/>
                        </m:rPr>
                        <m:t>,</m:t>
                      </m:r>
                      <m:r>
                        <m:rPr>
                          <m:nor/>
                          <m:sty m:val="p"/>
                        </m:rPr>
                        <m:t>v</m:t>
                      </m:r>
                      <m:r>
                        <m:rPr>
                          <m:sty m:val="p"/>
                        </m:rPr>
                        <m:t>=</m:t>
                      </m:r>
                      <m:r>
                        <m:t>i</m:t>
                      </m:r>
                    </m:sub>
                  </m:sSub>
                </m:e>
              </m:d>
              <m:r>
                <m:rPr>
                  <m:sty m:val="p"/>
                </m:rPr>
                <m:t>⋅</m:t>
              </m:r>
              <m:r>
                <m:t>P</m:t>
              </m:r>
              <m:d>
                <m:dPr>
                  <m:begChr m:val="("/>
                  <m:endChr m:val=")"/>
                  <m:sepChr m:val=""/>
                  <m:grow/>
                </m:dPr>
                <m:e>
                  <m:sSub>
                    <m:e>
                      <m:r>
                        <m:t>ψ</m:t>
                      </m:r>
                    </m:e>
                    <m:sub>
                      <m:r>
                        <m:t>s</m:t>
                      </m:r>
                    </m:sub>
                  </m:sSub>
                  <m:r>
                    <m:rPr>
                      <m:sty m:val="p"/>
                    </m:rPr>
                    <m:t>=</m:t>
                  </m:r>
                  <m:sSub>
                    <m:e>
                      <m:acc>
                        <m:accPr>
                          <m:chr m:val="̂"/>
                        </m:accPr>
                        <m:e>
                          <m:r>
                            <m:t>ψ</m:t>
                          </m:r>
                        </m:e>
                      </m:acc>
                    </m:e>
                    <m:sub>
                      <m:r>
                        <m:t>s</m:t>
                      </m:r>
                      <m:r>
                        <m:rPr>
                          <m:sty m:val="p"/>
                        </m:rPr>
                        <m:t>,</m:t>
                      </m:r>
                      <m:r>
                        <m:rPr>
                          <m:nor/>
                          <m:sty m:val="p"/>
                        </m:rPr>
                        <m:t>v</m:t>
                      </m:r>
                      <m:r>
                        <m:rPr>
                          <m:sty m:val="p"/>
                        </m:rPr>
                        <m:t>=</m:t>
                      </m:r>
                      <m:r>
                        <m:t>i</m:t>
                      </m:r>
                    </m:sub>
                  </m:sSub>
                </m:e>
              </m:d>
              <m:r>
                <m:rPr>
                  <m:sty m:val="p"/>
                </m:rPr>
                <m:t>⋅</m:t>
              </m:r>
              <m:r>
                <m:t>P</m:t>
              </m:r>
              <m:d>
                <m:dPr>
                  <m:begChr m:val="("/>
                  <m:endChr m:val=")"/>
                  <m:sepChr m:val=""/>
                  <m:grow/>
                </m:dPr>
                <m:e>
                  <m:sSub>
                    <m:e>
                      <m:r>
                        <m:rPr>
                          <m:nor/>
                          <m:sty m:val="p"/>
                        </m:rPr>
                        <m:t>v</m:t>
                      </m:r>
                    </m:e>
                    <m:sub>
                      <m:r>
                        <m:t>i</m:t>
                      </m:r>
                    </m:sub>
                  </m:sSub>
                </m:e>
              </m:d>
            </m:den>
          </m:f>
          <m:r>
            <m:t>  </m:t>
          </m:r>
          <m:d>
            <m:dPr>
              <m:begChr m:val="("/>
              <m:endChr m:val=")"/>
              <m:sepChr m:val=""/>
              <m:grow/>
            </m:dPr>
            <m:e>
              <m:r>
                <m:t>9</m:t>
              </m:r>
            </m:e>
          </m:d>
        </m:oMath>
      </m:oMathPara>
      <w:bookmarkEnd w:id="36"/>
    </w:p>
    <w:p>
      <w:pPr>
        <w:pStyle w:val="FirstParagraph"/>
      </w:pPr>
      <w:r>
        <w:t xml:space="preserve">These</w:t>
      </w:r>
      <w:r>
        <w:t xml:space="preserve"> </w:t>
      </w:r>
      <m:oMath>
        <m:sSub>
          <m:e>
            <m:r>
              <m:t>ψ</m:t>
            </m:r>
          </m:e>
          <m:sub>
            <m:r>
              <m:t>s</m:t>
            </m:r>
            <m:r>
              <m:rPr>
                <m:sty m:val="p"/>
              </m:rPr>
              <m:t>,</m:t>
            </m:r>
            <m:r>
              <m:rPr>
                <m:nor/>
                <m:sty m:val="p"/>
              </m:rPr>
              <m:t>v</m:t>
            </m:r>
          </m:sub>
        </m:sSub>
      </m:oMath>
      <w:r>
        <w:t xml:space="preserve"> </w:t>
      </w:r>
      <w:r>
        <w:t xml:space="preserve">are then used to categorize the formant input. Specifically, listeners are assumed to infer the</w:t>
      </w:r>
      <w:r>
        <w:t xml:space="preserve"> </w:t>
      </w:r>
      <m:oMath>
        <m:sSub>
          <m:e>
            <m:acc>
              <m:accPr>
                <m:chr m:val="̂"/>
              </m:accPr>
              <m:e>
                <m:r>
                  <m:t>ψ</m:t>
                </m:r>
              </m:e>
            </m:acc>
          </m:e>
          <m:sub>
            <m:r>
              <m:t>s</m:t>
            </m:r>
          </m:sub>
        </m:sSub>
      </m:oMath>
      <w:r>
        <w:t xml:space="preserve"> </w:t>
      </w:r>
      <w:r>
        <w:t xml:space="preserve">with the highest MAP, and to use this</w:t>
      </w:r>
      <w:r>
        <w:t xml:space="preserve"> </w:t>
      </w:r>
      <m:oMath>
        <m:sSub>
          <m:e>
            <m:acc>
              <m:accPr>
                <m:chr m:val="̂"/>
              </m:accPr>
              <m:e>
                <m:r>
                  <m:t>ψ</m:t>
                </m:r>
              </m:e>
            </m:acc>
          </m:e>
          <m:sub>
            <m:r>
              <m:t>s</m:t>
            </m:r>
          </m:sub>
        </m:sSub>
      </m:oMath>
      <w:r>
        <w:t xml:space="preserve"> </w:t>
      </w:r>
      <w:r>
        <w:t xml:space="preserve">to categorize the input as the vowel category with the maximum posterior density (</w:t>
      </w:r>
      <w:hyperlink w:anchor="eq-criterion-psi-and-vowel">
        <w:r>
          <w:rPr>
            <w:rStyle w:val="Hyperlink"/>
          </w:rPr>
          <w:t xml:space="preserve">Equation 10</w:t>
        </w:r>
      </w:hyperlink>
      <w:r>
        <w:t xml:space="preserve">). Nearey and Assmann describe this process as</w:t>
      </w:r>
      <w:r>
        <w:t xml:space="preserve"> </w:t>
      </w:r>
      <w:r>
        <w:t xml:space="preserve">“</w:t>
      </w:r>
      <w:r>
        <w:t xml:space="preserve">choose the vowel that looks best when it tries to look its best</w:t>
      </w:r>
      <w:r>
        <w:t xml:space="preserve">”</w:t>
      </w:r>
      <w:r>
        <w:t xml:space="preserve"> </w:t>
      </w:r>
      <w:r>
        <w:t xml:space="preserve">(p. 253).</w:t>
      </w:r>
    </w:p>
    <w:p>
      <w:pPr>
        <w:pStyle w:val="BodyText"/>
      </w:pPr>
      <w:bookmarkStart w:id="37" w:name="eq-criterion-psi-and-vowel"/>
      <m:oMathPara>
        <m:oMathParaPr>
          <m:jc m:val="center"/>
        </m:oMathParaPr>
        <m:oMath>
          <m:m>
            <m:mPr>
              <m:baseJc m:val="center"/>
              <m:plcHide m:val="on"/>
              <m:mcs>
                <m:mc>
                  <m:mcPr>
                    <m:mcJc m:val="right"/>
                    <m:count m:val="1"/>
                  </m:mcPr>
                </m:mc>
              </m:mcs>
            </m:mPr>
            <m:mr>
              <m:e>
                <m:sSub>
                  <m:e>
                    <m:acc>
                      <m:accPr>
                        <m:chr m:val="̂"/>
                      </m:accPr>
                      <m:e>
                        <m:r>
                          <m:t>ψ</m:t>
                        </m:r>
                      </m:e>
                    </m:acc>
                  </m:e>
                  <m:sub>
                    <m:r>
                      <m:t>s</m:t>
                    </m:r>
                  </m:sub>
                </m:sSub>
                <m:box>
                  <m:boxPr>
                    <m:opEmu m:val="on"/>
                  </m:boxPr>
                  <m:e>
                    <m:r>
                      <m:rPr>
                        <m:sty m:val="p"/>
                      </m:rPr>
                      <m:t>:=</m:t>
                    </m:r>
                  </m:e>
                </m:box>
                <m:limLow>
                  <m:e>
                    <m:r>
                      <m:rPr>
                        <m:sty m:val="p"/>
                      </m:rPr>
                      <m:t>arg</m:t>
                    </m:r>
                    <m:r>
                      <m:rPr>
                        <m:sty m:val="p"/>
                      </m:rPr>
                      <m:t>max</m:t>
                    </m:r>
                  </m:e>
                  <m:lim>
                    <m:sSub>
                      <m:e>
                        <m:r>
                          <m:t>ψ</m:t>
                        </m:r>
                      </m:e>
                      <m:sub>
                        <m:r>
                          <m:t>s</m:t>
                        </m:r>
                      </m:sub>
                    </m:sSub>
                  </m:lim>
                </m:limLow>
                <m:d>
                  <m:dPr>
                    <m:begChr m:val="["/>
                    <m:endChr m:val="]"/>
                    <m:sepChr m:val=""/>
                    <m:grow/>
                  </m:dPr>
                  <m:e>
                    <m:sSub>
                      <m:e>
                        <m:acc>
                          <m:accPr>
                            <m:chr m:val="̂"/>
                          </m:accPr>
                          <m:e>
                            <m:r>
                              <m:t>ψ</m:t>
                            </m:r>
                          </m:e>
                        </m:acc>
                      </m:e>
                      <m:sub>
                        <m:r>
                          <m:t>s</m:t>
                        </m:r>
                        <m:r>
                          <m:rPr>
                            <m:sty m:val="p"/>
                          </m:rPr>
                          <m:t>,</m:t>
                        </m:r>
                        <m:r>
                          <m:rPr>
                            <m:nor/>
                            <m:sty m:val="p"/>
                          </m:rPr>
                          <m:t>v</m:t>
                        </m:r>
                      </m:sub>
                    </m:sSub>
                  </m:e>
                </m:d>
              </m:e>
            </m:mr>
            <m:mr>
              <m:e>
                <m:r>
                  <m:t>c</m:t>
                </m:r>
                <m:box>
                  <m:boxPr>
                    <m:opEmu m:val="on"/>
                  </m:boxPr>
                  <m:e>
                    <m:r>
                      <m:rPr>
                        <m:sty m:val="p"/>
                      </m:rPr>
                      <m:t>:=</m:t>
                    </m:r>
                  </m:e>
                </m:box>
                <m:limLow>
                  <m:e>
                    <m:r>
                      <m:rPr>
                        <m:sty m:val="p"/>
                      </m:rPr>
                      <m:t>arg</m:t>
                    </m:r>
                    <m:r>
                      <m:rPr>
                        <m:sty m:val="p"/>
                      </m:rPr>
                      <m:t>max</m:t>
                    </m:r>
                  </m:e>
                  <m:lim>
                    <m:r>
                      <m:rPr>
                        <m:nor/>
                        <m:sty m:val="p"/>
                      </m:rPr>
                      <m:t>v</m:t>
                    </m:r>
                  </m:lim>
                </m:limLow>
                <m:d>
                  <m:dPr>
                    <m:begChr m:val="["/>
                    <m:endChr m:val="]"/>
                    <m:sepChr m:val=""/>
                    <m:grow/>
                  </m:dPr>
                  <m:e>
                    <m:sSub>
                      <m:e>
                        <m:acc>
                          <m:accPr>
                            <m:chr m:val="̂"/>
                          </m:accPr>
                          <m:e>
                            <m:r>
                              <m:t>ψ</m:t>
                            </m:r>
                          </m:e>
                        </m:acc>
                      </m:e>
                      <m:sub>
                        <m:r>
                          <m:t>s</m:t>
                        </m:r>
                        <m:r>
                          <m:rPr>
                            <m:sty m:val="p"/>
                          </m:rPr>
                          <m:t>,</m:t>
                        </m:r>
                        <m:r>
                          <m:rPr>
                            <m:nor/>
                            <m:sty m:val="p"/>
                          </m:rPr>
                          <m:t>v</m:t>
                        </m:r>
                      </m:sub>
                    </m:sSub>
                  </m:e>
                </m:d>
              </m:e>
            </m:mr>
          </m:m>
          <m:r>
            <m:t>  </m:t>
          </m:r>
          <m:d>
            <m:dPr>
              <m:begChr m:val="("/>
              <m:endChr m:val=")"/>
              <m:sepChr m:val=""/>
              <m:grow/>
            </m:dPr>
            <m:e>
              <m:r>
                <m:t>10</m:t>
              </m:r>
            </m:e>
          </m:d>
        </m:oMath>
      </m:oMathPara>
      <w:bookmarkEnd w:id="37"/>
    </w:p>
    <w:bookmarkEnd w:id="38"/>
    <w:bookmarkStart w:id="44" w:name="X9b746e23ddc6016eff82a2e0684fd2b0ab151a7"/>
    <w:p>
      <w:pPr>
        <w:pStyle w:val="Heading2"/>
      </w:pPr>
      <w:r>
        <w:t xml:space="preserve">4.2 Method 2: Unrestricted optimization of</w:t>
      </w:r>
      <w:r>
        <w:t xml:space="preserve"> </w:t>
      </w:r>
      <m:oMath>
        <m:sSub>
          <m:e>
            <m:r>
              <m:t>ψ</m:t>
            </m:r>
          </m:e>
          <m:sub>
            <m:r>
              <m:t>s</m:t>
            </m:r>
          </m:sub>
        </m:sSub>
      </m:oMath>
    </w:p>
    <w:p>
      <w:pPr>
        <w:pStyle w:val="FirstParagraph"/>
      </w:pPr>
      <w:r>
        <w:t xml:space="preserve">Method 2 spells out</w:t>
      </w:r>
      <w:r>
        <w:t xml:space="preserve"> </w:t>
      </w:r>
      <w:hyperlink w:anchor="eq-posterior-psi">
        <w:r>
          <w:rPr>
            <w:rStyle w:val="Hyperlink"/>
          </w:rPr>
          <w:t xml:space="preserve">Equation 7</w:t>
        </w:r>
      </w:hyperlink>
      <w:r>
        <w:t xml:space="preserve"> </w:t>
      </w:r>
      <w:r>
        <w:t xml:space="preserve">as</w:t>
      </w:r>
      <w:r>
        <w:t xml:space="preserve"> </w:t>
      </w:r>
      <w:hyperlink w:anchor="eq-method2">
        <w:r>
          <w:rPr>
            <w:rStyle w:val="Hyperlink"/>
          </w:rPr>
          <w:t xml:space="preserve">Equation 11</w:t>
        </w:r>
      </w:hyperlink>
      <w:r>
        <w:t xml:space="preserve">, assuming that listeners’ prior expectations about</w:t>
      </w:r>
      <w:r>
        <w:t xml:space="preserve"> </w:t>
      </w:r>
      <m:oMath>
        <m:sSub>
          <m:e>
            <m:r>
              <m:t>ψ</m:t>
            </m:r>
          </m:e>
          <m:sub>
            <m:r>
              <m:t>s</m:t>
            </m:r>
          </m:sub>
        </m:sSub>
      </m:oMath>
      <w:r>
        <w:t xml:space="preserve"> </w:t>
      </w:r>
      <w:r>
        <w:t xml:space="preserve">correspond to a uniform distribution (</w:t>
      </w:r>
      <m:oMath>
        <m:r>
          <m:rPr>
            <m:nor/>
            <m:sty m:val="p"/>
          </m:rPr>
          <m:t>U</m:t>
        </m:r>
      </m:oMath>
      <w:r>
        <w:t xml:space="preserve">) such that any value of</w:t>
      </w:r>
      <w:r>
        <w:t xml:space="preserve"> </w:t>
      </w:r>
      <m:oMath>
        <m:sSub>
          <m:e>
            <m:r>
              <m:t>ψ</m:t>
            </m:r>
          </m:e>
          <m:sub>
            <m:r>
              <m:t>s</m:t>
            </m:r>
          </m:sub>
        </m:sSub>
      </m:oMath>
      <w:r>
        <w:t xml:space="preserve"> </w:t>
      </w:r>
      <w:r>
        <w:t xml:space="preserve">is equally plausible.</w:t>
      </w:r>
    </w:p>
    <w:p>
      <w:pPr>
        <w:pStyle w:val="BodyText"/>
      </w:pPr>
      <w:bookmarkStart w:id="39" w:name="eq-method2"/>
      <m:oMathPara>
        <m:oMathParaPr>
          <m:jc m:val="center"/>
        </m:oMathParaPr>
        <m:oMath>
          <m:m>
            <m:mPr>
              <m:baseJc m:val="center"/>
              <m:plcHide m:val="on"/>
              <m:mcs>
                <m:mc>
                  <m:mcPr>
                    <m:mcJc m:val="right"/>
                    <m:count m:val="1"/>
                  </m:mcPr>
                </m:mc>
                <m:mc>
                  <m:mcPr>
                    <m:mcJc m:val="left"/>
                    <m:count m:val="1"/>
                  </m:mcPr>
                </m:mc>
              </m:mcs>
            </m:mPr>
            <m:mr>
              <m:e>
                <m:sSub>
                  <m:e>
                    <m:acc>
                      <m:accPr>
                        <m:chr m:val="̂"/>
                      </m:accPr>
                      <m:e>
                        <m:r>
                          <m:t>ψ</m:t>
                        </m:r>
                      </m:e>
                    </m:acc>
                  </m:e>
                  <m:sub>
                    <m:r>
                      <m:t>s</m:t>
                    </m:r>
                    <m:r>
                      <m:rPr>
                        <m:sty m:val="p"/>
                      </m:rPr>
                      <m:t>,</m:t>
                    </m:r>
                    <m:r>
                      <m:rPr>
                        <m:nor/>
                        <m:sty m:val="p"/>
                      </m:rPr>
                      <m:t>v</m:t>
                    </m:r>
                  </m:sub>
                </m:sSub>
              </m:e>
              <m:e>
                <m:box>
                  <m:boxPr>
                    <m:opEmu m:val="on"/>
                  </m:boxPr>
                  <m:e>
                    <m:r>
                      <m:rPr>
                        <m:sty m:val="p"/>
                      </m:rPr>
                      <m:t>:=</m:t>
                    </m:r>
                  </m:e>
                </m:box>
                <m:limLow>
                  <m:e>
                    <m:r>
                      <m:rPr>
                        <m:sty m:val="p"/>
                      </m:rPr>
                      <m:t>arg</m:t>
                    </m:r>
                    <m:r>
                      <m:rPr>
                        <m:sty m:val="p"/>
                      </m:rPr>
                      <m:t>max</m:t>
                    </m:r>
                  </m:e>
                  <m:lim>
                    <m:sSub>
                      <m:e>
                        <m:r>
                          <m:t>ψ</m:t>
                        </m:r>
                      </m:e>
                      <m:sub>
                        <m:r>
                          <m:t>s</m:t>
                        </m:r>
                      </m:sub>
                    </m:sSub>
                  </m:lim>
                </m:limLow>
                <m:d>
                  <m:dPr>
                    <m:begChr m:val="["/>
                    <m:endChr m:val="]"/>
                    <m:sepChr m:val=""/>
                    <m:grow/>
                  </m:dPr>
                  <m:e>
                    <m:r>
                      <m:t>P</m:t>
                    </m:r>
                    <m:d>
                      <m:dPr>
                        <m:begChr m:val="("/>
                        <m:endChr m:val=")"/>
                        <m:sepChr m:val=""/>
                        <m:grow/>
                      </m:dPr>
                      <m:e>
                        <m:acc>
                          <m:accPr>
                            <m:chr m:val="⃗"/>
                          </m:accPr>
                          <m:e>
                            <m:r>
                              <m:t>G</m:t>
                            </m:r>
                          </m:e>
                        </m:acc>
                        <m:r>
                          <m:rPr>
                            <m:sty m:val="p"/>
                          </m:rPr>
                          <m:t>|</m:t>
                        </m:r>
                        <m:r>
                          <m:rPr>
                            <m:nor/>
                            <m:sty m:val="p"/>
                          </m:rPr>
                          <m:t>v</m:t>
                        </m:r>
                        <m:r>
                          <m:rPr>
                            <m:sty m:val="p"/>
                          </m:rPr>
                          <m:t>,</m:t>
                        </m:r>
                        <m:sSub>
                          <m:e>
                            <m:r>
                              <m:t>ψ</m:t>
                            </m:r>
                          </m:e>
                          <m:sub>
                            <m:r>
                              <m:t>s</m:t>
                            </m:r>
                          </m:sub>
                        </m:sSub>
                      </m:e>
                    </m:d>
                    <m:r>
                      <m:rPr>
                        <m:sty m:val="p"/>
                      </m:rPr>
                      <m:t>⋅</m:t>
                    </m:r>
                    <m:r>
                      <m:t>P</m:t>
                    </m:r>
                    <m:d>
                      <m:dPr>
                        <m:begChr m:val="("/>
                        <m:endChr m:val=")"/>
                        <m:sepChr m:val=""/>
                        <m:grow/>
                      </m:dPr>
                      <m:e>
                        <m:sSub>
                          <m:e>
                            <m:r>
                              <m:t>ψ</m:t>
                            </m:r>
                          </m:e>
                          <m:sub>
                            <m:r>
                              <m:t>s</m:t>
                            </m:r>
                          </m:sub>
                        </m:sSub>
                      </m:e>
                    </m:d>
                    <m:r>
                      <m:rPr>
                        <m:sty m:val="p"/>
                      </m:rPr>
                      <m:t>⋅</m:t>
                    </m:r>
                    <m:r>
                      <m:t>P</m:t>
                    </m:r>
                    <m:d>
                      <m:dPr>
                        <m:begChr m:val="("/>
                        <m:endChr m:val=")"/>
                        <m:sepChr m:val=""/>
                        <m:grow/>
                      </m:dPr>
                      <m:e>
                        <m:r>
                          <m:rPr>
                            <m:nor/>
                            <m:sty m:val="p"/>
                          </m:rPr>
                          <m:t>v</m:t>
                        </m:r>
                      </m:e>
                    </m:d>
                  </m:e>
                </m:d>
              </m:e>
            </m:mr>
            <m:mr>
              <m:e>
                <m:r>
                  <m:t> </m:t>
                </m:r>
              </m:e>
              <m:e>
                <m:box>
                  <m:boxPr>
                    <m:opEmu m:val="on"/>
                  </m:boxPr>
                  <m:e>
                    <m:r>
                      <m:rPr>
                        <m:sty m:val="p"/>
                      </m:rPr>
                      <m:t>:=</m:t>
                    </m:r>
                  </m:e>
                </m:box>
                <m:limLow>
                  <m:e>
                    <m:r>
                      <m:rPr>
                        <m:sty m:val="p"/>
                      </m:rPr>
                      <m:t>arg</m:t>
                    </m:r>
                    <m:r>
                      <m:rPr>
                        <m:sty m:val="p"/>
                      </m:rPr>
                      <m:t>max</m:t>
                    </m:r>
                  </m:e>
                  <m:lim>
                    <m:sSub>
                      <m:e>
                        <m:r>
                          <m:t>ψ</m:t>
                        </m:r>
                      </m:e>
                      <m:sub>
                        <m:r>
                          <m:t>s</m:t>
                        </m:r>
                      </m:sub>
                    </m:sSub>
                  </m:lim>
                </m:limLow>
                <m:d>
                  <m:dPr>
                    <m:begChr m:val="["/>
                    <m:endChr m:val="]"/>
                    <m:sepChr m:val=""/>
                    <m:grow/>
                  </m:dPr>
                  <m:e>
                    <m:r>
                      <m:t>P</m:t>
                    </m:r>
                    <m:d>
                      <m:dPr>
                        <m:begChr m:val="("/>
                        <m:endChr m:val=")"/>
                        <m:sepChr m:val=""/>
                        <m:grow/>
                      </m:dPr>
                      <m:e>
                        <m:acc>
                          <m:accPr>
                            <m:chr m:val="⃗"/>
                          </m:accPr>
                          <m:e>
                            <m:r>
                              <m:t>G</m:t>
                            </m:r>
                          </m:e>
                        </m:acc>
                        <m:r>
                          <m:rPr>
                            <m:sty m:val="p"/>
                          </m:rPr>
                          <m:t>|</m:t>
                        </m:r>
                        <m:r>
                          <m:rPr>
                            <m:nor/>
                            <m:sty m:val="p"/>
                          </m:rPr>
                          <m:t>v</m:t>
                        </m:r>
                        <m:r>
                          <m:rPr>
                            <m:sty m:val="p"/>
                          </m:rPr>
                          <m:t>,</m:t>
                        </m:r>
                        <m:sSub>
                          <m:e>
                            <m:r>
                              <m:t>ψ</m:t>
                            </m:r>
                          </m:e>
                          <m:sub>
                            <m:r>
                              <m:t>s</m:t>
                            </m:r>
                          </m:sub>
                        </m:sSub>
                      </m:e>
                    </m:d>
                    <m:r>
                      <m:rPr>
                        <m:sty m:val="p"/>
                      </m:rPr>
                      <m:t>⋅</m:t>
                    </m:r>
                    <m:r>
                      <m:rPr>
                        <m:nor/>
                        <m:sty m:val="p"/>
                      </m:rPr>
                      <m:t>U</m:t>
                    </m:r>
                    <m:d>
                      <m:dPr>
                        <m:begChr m:val="("/>
                        <m:endChr m:val=")"/>
                        <m:sepChr m:val=""/>
                        <m:grow/>
                      </m:dPr>
                      <m:e>
                        <m:sSub>
                          <m:e>
                            <m:r>
                              <m:t>ψ</m:t>
                            </m:r>
                          </m:e>
                          <m:sub>
                            <m:r>
                              <m:t>s</m:t>
                            </m:r>
                          </m:sub>
                        </m:sSub>
                      </m:e>
                    </m:d>
                    <m:r>
                      <m:rPr>
                        <m:sty m:val="p"/>
                      </m:rPr>
                      <m:t>⋅</m:t>
                    </m:r>
                    <m:r>
                      <m:t>P</m:t>
                    </m:r>
                    <m:d>
                      <m:dPr>
                        <m:begChr m:val="("/>
                        <m:endChr m:val=")"/>
                        <m:sepChr m:val=""/>
                        <m:grow/>
                      </m:dPr>
                      <m:e>
                        <m:r>
                          <m:rPr>
                            <m:nor/>
                            <m:sty m:val="p"/>
                          </m:rPr>
                          <m:t>v</m:t>
                        </m:r>
                      </m:e>
                    </m:d>
                  </m:e>
                </m:d>
              </m:e>
            </m:mr>
          </m:m>
          <m:r>
            <m:t>  </m:t>
          </m:r>
          <m:d>
            <m:dPr>
              <m:begChr m:val="("/>
              <m:endChr m:val=")"/>
              <m:sepChr m:val=""/>
              <m:grow/>
            </m:dPr>
            <m:e>
              <m:r>
                <m:t>11</m:t>
              </m:r>
            </m:e>
          </m:d>
        </m:oMath>
      </m:oMathPara>
      <w:bookmarkEnd w:id="39"/>
    </w:p>
    <w:p>
      <w:pPr>
        <w:pStyle w:val="FirstParagraph"/>
      </w:pPr>
      <w:r>
        <w:t xml:space="preserve">Using a uniform prior on</w:t>
      </w:r>
      <w:r>
        <w:t xml:space="preserve"> </w:t>
      </w:r>
      <m:oMath>
        <m:sSub>
          <m:e>
            <m:r>
              <m:t>ψ</m:t>
            </m:r>
          </m:e>
          <m:sub>
            <m:r>
              <m:t>s</m:t>
            </m:r>
          </m:sub>
        </m:sSub>
      </m:oMath>
      <w:r>
        <w:t xml:space="preserve"> </w:t>
      </w:r>
      <w:r>
        <w:t xml:space="preserve">means our</w:t>
      </w:r>
      <w:r>
        <w:t xml:space="preserve"> </w:t>
      </w:r>
      <w:r>
        <w:t xml:space="preserve">‘</w:t>
      </w:r>
      <w:r>
        <w:t xml:space="preserve">best</w:t>
      </w:r>
      <w:r>
        <w:t xml:space="preserve">’</w:t>
      </w:r>
      <w:r>
        <w:t xml:space="preserve"> </w:t>
      </w:r>
      <w:r>
        <w:t xml:space="preserve">estimate of</w:t>
      </w:r>
      <w:r>
        <w:t xml:space="preserve"> </w:t>
      </w:r>
      <m:oMath>
        <m:sSub>
          <m:e>
            <m:r>
              <m:t>ψ</m:t>
            </m:r>
          </m:e>
          <m:sub>
            <m:r>
              <m:t>s</m:t>
            </m:r>
          </m:sub>
        </m:sSub>
      </m:oMath>
      <w:r>
        <w:t xml:space="preserve"> </w:t>
      </w:r>
      <w:r>
        <w:t xml:space="preserve">may be rather implausible, as long as it provides a good fit to one of our categories. For example,</w:t>
      </w:r>
      <w:r>
        <w:t xml:space="preserve"> </w:t>
      </w:r>
      <w:hyperlink w:anchor="fig-slidingtemplate2">
        <w:r>
          <w:rPr>
            <w:rStyle w:val="Hyperlink"/>
          </w:rPr>
          <w:t xml:space="preserve">Figure 2</w:t>
        </w:r>
      </w:hyperlink>
      <w:r>
        <w:t xml:space="preserve"> </w:t>
      </w:r>
      <w:r>
        <w:t xml:space="preserve">presents the likelihood functions</w:t>
      </w:r>
      <w:r>
        <w:t xml:space="preserve"> </w:t>
      </w:r>
      <m:oMath>
        <m:r>
          <m:t>P</m:t>
        </m:r>
        <m:d>
          <m:dPr>
            <m:begChr m:val="("/>
            <m:endChr m:val=")"/>
            <m:sepChr m:val=""/>
            <m:grow/>
          </m:dPr>
          <m:e>
            <m:sSub>
              <m:e>
                <m:acc>
                  <m:accPr>
                    <m:chr m:val="⃗"/>
                  </m:accPr>
                  <m:e>
                    <m:r>
                      <m:t>G</m:t>
                    </m:r>
                  </m:e>
                </m:acc>
              </m:e>
              <m:sub>
                <m:r>
                  <m:t>x</m:t>
                </m:r>
              </m:sub>
            </m:sSub>
            <m:r>
              <m:rPr>
                <m:sty m:val="p"/>
              </m:rPr>
              <m:t>|</m:t>
            </m:r>
            <m:sSub>
              <m:e>
                <m:r>
                  <m:rPr>
                    <m:nor/>
                    <m:sty m:val="p"/>
                  </m:rPr>
                  <m:t>v</m:t>
                </m:r>
              </m:e>
              <m:sub>
                <m:r>
                  <m:t>i</m:t>
                </m:r>
              </m:sub>
            </m:sSub>
            <m:r>
              <m:rPr>
                <m:sty m:val="p"/>
              </m:rPr>
              <m:t>,</m:t>
            </m:r>
            <m:sSub>
              <m:e>
                <m:acc>
                  <m:accPr>
                    <m:chr m:val="̂"/>
                  </m:accPr>
                  <m:e>
                    <m:r>
                      <m:t>ψ</m:t>
                    </m:r>
                  </m:e>
                </m:acc>
              </m:e>
              <m:sub>
                <m:r>
                  <m:t>s</m:t>
                </m:r>
              </m:sub>
            </m:sSub>
          </m:e>
        </m:d>
      </m:oMath>
      <w:r>
        <w:t xml:space="preserve"> </w:t>
      </w:r>
      <w:r>
        <w:t xml:space="preserve">from</w:t>
      </w:r>
      <w:r>
        <w:t xml:space="preserve"> </w:t>
      </w:r>
      <w:hyperlink w:anchor="eq-method2">
        <w:r>
          <w:rPr>
            <w:rStyle w:val="Hyperlink"/>
          </w:rPr>
          <w:t xml:space="preserve">Equation 11</w:t>
        </w:r>
      </w:hyperlink>
      <w:r>
        <w:t xml:space="preserve"> </w:t>
      </w:r>
      <w:r>
        <w:t xml:space="preserve">for four vowel hypotheses, along with different interpretations of an ambiguous vowel according the MAP estimates</w:t>
      </w:r>
      <w:r>
        <w:t xml:space="preserve"> </w:t>
      </w:r>
      <m:oMath>
        <m:sSub>
          <m:e>
            <m:acc>
              <m:accPr>
                <m:chr m:val="̂"/>
              </m:accPr>
              <m:e>
                <m:r>
                  <m:t>ψ</m:t>
                </m:r>
              </m:e>
            </m:acc>
          </m:e>
          <m:sub>
            <m:r>
              <m:t>s</m:t>
            </m:r>
            <m:r>
              <m:rPr>
                <m:sty m:val="p"/>
              </m:rPr>
              <m:t>,</m:t>
            </m:r>
            <m:r>
              <m:rPr>
                <m:nor/>
                <m:sty m:val="p"/>
              </m:rPr>
              <m:t>v</m:t>
            </m:r>
          </m:sub>
        </m:sSub>
      </m:oMath>
      <w:r>
        <w:t xml:space="preserve"> </w:t>
      </w:r>
      <w:r>
        <w:t xml:space="preserve">for the four vowels. Because the prior exerts no influence on the posterior, the likelihoods and posteriors share the same relative shapes in this case. As a result, this model suggests that an interpretation of /o/, along with a value of</w:t>
      </w:r>
      <w:r>
        <w:t xml:space="preserve"> </w:t>
      </w:r>
      <m:oMath>
        <m:sSub>
          <m:e>
            <m:acc>
              <m:accPr>
                <m:chr m:val="̂"/>
              </m:accPr>
              <m:e>
                <m:r>
                  <m:t>ψ</m:t>
                </m:r>
              </m:e>
            </m:acc>
          </m:e>
          <m:sub>
            <m:r>
              <m:t>s</m:t>
            </m:r>
          </m:sub>
        </m:sSub>
        <m:r>
          <m:rPr>
            <m:sty m:val="p"/>
          </m:rPr>
          <m:t>=</m:t>
        </m:r>
        <m:r>
          <m:t>7.64</m:t>
        </m:r>
      </m:oMath>
      <w:r>
        <w:t xml:space="preserve">, is among the plausible solutions. As we shall see in the next section, however, a value of</w:t>
      </w:r>
      <w:r>
        <w:t xml:space="preserve"> </w:t>
      </w:r>
      <m:oMath>
        <m:sSub>
          <m:e>
            <m:acc>
              <m:accPr>
                <m:chr m:val="̂"/>
              </m:accPr>
              <m:e>
                <m:r>
                  <m:t>ψ</m:t>
                </m:r>
              </m:e>
            </m:acc>
          </m:e>
          <m:sub>
            <m:r>
              <m:t>s</m:t>
            </m:r>
          </m:sub>
        </m:sSub>
        <m:r>
          <m:rPr>
            <m:sty m:val="p"/>
          </m:rPr>
          <m:t>=</m:t>
        </m:r>
        <m:r>
          <m:t>7.64</m:t>
        </m:r>
      </m:oMath>
      <w:r>
        <w:t xml:space="preserve"> </w:t>
      </w:r>
      <w:r>
        <w:t xml:space="preserve">is</w:t>
      </w:r>
      <w:r>
        <w:t xml:space="preserve"> </w:t>
      </w:r>
      <w:r>
        <w:rPr>
          <w:iCs/>
          <w:i/>
        </w:rPr>
        <w:t xml:space="preserve">a priori</w:t>
      </w:r>
      <w:r>
        <w:t xml:space="preserve"> </w:t>
      </w:r>
      <w:r>
        <w:t xml:space="preserve">highly implausible, and method 3 takes this into account.</w:t>
      </w:r>
    </w:p>
    <w:tbl>
      <w:tblPr>
        <w:tblStyle w:val="Table"/>
        <w:tblW w:type="pct" w:w="5000"/>
        <w:tblLook w:firstRow="0" w:lastRow="0" w:firstColumn="0" w:lastColumn="0" w:noHBand="0" w:noVBand="0" w:val="0000"/>
        <w:jc w:val="start"/>
        <w:tblLayout w:type="fixed"/>
      </w:tblPr>
      <w:tblGrid>
        <w:gridCol w:w="7920"/>
      </w:tblGrid>
      <w:tr>
        <w:tc>
          <w:tcPr/>
          <w:bookmarkStart w:id="43" w:name="fig-slidingtemplate2"/>
          <w:p>
            <w:pPr>
              <w:pStyle w:val="Compact"/>
              <w:jc w:val="center"/>
            </w:pPr>
            <w:r>
              <w:drawing>
                <wp:inline>
                  <wp:extent cx="5334000" cy="1778000"/>
                  <wp:effectExtent b="0" l="0" r="0" t="0"/>
                  <wp:docPr descr="" title="" id="41" name="Picture"/>
                  <a:graphic>
                    <a:graphicData uri="http://schemas.openxmlformats.org/drawingml/2006/picture">
                      <pic:pic>
                        <pic:nvPicPr>
                          <pic:cNvPr descr="Re_introducing_the_PSTM_files/figure-docx/fig-slidingtemplate2-1.png" id="42" name="Picture"/>
                          <pic:cNvPicPr>
                            <a:picLocks noChangeArrowheads="1" noChangeAspect="1"/>
                          </pic:cNvPicPr>
                        </pic:nvPicPr>
                        <pic:blipFill>
                          <a:blip r:embed="rId40"/>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A formant input</w:t>
            </w:r>
            <w:r>
              <w:t xml:space="preserve"> </w:t>
            </w:r>
            <w:r>
              <w:t xml:space="preserve">“</w:t>
            </w:r>
            <w:r>
              <w:t xml:space="preserve">x</w:t>
            </w:r>
            <w:r>
              <w:t xml:space="preserve">”</w:t>
            </w:r>
            <w:r>
              <w:t xml:space="preserve">, relative to four possible ways of sliding the dialect template, corresponding to four different values of</w:t>
            </w:r>
            <w:r>
              <w:t xml:space="preserve"> </w:t>
            </w:r>
            <m:oMath>
              <m:sSub>
                <m:e>
                  <m:acc>
                    <m:accPr>
                      <m:chr m:val="̂"/>
                    </m:accPr>
                    <m:e>
                      <m:r>
                        <m:t>ψ</m:t>
                      </m:r>
                    </m:e>
                  </m:acc>
                </m:e>
                <m:sub>
                  <m:r>
                    <m:t>s</m:t>
                  </m:r>
                </m:sub>
              </m:sSub>
            </m:oMath>
            <w:r>
              <w:t xml:space="preserve">. The template</w:t>
            </w:r>
            <w:r>
              <w:t xml:space="preserve"> </w:t>
            </w:r>
            <w:r>
              <w:t xml:space="preserve">‘</w:t>
            </w:r>
            <w:r>
              <w:t xml:space="preserve">slides</w:t>
            </w:r>
            <w:r>
              <w:t xml:space="preserve">’</w:t>
            </w:r>
            <w:r>
              <w:t xml:space="preserve"> </w:t>
            </w:r>
            <w:r>
              <w:t xml:space="preserve">along lines parallel to</w:t>
            </w:r>
            <w:r>
              <w:t xml:space="preserve"> </w:t>
            </w:r>
            <m:oMath>
              <m:r>
                <m:t>G</m:t>
              </m:r>
              <m:r>
                <m:t>1</m:t>
              </m:r>
              <m:r>
                <m:rPr>
                  <m:sty m:val="p"/>
                </m:rPr>
                <m:t>=</m:t>
              </m:r>
              <m:r>
                <m:t>G</m:t>
              </m:r>
              <m:r>
                <m:t>2</m:t>
              </m:r>
            </m:oMath>
            <w:r>
              <w:t xml:space="preserve">, indicated on the figure. (b) Alternatively, the vowel can be thought of</w:t>
            </w:r>
            <w:r>
              <w:t xml:space="preserve"> </w:t>
            </w:r>
            <w:r>
              <w:t xml:space="preserve">‘</w:t>
            </w:r>
            <w:r>
              <w:t xml:space="preserve">sliding</w:t>
            </w:r>
            <w:r>
              <w:t xml:space="preserve">’</w:t>
            </w:r>
            <w:r>
              <w:t xml:space="preserve"> </w:t>
            </w:r>
            <w:r>
              <w:t xml:space="preserve">across the normalized template. The line indicates the possible interpretations of the point in (a), ellipses enclose one standard deviation. Points indicate the best possible locations for /ɑ/ (1), /ʌ/ (4), /c/ (3), and /o/ (4) according to method 2. These interpretations correspond to the different vowel spaces in (a). (c) Posterior distributions of</w:t>
            </w:r>
            <w:r>
              <w:t xml:space="preserve"> </w:t>
            </w:r>
            <m:oMath>
              <m:sSub>
                <m:e>
                  <m:r>
                    <m:t>ψ</m:t>
                  </m:r>
                </m:e>
                <m:sub>
                  <m:r>
                    <m:t>s</m:t>
                  </m:r>
                </m:sub>
              </m:sSub>
            </m:oMath>
            <w:r>
              <w:t xml:space="preserve"> </w:t>
            </w:r>
            <w:r>
              <w:t xml:space="preserve">given different vowel categories. Because the prior in method 2 exerts no influence, these posteriors are proportional to the likelihood:</w:t>
            </w:r>
            <w:r>
              <w:t xml:space="preserve"> </w:t>
            </w:r>
            <m:oMath>
              <m:r>
                <m:t>P</m:t>
              </m:r>
              <m:d>
                <m:dPr>
                  <m:begChr m:val="("/>
                  <m:endChr m:val=")"/>
                  <m:sepChr m:val=""/>
                  <m:grow/>
                </m:dPr>
                <m:e>
                  <m:sSub>
                    <m:e>
                      <m:acc>
                        <m:accPr>
                          <m:chr m:val="⃗"/>
                        </m:accPr>
                        <m:e>
                          <m:r>
                            <m:t>G</m:t>
                          </m:r>
                        </m:e>
                      </m:acc>
                    </m:e>
                    <m:sub>
                      <m:r>
                        <m:t>x</m:t>
                      </m:r>
                    </m:sub>
                  </m:sSub>
                  <m:r>
                    <m:rPr>
                      <m:sty m:val="p"/>
                    </m:rPr>
                    <m:t>|</m:t>
                  </m:r>
                  <m:sSub>
                    <m:e>
                      <m:r>
                        <m:rPr>
                          <m:nor/>
                          <m:sty m:val="p"/>
                        </m:rPr>
                        <m:t>v</m:t>
                      </m:r>
                    </m:e>
                    <m:sub>
                      <m:r>
                        <m:t>i</m:t>
                      </m:r>
                    </m:sub>
                  </m:sSub>
                  <m:r>
                    <m:rPr>
                      <m:sty m:val="p"/>
                    </m:rPr>
                    <m:t>,</m:t>
                  </m:r>
                  <m:sSub>
                    <m:e>
                      <m:acc>
                        <m:accPr>
                          <m:chr m:val="̂"/>
                        </m:accPr>
                        <m:e>
                          <m:r>
                            <m:t>ψ</m:t>
                          </m:r>
                        </m:e>
                      </m:acc>
                    </m:e>
                    <m:sub>
                      <m:r>
                        <m:t>s</m:t>
                      </m:r>
                    </m:sub>
                  </m:sSub>
                </m:e>
              </m:d>
            </m:oMath>
            <w:r>
              <w:t xml:space="preserve">. Thus, these curves represent the values of the densities of the distributions in (b) along the line. These likelihoods highlight the relationship between categorization and</w:t>
            </w:r>
            <w:r>
              <w:t xml:space="preserve"> </w:t>
            </w:r>
            <m:oMath>
              <m:sSub>
                <m:e>
                  <m:r>
                    <m:t>ψ</m:t>
                  </m:r>
                </m:e>
                <m:sub>
                  <m:r>
                    <m:t>s</m:t>
                  </m:r>
                </m:sub>
              </m:sSub>
            </m:oMath>
            <w:r>
              <w:t xml:space="preserve"> </w:t>
            </w:r>
            <w:r>
              <w:t xml:space="preserve">estimation.</w:t>
            </w:r>
          </w:p>
          <w:bookmarkEnd w:id="43"/>
        </w:tc>
      </w:tr>
    </w:tbl>
    <w:bookmarkEnd w:id="44"/>
    <w:bookmarkStart w:id="51" w:name="Xdc2157e4d5b9d71dc91035c1cde956ca07baea9"/>
    <w:p>
      <w:pPr>
        <w:pStyle w:val="Heading2"/>
      </w:pPr>
      <w:r>
        <w:t xml:space="preserve">4.3 Method 3: Informative expectations about</w:t>
      </w:r>
      <w:r>
        <w:t xml:space="preserve"> </w:t>
      </w:r>
      <m:oMath>
        <m:sSub>
          <m:e>
            <m:r>
              <m:t>ψ</m:t>
            </m:r>
          </m:e>
          <m:sub>
            <m:r>
              <m:t>s</m:t>
            </m:r>
          </m:sub>
        </m:sSub>
      </m:oMath>
    </w:p>
    <w:p>
      <w:pPr>
        <w:pStyle w:val="FirstParagraph"/>
      </w:pPr>
      <w:r>
        <w:t xml:space="preserve">Method 3 (</w:t>
      </w:r>
      <w:hyperlink w:anchor="eq-method3">
        <w:r>
          <w:rPr>
            <w:rStyle w:val="Hyperlink"/>
          </w:rPr>
          <w:t xml:space="preserve">Equation 12</w:t>
        </w:r>
      </w:hyperlink>
      <w:r>
        <w:t xml:space="preserve">) introduces stronger constraints on listeners’ prior expectations for</w:t>
      </w:r>
      <w:r>
        <w:t xml:space="preserve"> </w:t>
      </w:r>
      <m:oMath>
        <m:sSub>
          <m:e>
            <m:r>
              <m:t>ψ</m:t>
            </m:r>
          </m:e>
          <m:sub>
            <m:r>
              <m:t>s</m:t>
            </m:r>
          </m:sub>
        </m:sSub>
      </m:oMath>
      <w:r>
        <w:t xml:space="preserve"> </w:t>
      </w:r>
      <w:r>
        <w:t xml:space="preserve">by assuming that</w:t>
      </w:r>
      <w:r>
        <w:t xml:space="preserve"> </w:t>
      </w:r>
      <m:oMath>
        <m:sSub>
          <m:e>
            <m:r>
              <m:t>ψ</m:t>
            </m:r>
          </m:e>
          <m:sub>
            <m:r>
              <m:t>s</m:t>
            </m:r>
          </m:sub>
        </m:sSub>
      </m:oMath>
      <w:r>
        <w:t xml:space="preserve"> </w:t>
      </w:r>
      <w:r>
        <w:t xml:space="preserve">is normally distributed across speakers, with a mean</w:t>
      </w:r>
      <w:r>
        <w:t xml:space="preserve"> </w:t>
      </w:r>
      <m:oMath>
        <m:sSub>
          <m:e>
            <m:r>
              <m:t>μ</m:t>
            </m:r>
          </m:e>
          <m:sub>
            <m:sSub>
              <m:e>
                <m:r>
                  <m:t>ψ</m:t>
                </m:r>
              </m:e>
              <m:sub>
                <m:r>
                  <m:t>s</m:t>
                </m:r>
              </m:sub>
            </m:sSub>
          </m:sub>
        </m:sSub>
      </m:oMath>
      <w:r>
        <w:t xml:space="preserve"> </w:t>
      </w:r>
      <w:r>
        <w:t xml:space="preserve">and standard deviation</w:t>
      </w:r>
      <w:r>
        <w:t xml:space="preserve"> </w:t>
      </w:r>
      <m:oMath>
        <m:sSub>
          <m:e>
            <m:r>
              <m:t>σ</m:t>
            </m:r>
          </m:e>
          <m:sub>
            <m:sSub>
              <m:e>
                <m:r>
                  <m:t>ψ</m:t>
                </m:r>
              </m:e>
              <m:sub>
                <m:r>
                  <m:t>s</m:t>
                </m:r>
              </m:sub>
            </m:sSub>
          </m:sub>
        </m:sSub>
      </m:oMath>
      <w:r>
        <w:t xml:space="preserve"> </w:t>
      </w:r>
      <w:r>
        <w:t xml:space="preserve">based on the</w:t>
      </w:r>
      <w:r>
        <w:t xml:space="preserve"> </w:t>
      </w:r>
      <m:oMath>
        <m:sSub>
          <m:e>
            <m:r>
              <m:t>ψ</m:t>
            </m:r>
          </m:e>
          <m:sub>
            <m:r>
              <m:t>s</m:t>
            </m:r>
          </m:sub>
        </m:sSub>
      </m:oMath>
      <w:r>
        <w:t xml:space="preserve"> </w:t>
      </w:r>
      <w:r>
        <w:t xml:space="preserve">that the listener previously observed across speakers. This means that values of</w:t>
      </w:r>
      <w:r>
        <w:t xml:space="preserve"> </w:t>
      </w:r>
      <m:oMath>
        <m:sSub>
          <m:e>
            <m:acc>
              <m:accPr>
                <m:chr m:val="̂"/>
              </m:accPr>
              <m:e>
                <m:r>
                  <m:t>ψ</m:t>
                </m:r>
              </m:e>
            </m:acc>
          </m:e>
          <m:sub>
            <m:r>
              <m:t>s</m:t>
            </m:r>
            <m:r>
              <m:rPr>
                <m:sty m:val="p"/>
              </m:rPr>
              <m:t>,</m:t>
            </m:r>
            <m:r>
              <m:rPr>
                <m:nor/>
                <m:sty m:val="p"/>
              </m:rPr>
              <m:t>v</m:t>
            </m:r>
          </m:sub>
        </m:sSub>
      </m:oMath>
      <w:r>
        <w:t xml:space="preserve"> </w:t>
      </w:r>
      <w:r>
        <w:t xml:space="preserve">that are closer to the population mean will be considered more generally plausible by that listener.</w:t>
      </w:r>
    </w:p>
    <w:p>
      <w:pPr>
        <w:pStyle w:val="BodyText"/>
      </w:pPr>
      <w:bookmarkStart w:id="45" w:name="eq-method3"/>
      <m:oMathPara>
        <m:oMathParaPr>
          <m:jc m:val="center"/>
        </m:oMathParaPr>
        <m:oMath>
          <m:m>
            <m:mPr>
              <m:baseJc m:val="center"/>
              <m:plcHide m:val="on"/>
              <m:mcs>
                <m:mc>
                  <m:mcPr>
                    <m:mcJc m:val="right"/>
                    <m:count m:val="1"/>
                  </m:mcPr>
                </m:mc>
                <m:mc>
                  <m:mcPr>
                    <m:mcJc m:val="left"/>
                    <m:count m:val="1"/>
                  </m:mcPr>
                </m:mc>
              </m:mcs>
            </m:mPr>
            <m:mr>
              <m:e>
                <m:sSub>
                  <m:e>
                    <m:acc>
                      <m:accPr>
                        <m:chr m:val="̂"/>
                      </m:accPr>
                      <m:e>
                        <m:r>
                          <m:t>ψ</m:t>
                        </m:r>
                      </m:e>
                    </m:acc>
                  </m:e>
                  <m:sub>
                    <m:r>
                      <m:t>s</m:t>
                    </m:r>
                    <m:r>
                      <m:rPr>
                        <m:sty m:val="p"/>
                      </m:rPr>
                      <m:t>,</m:t>
                    </m:r>
                    <m:r>
                      <m:rPr>
                        <m:nor/>
                        <m:sty m:val="p"/>
                      </m:rPr>
                      <m:t>v</m:t>
                    </m:r>
                  </m:sub>
                </m:sSub>
              </m:e>
              <m:e>
                <m:box>
                  <m:boxPr>
                    <m:opEmu m:val="on"/>
                  </m:boxPr>
                  <m:e>
                    <m:r>
                      <m:rPr>
                        <m:sty m:val="p"/>
                      </m:rPr>
                      <m:t>:=</m:t>
                    </m:r>
                  </m:e>
                </m:box>
                <m:limLow>
                  <m:e>
                    <m:r>
                      <m:rPr>
                        <m:sty m:val="p"/>
                      </m:rPr>
                      <m:t>arg</m:t>
                    </m:r>
                    <m:r>
                      <m:rPr>
                        <m:sty m:val="p"/>
                      </m:rPr>
                      <m:t>max</m:t>
                    </m:r>
                  </m:e>
                  <m:lim>
                    <m:sSub>
                      <m:e>
                        <m:r>
                          <m:t>ψ</m:t>
                        </m:r>
                      </m:e>
                      <m:sub>
                        <m:r>
                          <m:t>s</m:t>
                        </m:r>
                      </m:sub>
                    </m:sSub>
                  </m:lim>
                </m:limLow>
                <m:d>
                  <m:dPr>
                    <m:begChr m:val="["/>
                    <m:endChr m:val="]"/>
                    <m:sepChr m:val=""/>
                    <m:grow/>
                  </m:dPr>
                  <m:e>
                    <m:r>
                      <m:t>P</m:t>
                    </m:r>
                    <m:d>
                      <m:dPr>
                        <m:begChr m:val="("/>
                        <m:endChr m:val=")"/>
                        <m:sepChr m:val=""/>
                        <m:grow/>
                      </m:dPr>
                      <m:e>
                        <m:acc>
                          <m:accPr>
                            <m:chr m:val="⃗"/>
                          </m:accPr>
                          <m:e>
                            <m:r>
                              <m:t>G</m:t>
                            </m:r>
                          </m:e>
                        </m:acc>
                        <m:r>
                          <m:rPr>
                            <m:sty m:val="p"/>
                          </m:rPr>
                          <m:t>|</m:t>
                        </m:r>
                        <m:r>
                          <m:rPr>
                            <m:nor/>
                            <m:sty m:val="p"/>
                          </m:rPr>
                          <m:t>v</m:t>
                        </m:r>
                        <m:r>
                          <m:rPr>
                            <m:sty m:val="p"/>
                          </m:rPr>
                          <m:t>,</m:t>
                        </m:r>
                        <m:sSub>
                          <m:e>
                            <m:r>
                              <m:t>ψ</m:t>
                            </m:r>
                          </m:e>
                          <m:sub>
                            <m:r>
                              <m:t>s</m:t>
                            </m:r>
                          </m:sub>
                        </m:sSub>
                      </m:e>
                    </m:d>
                    <m:r>
                      <m:rPr>
                        <m:sty m:val="p"/>
                      </m:rPr>
                      <m:t>⋅</m:t>
                    </m:r>
                    <m:r>
                      <m:t>P</m:t>
                    </m:r>
                    <m:d>
                      <m:dPr>
                        <m:begChr m:val="("/>
                        <m:endChr m:val=")"/>
                        <m:sepChr m:val=""/>
                        <m:grow/>
                      </m:dPr>
                      <m:e>
                        <m:sSub>
                          <m:e>
                            <m:r>
                              <m:t>ψ</m:t>
                            </m:r>
                          </m:e>
                          <m:sub>
                            <m:r>
                              <m:t>s</m:t>
                            </m:r>
                          </m:sub>
                        </m:sSub>
                      </m:e>
                    </m:d>
                    <m:r>
                      <m:rPr>
                        <m:sty m:val="p"/>
                      </m:rPr>
                      <m:t>⋅</m:t>
                    </m:r>
                    <m:r>
                      <m:t>P</m:t>
                    </m:r>
                    <m:d>
                      <m:dPr>
                        <m:begChr m:val="("/>
                        <m:endChr m:val=")"/>
                        <m:sepChr m:val=""/>
                        <m:grow/>
                      </m:dPr>
                      <m:e>
                        <m:r>
                          <m:rPr>
                            <m:nor/>
                            <m:sty m:val="p"/>
                          </m:rPr>
                          <m:t>v</m:t>
                        </m:r>
                      </m:e>
                    </m:d>
                  </m:e>
                </m:d>
              </m:e>
            </m:mr>
            <m:mr>
              <m:e>
                <m:r>
                  <m:t> </m:t>
                </m:r>
              </m:e>
              <m:e>
                <m:box>
                  <m:boxPr>
                    <m:opEmu m:val="on"/>
                  </m:boxPr>
                  <m:e>
                    <m:r>
                      <m:rPr>
                        <m:sty m:val="p"/>
                      </m:rPr>
                      <m:t>:=</m:t>
                    </m:r>
                  </m:e>
                </m:box>
                <m:limLow>
                  <m:e>
                    <m:r>
                      <m:rPr>
                        <m:sty m:val="p"/>
                      </m:rPr>
                      <m:t>arg</m:t>
                    </m:r>
                    <m:r>
                      <m:rPr>
                        <m:sty m:val="p"/>
                      </m:rPr>
                      <m:t>max</m:t>
                    </m:r>
                  </m:e>
                  <m:lim>
                    <m:sSub>
                      <m:e>
                        <m:r>
                          <m:t>ψ</m:t>
                        </m:r>
                      </m:e>
                      <m:sub>
                        <m:r>
                          <m:t>s</m:t>
                        </m:r>
                      </m:sub>
                    </m:sSub>
                  </m:lim>
                </m:limLow>
                <m:d>
                  <m:dPr>
                    <m:begChr m:val="["/>
                    <m:endChr m:val="]"/>
                    <m:sepChr m:val=""/>
                    <m:grow/>
                  </m:dPr>
                  <m:e>
                    <m:r>
                      <m:t>P</m:t>
                    </m:r>
                    <m:d>
                      <m:dPr>
                        <m:begChr m:val="("/>
                        <m:endChr m:val=")"/>
                        <m:sepChr m:val=""/>
                        <m:grow/>
                      </m:dPr>
                      <m:e>
                        <m:acc>
                          <m:accPr>
                            <m:chr m:val="⃗"/>
                          </m:accPr>
                          <m:e>
                            <m:r>
                              <m:t>G</m:t>
                            </m:r>
                          </m:e>
                        </m:acc>
                        <m:r>
                          <m:rPr>
                            <m:sty m:val="p"/>
                          </m:rPr>
                          <m:t>|</m:t>
                        </m:r>
                        <m:r>
                          <m:rPr>
                            <m:nor/>
                            <m:sty m:val="p"/>
                          </m:rPr>
                          <m:t>v</m:t>
                        </m:r>
                        <m:r>
                          <m:rPr>
                            <m:sty m:val="p"/>
                          </m:rPr>
                          <m:t>,</m:t>
                        </m:r>
                        <m:sSub>
                          <m:e>
                            <m:r>
                              <m:t>ψ</m:t>
                            </m:r>
                          </m:e>
                          <m:sub>
                            <m:r>
                              <m:t>s</m:t>
                            </m:r>
                          </m:sub>
                        </m:sSub>
                      </m:e>
                    </m:d>
                    <m:r>
                      <m:rPr>
                        <m:sty m:val="p"/>
                      </m:rPr>
                      <m:t>⋅</m:t>
                    </m:r>
                    <m:r>
                      <m:rPr>
                        <m:nor/>
                        <m:sty m:val="p"/>
                      </m:rPr>
                      <m:t>Normal</m:t>
                    </m:r>
                    <m:d>
                      <m:dPr>
                        <m:begChr m:val="("/>
                        <m:endChr m:val=")"/>
                        <m:sepChr m:val=""/>
                        <m:grow/>
                      </m:dPr>
                      <m:e>
                        <m:sSub>
                          <m:e>
                            <m:r>
                              <m:t>ψ</m:t>
                            </m:r>
                          </m:e>
                          <m:sub>
                            <m:r>
                              <m:t>s</m:t>
                            </m:r>
                          </m:sub>
                        </m:sSub>
                        <m:r>
                          <m:rPr>
                            <m:sty m:val="p"/>
                          </m:rPr>
                          <m:t>|</m:t>
                        </m:r>
                        <m:sSub>
                          <m:e>
                            <m:acc>
                              <m:accPr>
                                <m:chr m:val="̂"/>
                              </m:accPr>
                              <m:e>
                                <m:r>
                                  <m:t>μ</m:t>
                                </m:r>
                              </m:e>
                            </m:acc>
                          </m:e>
                          <m:sub>
                            <m:sSub>
                              <m:e>
                                <m:r>
                                  <m:t>ψ</m:t>
                                </m:r>
                              </m:e>
                              <m:sub>
                                <m:r>
                                  <m:t>s</m:t>
                                </m:r>
                              </m:sub>
                            </m:sSub>
                          </m:sub>
                        </m:sSub>
                        <m:r>
                          <m:rPr>
                            <m:sty m:val="p"/>
                          </m:rPr>
                          <m:t>,</m:t>
                        </m:r>
                        <m:sSub>
                          <m:e>
                            <m:acc>
                              <m:accPr>
                                <m:chr m:val="̂"/>
                              </m:accPr>
                              <m:e>
                                <m:r>
                                  <m:t>σ</m:t>
                                </m:r>
                              </m:e>
                            </m:acc>
                          </m:e>
                          <m:sub>
                            <m:sSub>
                              <m:e>
                                <m:r>
                                  <m:t>ψ</m:t>
                                </m:r>
                              </m:e>
                              <m:sub>
                                <m:r>
                                  <m:t>s</m:t>
                                </m:r>
                              </m:sub>
                            </m:sSub>
                          </m:sub>
                        </m:sSub>
                      </m:e>
                    </m:d>
                    <m:r>
                      <m:rPr>
                        <m:sty m:val="p"/>
                      </m:rPr>
                      <m:t>⋅</m:t>
                    </m:r>
                    <m:r>
                      <m:t>P</m:t>
                    </m:r>
                    <m:d>
                      <m:dPr>
                        <m:begChr m:val="("/>
                        <m:endChr m:val=")"/>
                        <m:sepChr m:val=""/>
                        <m:grow/>
                      </m:dPr>
                      <m:e>
                        <m:r>
                          <m:rPr>
                            <m:nor/>
                            <m:sty m:val="p"/>
                          </m:rPr>
                          <m:t>v</m:t>
                        </m:r>
                      </m:e>
                    </m:d>
                  </m:e>
                </m:d>
              </m:e>
            </m:mr>
          </m:m>
          <m:r>
            <m:t>  </m:t>
          </m:r>
          <m:d>
            <m:dPr>
              <m:begChr m:val="("/>
              <m:endChr m:val=")"/>
              <m:sepChr m:val=""/>
              <m:grow/>
            </m:dPr>
            <m:e>
              <m:r>
                <m:t>12</m:t>
              </m:r>
            </m:e>
          </m:d>
        </m:oMath>
      </m:oMathPara>
      <w:bookmarkEnd w:id="45"/>
    </w:p>
    <w:p>
      <w:pPr>
        <w:pStyle w:val="FirstParagraph"/>
      </w:pPr>
      <w:r>
        <w:t xml:space="preserve">Just like the multivariate Normal distributions for the vowel templates, estimates of</w:t>
      </w:r>
      <w:r>
        <w:t xml:space="preserve"> </w:t>
      </w:r>
      <m:oMath>
        <m:sSub>
          <m:e>
            <m:r>
              <m:t>μ</m:t>
            </m:r>
          </m:e>
          <m:sub>
            <m:sSub>
              <m:e>
                <m:r>
                  <m:t>ψ</m:t>
                </m:r>
              </m:e>
              <m:sub>
                <m:r>
                  <m:t>s</m:t>
                </m:r>
              </m:sub>
            </m:sSub>
          </m:sub>
        </m:sSub>
      </m:oMath>
      <w:r>
        <w:t xml:space="preserve"> </w:t>
      </w:r>
      <w:r>
        <w:t xml:space="preserve">and</w:t>
      </w:r>
      <w:r>
        <w:t xml:space="preserve"> </w:t>
      </w:r>
      <m:oMath>
        <m:sSub>
          <m:e>
            <m:r>
              <m:t>σ</m:t>
            </m:r>
          </m:e>
          <m:sub>
            <m:sSub>
              <m:e>
                <m:r>
                  <m:t>ψ</m:t>
                </m:r>
              </m:e>
              <m:sub>
                <m:r>
                  <m:t>s</m:t>
                </m:r>
              </m:sub>
            </m:sSub>
          </m:sub>
        </m:sSub>
      </m:oMath>
      <w:r>
        <w:t xml:space="preserve"> </w:t>
      </w:r>
      <w:r>
        <w:t xml:space="preserve">can be obtained from a reasonably-sized database.</w:t>
      </w:r>
      <w:r>
        <w:t xml:space="preserve"> </w:t>
      </w:r>
      <w:r>
        <w:t xml:space="preserve">Nearey and Assmann (2007)</w:t>
      </w:r>
      <w:r>
        <w:t xml:space="preserve"> </w:t>
      </w:r>
      <w:r>
        <w:t xml:space="preserve">suggest</w:t>
      </w:r>
      <w:r>
        <w:t xml:space="preserve"> </w:t>
      </w:r>
      <m:oMath>
        <m:sSub>
          <m:e>
            <m:acc>
              <m:accPr>
                <m:chr m:val="̂"/>
              </m:accPr>
              <m:e>
                <m:r>
                  <m:t>μ</m:t>
                </m:r>
              </m:e>
            </m:acc>
          </m:e>
          <m:sub>
            <m:sSub>
              <m:e>
                <m:r>
                  <m:t>ψ</m:t>
                </m:r>
              </m:e>
              <m:sub>
                <m:r>
                  <m:t>s</m:t>
                </m:r>
              </m:sub>
            </m:sSub>
          </m:sub>
        </m:sSub>
        <m:r>
          <m:rPr>
            <m:sty m:val="p"/>
          </m:rPr>
          <m:t>=</m:t>
        </m:r>
        <m:r>
          <m:t>7.23</m:t>
        </m:r>
      </m:oMath>
      <w:r>
        <w:t xml:space="preserve"> </w:t>
      </w:r>
      <w:r>
        <w:t xml:space="preserve">and</w:t>
      </w:r>
      <w:r>
        <w:t xml:space="preserve"> </w:t>
      </w:r>
      <m:oMath>
        <m:sSub>
          <m:e>
            <m:acc>
              <m:accPr>
                <m:chr m:val="̂"/>
              </m:accPr>
              <m:e>
                <m:r>
                  <m:t>σ</m:t>
                </m:r>
              </m:e>
            </m:acc>
          </m:e>
          <m:sub>
            <m:sSub>
              <m:e>
                <m:r>
                  <m:t>ψ</m:t>
                </m:r>
              </m:e>
              <m:sub>
                <m:r>
                  <m:t>s</m:t>
                </m:r>
              </m:sub>
            </m:sSub>
          </m:sub>
        </m:sSub>
        <m:r>
          <m:rPr>
            <m:sty m:val="p"/>
          </m:rPr>
          <m:t>=</m:t>
        </m:r>
        <m:r>
          <m:t>0.128</m:t>
        </m:r>
      </m:oMath>
      <w:r>
        <w:t xml:space="preserve"> </w:t>
      </w:r>
      <w:r>
        <w:t xml:space="preserve">based a database of 265 speakers of US English (86 adult females, 88 adult males, 91 children) from three dialect regions</w:t>
      </w:r>
      <w:r>
        <w:t xml:space="preserve"> </w:t>
      </w:r>
      <w:r>
        <w:t xml:space="preserve">(Hillenbrand et al. 1995; Peterson and Barney 1952; Assmann and Katz 2000)</w:t>
      </w:r>
      <w:r>
        <w:t xml:space="preserve">.</w:t>
      </w:r>
      <w:r>
        <w:rPr>
          <w:rStyle w:val="FootnoteReference"/>
        </w:rPr>
        <w:footnoteReference w:id="46"/>
      </w:r>
      <w:r>
        <w:t xml:space="preserve"> </w:t>
      </w:r>
      <w:r>
        <w:t xml:space="preserve">The two leftmost columns of</w:t>
      </w:r>
      <w:r>
        <w:t xml:space="preserve"> </w:t>
      </w:r>
      <w:hyperlink w:anchor="fig-slidingtemplate3">
        <w:r>
          <w:rPr>
            <w:rStyle w:val="Hyperlink"/>
          </w:rPr>
          <w:t xml:space="preserve">Figure 3</w:t>
        </w:r>
      </w:hyperlink>
      <w:r>
        <w:t xml:space="preserve"> </w:t>
      </w:r>
      <w:r>
        <w:t xml:space="preserve">compare methods 2 and 3, showing that posterior probabilities can be affected even by comparatively weak constraints on the prior of</w:t>
      </w:r>
      <w:r>
        <w:t xml:space="preserve"> </w:t>
      </w:r>
      <m:oMath>
        <m:sSub>
          <m:e>
            <m:r>
              <m:t>ψ</m:t>
            </m:r>
          </m:e>
          <m:sub>
            <m:r>
              <m:t>s</m:t>
            </m:r>
          </m:sub>
        </m:sSub>
      </m:oMath>
      <w:r>
        <w:t xml:space="preserve">. This includes the fact that a value of</w:t>
      </w:r>
      <w:r>
        <w:t xml:space="preserve"> </w:t>
      </w:r>
      <m:oMath>
        <m:sSub>
          <m:e>
            <m:acc>
              <m:accPr>
                <m:chr m:val="̂"/>
              </m:accPr>
              <m:e>
                <m:r>
                  <m:t>ψ</m:t>
                </m:r>
              </m:e>
            </m:acc>
          </m:e>
          <m:sub>
            <m:r>
              <m:t>s</m:t>
            </m:r>
          </m:sub>
        </m:sSub>
        <m:r>
          <m:rPr>
            <m:sty m:val="p"/>
          </m:rPr>
          <m:t>=</m:t>
        </m:r>
        <m:r>
          <m:t>7.64</m:t>
        </m:r>
      </m:oMath>
      <w:r>
        <w:t xml:space="preserve"> </w:t>
      </w:r>
      <w:r>
        <w:t xml:space="preserve">is</w:t>
      </w:r>
      <w:r>
        <w:t xml:space="preserve"> </w:t>
      </w:r>
      <w:r>
        <w:rPr>
          <w:iCs/>
          <w:i/>
        </w:rPr>
        <w:t xml:space="preserve">a priori</w:t>
      </w:r>
      <w:r>
        <w:t xml:space="preserve"> </w:t>
      </w:r>
      <w:r>
        <w:t xml:space="preserve">implausible.</w:t>
      </w:r>
    </w:p>
    <w:tbl>
      <w:tblPr>
        <w:tblStyle w:val="Table"/>
        <w:tblW w:type="pct" w:w="5000"/>
        <w:tblLook w:firstRow="0" w:lastRow="0" w:firstColumn="0" w:lastColumn="0" w:noHBand="0" w:noVBand="0" w:val="0000"/>
        <w:jc w:val="start"/>
        <w:tblLayout w:type="fixed"/>
      </w:tblPr>
      <w:tblGrid>
        <w:gridCol w:w="7920"/>
      </w:tblGrid>
      <w:tr>
        <w:tc>
          <w:tcPr/>
          <w:bookmarkStart w:id="50" w:name="fig-slidingtemplate3"/>
          <w:p>
            <w:pPr>
              <w:pStyle w:val="Compact"/>
              <w:jc w:val="center"/>
            </w:pPr>
            <w:r>
              <w:drawing>
                <wp:inline>
                  <wp:extent cx="5334000" cy="2667000"/>
                  <wp:effectExtent b="0" l="0" r="0" t="0"/>
                  <wp:docPr descr="" title="" id="48" name="Picture"/>
                  <a:graphic>
                    <a:graphicData uri="http://schemas.openxmlformats.org/drawingml/2006/picture">
                      <pic:pic>
                        <pic:nvPicPr>
                          <pic:cNvPr descr="Re_introducing_the_PSTM_files/figure-docx/fig-slidingtemplate3-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of different methods (columns) to estimating the prior probability of</w:t>
            </w:r>
            <w:r>
              <w:t xml:space="preserve"> </w:t>
            </w:r>
            <m:oMath>
              <m:sSub>
                <m:e>
                  <m:r>
                    <m:t>ψ</m:t>
                  </m:r>
                </m:e>
                <m:sub>
                  <m:r>
                    <m:t>s</m:t>
                  </m:r>
                </m:sub>
              </m:sSub>
            </m:oMath>
            <w:r>
              <w:t xml:space="preserve">. (top) Likelihood of</w:t>
            </w:r>
            <w:r>
              <w:t xml:space="preserve"> </w:t>
            </w:r>
            <m:oMath>
              <m:sSub>
                <m:e>
                  <m:r>
                    <m:t>ψ</m:t>
                  </m:r>
                </m:e>
                <m:sub>
                  <m:r>
                    <m:t>s</m:t>
                  </m:r>
                </m:sub>
              </m:sSub>
            </m:oMath>
            <w:r>
              <w:t xml:space="preserve"> </w:t>
            </w:r>
            <w:r>
              <w:t xml:space="preserve">values given different vowel categories in</w:t>
            </w:r>
            <w:r>
              <w:t xml:space="preserve"> </w:t>
            </w:r>
            <w:hyperlink w:anchor="fig-slidingtemplate2">
              <w:r>
                <w:rPr>
                  <w:rStyle w:val="Hyperlink"/>
                </w:rPr>
                <w:t xml:space="preserve">Figure 2</w:t>
              </w:r>
            </w:hyperlink>
            <w:r>
              <w:t xml:space="preserve">. (middle) Prior distribution of</w:t>
            </w:r>
            <w:r>
              <w:t xml:space="preserve"> </w:t>
            </w:r>
            <m:oMath>
              <m:sSub>
                <m:e>
                  <m:r>
                    <m:t>ψ</m:t>
                  </m:r>
                </m:e>
                <m:sub>
                  <m:r>
                    <m:t>s</m:t>
                  </m:r>
                </m:sub>
              </m:sSub>
            </m:oMath>
            <w:r>
              <w:t xml:space="preserve">. (bottom) Posterior probabilities of</w:t>
            </w:r>
            <w:r>
              <w:t xml:space="preserve"> </w:t>
            </w:r>
            <m:oMath>
              <m:sSub>
                <m:e>
                  <m:r>
                    <m:t>ψ</m:t>
                  </m:r>
                </m:e>
                <m:sub>
                  <m:r>
                    <m:t>s</m:t>
                  </m:r>
                </m:sub>
              </m:sSub>
            </m:oMath>
            <w:r>
              <w:t xml:space="preserve"> </w:t>
            </w:r>
            <w:r>
              <w:t xml:space="preserve">conditional on vowel category resulting from combining the likelihood and prior in each column. The most probable</w:t>
            </w:r>
            <w:r>
              <w:t xml:space="preserve"> </w:t>
            </w:r>
            <m:oMath>
              <m:sSub>
                <m:e>
                  <m:acc>
                    <m:accPr>
                      <m:chr m:val="̂"/>
                    </m:accPr>
                    <m:e>
                      <m:r>
                        <m:t>ψ</m:t>
                      </m:r>
                    </m:e>
                  </m:acc>
                </m:e>
                <m:sub>
                  <m:r>
                    <m:t>s</m:t>
                  </m:r>
                </m:sub>
              </m:sSub>
            </m:oMath>
            <w:r>
              <w:t xml:space="preserve"> </w:t>
            </w:r>
            <w:r>
              <w:t xml:space="preserve">(location along x-axis of highest peak), and vowel category (color of curve with highest peak), changes as a function of the selected prior, and the vowel’s</w:t>
            </w:r>
            <w:r>
              <w:t xml:space="preserve"> </w:t>
            </w:r>
            <m:oMath>
              <m:r>
                <m:t>f</m:t>
              </m:r>
              <m:r>
                <m:t>0</m:t>
              </m:r>
            </m:oMath>
            <w:r>
              <w:t xml:space="preserve">.</w:t>
            </w:r>
          </w:p>
          <w:bookmarkEnd w:id="50"/>
        </w:tc>
      </w:tr>
    </w:tbl>
    <w:bookmarkEnd w:id="51"/>
    <w:bookmarkStart w:id="55" w:name="X4fd97fcded3d44de1b0f0e26c486906b034e458"/>
    <w:p>
      <w:pPr>
        <w:pStyle w:val="Heading2"/>
      </w:pPr>
      <w:r>
        <w:t xml:space="preserve">4.4 Method 6: Informative expectations about</w:t>
      </w:r>
      <w:r>
        <w:t xml:space="preserve"> </w:t>
      </w:r>
      <m:oMath>
        <m:sSub>
          <m:e>
            <m:r>
              <m:t>ψ</m:t>
            </m:r>
          </m:e>
          <m:sub>
            <m:r>
              <m:t>s</m:t>
            </m:r>
          </m:sub>
        </m:sSub>
      </m:oMath>
      <w:r>
        <w:t xml:space="preserve"> </w:t>
      </w:r>
      <w:r>
        <w:t xml:space="preserve">conditional on</w:t>
      </w:r>
      <w:r>
        <w:t xml:space="preserve"> </w:t>
      </w:r>
      <m:oMath>
        <m:r>
          <m:t>f</m:t>
        </m:r>
        <m:r>
          <m:t>0</m:t>
        </m:r>
      </m:oMath>
    </w:p>
    <w:p>
      <w:pPr>
        <w:pStyle w:val="FirstParagraph"/>
      </w:pPr>
      <w:r>
        <w:t xml:space="preserve">Method 6 further strengthens the constraints on listeners’ prior expectations for</w:t>
      </w:r>
      <w:r>
        <w:t xml:space="preserve"> </w:t>
      </w:r>
      <m:oMath>
        <m:sSub>
          <m:e>
            <m:r>
              <m:t>ψ</m:t>
            </m:r>
          </m:e>
          <m:sub>
            <m:r>
              <m:t>s</m:t>
            </m:r>
          </m:sub>
        </m:sSub>
      </m:oMath>
      <w:r>
        <w:t xml:space="preserve"> </w:t>
      </w:r>
      <w:r>
        <w:t xml:space="preserve">by conditioning those expectations on talkers’</w:t>
      </w:r>
      <w:r>
        <w:t xml:space="preserve"> </w:t>
      </w:r>
      <m:oMath>
        <m:r>
          <m:t>f</m:t>
        </m:r>
        <m:r>
          <m:t>0</m:t>
        </m:r>
      </m:oMath>
      <w:r>
        <w:t xml:space="preserve">. Specifically, method 6 finds the MAP estimate of</w:t>
      </w:r>
      <w:r>
        <w:t xml:space="preserve"> </w:t>
      </w:r>
      <m:oMath>
        <m:sSub>
          <m:e>
            <m:r>
              <m:t>ψ</m:t>
            </m:r>
          </m:e>
          <m:sub>
            <m:r>
              <m:t>s</m:t>
            </m:r>
          </m:sub>
        </m:sSub>
      </m:oMath>
      <w:r>
        <w:t xml:space="preserve"> </w:t>
      </w:r>
      <w:r>
        <w:t xml:space="preserve">while considering both the likelihood of the observed log-transformed formant input</w:t>
      </w:r>
      <w:r>
        <w:t xml:space="preserve"> </w:t>
      </w:r>
      <m:oMath>
        <m:acc>
          <m:accPr>
            <m:chr m:val="⃗"/>
          </m:accPr>
          <m:e>
            <m:r>
              <m:t>G</m:t>
            </m:r>
          </m:e>
        </m:acc>
      </m:oMath>
      <w:r>
        <w:t xml:space="preserve"> </w:t>
      </w:r>
      <w:r>
        <w:t xml:space="preserve">and the likelihood of the observed</w:t>
      </w:r>
      <w:r>
        <w:t xml:space="preserve"> </w:t>
      </w:r>
      <m:oMath>
        <m:r>
          <m:t>g</m:t>
        </m:r>
        <m:r>
          <m:t>0</m:t>
        </m:r>
        <m:box>
          <m:boxPr>
            <m:opEmu m:val="on"/>
          </m:boxPr>
          <m:e>
            <m:r>
              <m:rPr>
                <m:sty m:val="p"/>
              </m:rPr>
              <m:t>:=</m:t>
            </m:r>
          </m:e>
        </m:box>
        <m:r>
          <m:rPr>
            <m:sty m:val="p"/>
          </m:rPr>
          <m:t>log</m:t>
        </m:r>
        <m:d>
          <m:dPr>
            <m:begChr m:val="("/>
            <m:endChr m:val=")"/>
            <m:sepChr m:val=""/>
            <m:grow/>
          </m:dPr>
          <m:e>
            <m:r>
              <m:t>f</m:t>
            </m:r>
            <m:r>
              <m:t>0</m:t>
            </m:r>
          </m:e>
        </m:d>
      </m:oMath>
      <w:r>
        <w:t xml:space="preserve">, as in</w:t>
      </w:r>
      <w:r>
        <w:t xml:space="preserve"> </w:t>
      </w:r>
      <w:hyperlink w:anchor="eq-method6">
        <w:r>
          <w:rPr>
            <w:rStyle w:val="Hyperlink"/>
          </w:rPr>
          <w:t xml:space="preserve">Equation 13</w:t>
        </w:r>
      </w:hyperlink>
      <w:r>
        <w:t xml:space="preserve">.</w:t>
      </w:r>
    </w:p>
    <w:p>
      <w:pPr>
        <w:pStyle w:val="BodyText"/>
      </w:pPr>
      <w:bookmarkStart w:id="52" w:name="eq-method6"/>
      <m:oMathPara>
        <m:oMathParaPr>
          <m:jc m:val="center"/>
        </m:oMathParaPr>
        <m:oMath>
          <m:sSub>
            <m:e>
              <m:acc>
                <m:accPr>
                  <m:chr m:val="̂"/>
                </m:accPr>
                <m:e>
                  <m:r>
                    <m:t>ψ</m:t>
                  </m:r>
                </m:e>
              </m:acc>
            </m:e>
            <m:sub>
              <m:r>
                <m:t>s</m:t>
              </m:r>
              <m:r>
                <m:rPr>
                  <m:sty m:val="p"/>
                </m:rPr>
                <m:t>,</m:t>
              </m:r>
              <m:r>
                <m:rPr>
                  <m:nor/>
                  <m:sty m:val="p"/>
                </m:rPr>
                <m:t>v</m:t>
              </m:r>
            </m:sub>
          </m:sSub>
          <m:box>
            <m:boxPr>
              <m:opEmu m:val="on"/>
            </m:boxPr>
            <m:e>
              <m:r>
                <m:rPr>
                  <m:sty m:val="p"/>
                </m:rPr>
                <m:t>:=</m:t>
              </m:r>
            </m:e>
          </m:box>
          <m:limLow>
            <m:e>
              <m:r>
                <m:rPr>
                  <m:sty m:val="p"/>
                </m:rPr>
                <m:t>arg</m:t>
              </m:r>
              <m:r>
                <m:rPr>
                  <m:sty m:val="p"/>
                </m:rPr>
                <m:t>max</m:t>
              </m:r>
            </m:e>
            <m:lim>
              <m:sSub>
                <m:e>
                  <m:r>
                    <m:t>ψ</m:t>
                  </m:r>
                </m:e>
                <m:sub>
                  <m:r>
                    <m:t>s</m:t>
                  </m:r>
                </m:sub>
              </m:sSub>
            </m:lim>
          </m:limLow>
          <m:d>
            <m:dPr>
              <m:begChr m:val="["/>
              <m:endChr m:val="]"/>
              <m:sepChr m:val=""/>
              <m:grow/>
            </m:dPr>
            <m:e>
              <m:r>
                <m:t>P</m:t>
              </m:r>
              <m:d>
                <m:dPr>
                  <m:begChr m:val="("/>
                  <m:endChr m:val=")"/>
                  <m:sepChr m:val=""/>
                  <m:grow/>
                </m:dPr>
                <m:e>
                  <m:acc>
                    <m:accPr>
                      <m:chr m:val="⃗"/>
                    </m:accPr>
                    <m:e>
                      <m:r>
                        <m:t>G</m:t>
                      </m:r>
                    </m:e>
                  </m:acc>
                  <m:r>
                    <m:rPr>
                      <m:sty m:val="p"/>
                    </m:rPr>
                    <m:t>|</m:t>
                  </m:r>
                  <m:r>
                    <m:rPr>
                      <m:nor/>
                      <m:sty m:val="p"/>
                    </m:rPr>
                    <m:t>v</m:t>
                  </m:r>
                  <m:r>
                    <m:rPr>
                      <m:sty m:val="p"/>
                    </m:rPr>
                    <m:t>,</m:t>
                  </m:r>
                  <m:sSub>
                    <m:e>
                      <m:r>
                        <m:t>ψ</m:t>
                      </m:r>
                    </m:e>
                    <m:sub>
                      <m:r>
                        <m:t>s</m:t>
                      </m:r>
                    </m:sub>
                  </m:sSub>
                </m:e>
              </m:d>
              <m:r>
                <m:rPr>
                  <m:sty m:val="p"/>
                </m:rPr>
                <m:t>⋅</m:t>
              </m:r>
              <m:r>
                <m:t>P</m:t>
              </m:r>
              <m:d>
                <m:dPr>
                  <m:begChr m:val="("/>
                  <m:endChr m:val=")"/>
                  <m:sepChr m:val=""/>
                  <m:grow/>
                </m:dPr>
                <m:e>
                  <m:r>
                    <m:t>g</m:t>
                  </m:r>
                  <m:r>
                    <m:t>0</m:t>
                  </m:r>
                  <m:r>
                    <m:rPr>
                      <m:sty m:val="p"/>
                    </m:rPr>
                    <m:t>|</m:t>
                  </m:r>
                  <m:sSub>
                    <m:e>
                      <m:r>
                        <m:t>ψ</m:t>
                      </m:r>
                    </m:e>
                    <m:sub>
                      <m:r>
                        <m:t>s</m:t>
                      </m:r>
                    </m:sub>
                  </m:sSub>
                </m:e>
              </m:d>
              <m:r>
                <m:rPr>
                  <m:sty m:val="p"/>
                </m:rPr>
                <m:t>⋅</m:t>
              </m:r>
              <m:r>
                <m:t>P</m:t>
              </m:r>
              <m:d>
                <m:dPr>
                  <m:begChr m:val="("/>
                  <m:endChr m:val=")"/>
                  <m:sepChr m:val=""/>
                  <m:grow/>
                </m:dPr>
                <m:e>
                  <m:sSub>
                    <m:e>
                      <m:r>
                        <m:t>ψ</m:t>
                      </m:r>
                    </m:e>
                    <m:sub>
                      <m:r>
                        <m:t>s</m:t>
                      </m:r>
                    </m:sub>
                  </m:sSub>
                </m:e>
              </m:d>
              <m:r>
                <m:rPr>
                  <m:sty m:val="p"/>
                </m:rPr>
                <m:t>⋅</m:t>
              </m:r>
              <m:r>
                <m:t>P</m:t>
              </m:r>
              <m:d>
                <m:dPr>
                  <m:begChr m:val="("/>
                  <m:endChr m:val=")"/>
                  <m:sepChr m:val=""/>
                  <m:grow/>
                </m:dPr>
                <m:e>
                  <m:r>
                    <m:rPr>
                      <m:nor/>
                      <m:sty m:val="p"/>
                    </m:rPr>
                    <m:t>v</m:t>
                  </m:r>
                </m:e>
              </m:d>
            </m:e>
          </m:d>
          <m:r>
            <m:t>  </m:t>
          </m:r>
          <m:d>
            <m:dPr>
              <m:begChr m:val="("/>
              <m:endChr m:val=")"/>
              <m:sepChr m:val=""/>
              <m:grow/>
            </m:dPr>
            <m:e>
              <m:r>
                <m:t>13</m:t>
              </m:r>
            </m:e>
          </m:d>
        </m:oMath>
      </m:oMathPara>
      <w:bookmarkEnd w:id="52"/>
    </w:p>
    <w:p>
      <w:pPr>
        <w:pStyle w:val="FirstParagraph"/>
      </w:pPr>
      <w:r>
        <w:t xml:space="preserve">Just like the mean and standard deviation of the normal prior for method 3, researchers can estimate</w:t>
      </w:r>
      <w:r>
        <w:t xml:space="preserve"> </w:t>
      </w:r>
      <m:oMath>
        <m:r>
          <m:t>P</m:t>
        </m:r>
        <m:d>
          <m:dPr>
            <m:begChr m:val="("/>
            <m:endChr m:val=")"/>
            <m:sepChr m:val=""/>
            <m:grow/>
          </m:dPr>
          <m:e>
            <m:r>
              <m:t>g</m:t>
            </m:r>
            <m:r>
              <m:t>0</m:t>
            </m:r>
            <m:r>
              <m:rPr>
                <m:sty m:val="p"/>
              </m:rPr>
              <m:t>|</m:t>
            </m:r>
            <m:sSub>
              <m:e>
                <m:r>
                  <m:t>ψ</m:t>
                </m:r>
              </m:e>
              <m:sub>
                <m:r>
                  <m:t>s</m:t>
                </m:r>
              </m:sub>
            </m:sSub>
          </m:e>
        </m:d>
      </m:oMath>
      <w:r>
        <w:t xml:space="preserve"> </w:t>
      </w:r>
      <w:r>
        <w:t xml:space="preserve">in</w:t>
      </w:r>
      <w:r>
        <w:t xml:space="preserve"> </w:t>
      </w:r>
      <w:hyperlink w:anchor="eq-method6">
        <w:r>
          <w:rPr>
            <w:rStyle w:val="Hyperlink"/>
          </w:rPr>
          <w:t xml:space="preserve">Equation 13</w:t>
        </w:r>
      </w:hyperlink>
      <w:r>
        <w:t xml:space="preserve"> </w:t>
      </w:r>
      <w:r>
        <w:t xml:space="preserve">from a reasonably-sized database. Specifically, assuming a linear relationship between</w:t>
      </w:r>
      <w:r>
        <w:t xml:space="preserve"> </w:t>
      </w:r>
      <m:oMath>
        <m:r>
          <m:t>g</m:t>
        </m:r>
        <m:r>
          <m:t>0</m:t>
        </m:r>
      </m:oMath>
      <w:r>
        <w:t xml:space="preserve"> </w:t>
      </w:r>
      <w:r>
        <w:t xml:space="preserve">and</w:t>
      </w:r>
      <w:r>
        <w:t xml:space="preserve"> </w:t>
      </w:r>
      <m:oMath>
        <m:sSub>
          <m:e>
            <m:r>
              <m:t>ψ</m:t>
            </m:r>
          </m:e>
          <m:sub>
            <m:r>
              <m:t>s</m:t>
            </m:r>
          </m:sub>
        </m:sSub>
      </m:oMath>
      <w:r>
        <w:t xml:space="preserve"> </w:t>
      </w:r>
      <w:r>
        <w:t xml:space="preserve">with normally distributed residual uncertainty about</w:t>
      </w:r>
      <w:r>
        <w:t xml:space="preserve"> </w:t>
      </w:r>
      <m:oMath>
        <m:r>
          <m:t>g</m:t>
        </m:r>
        <m:r>
          <m:t>0</m:t>
        </m:r>
      </m:oMath>
      <w:r>
        <w:t xml:space="preserve">, researchers can use linear regression to predict observed</w:t>
      </w:r>
      <w:r>
        <w:t xml:space="preserve"> </w:t>
      </w:r>
      <m:oMath>
        <m:r>
          <m:t>g</m:t>
        </m:r>
        <m:sSub>
          <m:e>
            <m:r>
              <m:t>0</m:t>
            </m:r>
          </m:e>
          <m:sub>
            <m:r>
              <m:t>s</m:t>
            </m:r>
          </m:sub>
        </m:sSub>
      </m:oMath>
      <w:r>
        <w:t xml:space="preserve">s from estimates of</w:t>
      </w:r>
      <w:r>
        <w:t xml:space="preserve"> </w:t>
      </w:r>
      <m:oMath>
        <m:sSub>
          <m:e>
            <m:acc>
              <m:accPr>
                <m:chr m:val="̂"/>
              </m:accPr>
              <m:e>
                <m:r>
                  <m:t>ψ</m:t>
                </m:r>
              </m:e>
            </m:acc>
          </m:e>
          <m:sub>
            <m:r>
              <m:t>s</m:t>
            </m:r>
          </m:sub>
        </m:sSub>
        <m:r>
          <m:rPr>
            <m:sty m:val="p"/>
          </m:rPr>
          <m:t>=</m:t>
        </m:r>
        <m:sSub>
          <m:e>
            <m:acc>
              <m:accPr>
                <m:chr m:val="‾"/>
              </m:accPr>
              <m:e>
                <m:r>
                  <m:t>G</m:t>
                </m:r>
              </m:e>
            </m:acc>
          </m:e>
          <m:sub>
            <m:r>
              <m:t>s</m:t>
            </m:r>
          </m:sub>
        </m:sSub>
      </m:oMath>
      <w:r>
        <w:t xml:space="preserve"> </w:t>
      </w:r>
      <w:r>
        <w:t xml:space="preserve">as in (</w:t>
      </w:r>
      <w:hyperlink w:anchor="eq-method-naive">
        <w:r>
          <w:rPr>
            <w:rStyle w:val="Hyperlink"/>
          </w:rPr>
          <w:t xml:space="preserve">Equation 6</w:t>
        </w:r>
      </w:hyperlink>
      <w:r>
        <w:t xml:space="preserve">).</w:t>
      </w:r>
      <w:r>
        <w:rPr>
          <w:rStyle w:val="FootnoteReference"/>
        </w:rPr>
        <w:footnoteReference w:id="53"/>
      </w:r>
      <w:r>
        <w:t xml:space="preserve"> </w:t>
      </w:r>
      <w:r>
        <w:t xml:space="preserve">The intercept</w:t>
      </w:r>
      <w:r>
        <w:t xml:space="preserve"> </w:t>
      </w:r>
      <m:oMath>
        <m:sSub>
          <m:e>
            <m:acc>
              <m:accPr>
                <m:chr m:val="̂"/>
              </m:accPr>
              <m:e>
                <m:r>
                  <m:t>α</m:t>
                </m:r>
              </m:e>
            </m:acc>
          </m:e>
          <m:sub>
            <m:r>
              <m:t>g</m:t>
            </m:r>
            <m:r>
              <m:t>0</m:t>
            </m:r>
          </m:sub>
        </m:sSub>
      </m:oMath>
      <w:r>
        <w:t xml:space="preserve"> </w:t>
      </w:r>
      <w:r>
        <w:t xml:space="preserve">and slope</w:t>
      </w:r>
      <w:r>
        <w:t xml:space="preserve"> </w:t>
      </w:r>
      <m:oMath>
        <m:sSub>
          <m:e>
            <m:acc>
              <m:accPr>
                <m:chr m:val="̂"/>
              </m:accPr>
              <m:e>
                <m:r>
                  <m:t>β</m:t>
                </m:r>
              </m:e>
            </m:acc>
          </m:e>
          <m:sub>
            <m:r>
              <m:t>g</m:t>
            </m:r>
            <m:r>
              <m:t>0</m:t>
            </m:r>
          </m:sub>
        </m:sSub>
      </m:oMath>
      <w:r>
        <w:t xml:space="preserve"> </w:t>
      </w:r>
      <w:r>
        <w:t xml:space="preserve">can then be used to predict the mean</w:t>
      </w:r>
      <w:r>
        <w:t xml:space="preserve"> </w:t>
      </w:r>
      <m:oMath>
        <m:sSub>
          <m:e>
            <m:acc>
              <m:accPr>
                <m:chr m:val="̂"/>
              </m:accPr>
              <m:e>
                <m:r>
                  <m:t>μ</m:t>
                </m:r>
              </m:e>
            </m:acc>
          </m:e>
          <m:sub>
            <m:r>
              <m:t>g</m:t>
            </m:r>
            <m:r>
              <m:t>0</m:t>
            </m:r>
          </m:sub>
        </m:sSub>
      </m:oMath>
      <w:r>
        <w:t xml:space="preserve"> </w:t>
      </w:r>
      <w:r>
        <w:t xml:space="preserve">around which</w:t>
      </w:r>
      <w:r>
        <w:t xml:space="preserve"> </w:t>
      </w:r>
      <m:oMath>
        <m:r>
          <m:t>g</m:t>
        </m:r>
        <m:r>
          <m:t>0</m:t>
        </m:r>
      </m:oMath>
      <w:r>
        <w:t xml:space="preserve"> </w:t>
      </w:r>
      <w:r>
        <w:t xml:space="preserve">is expected to be distributed given</w:t>
      </w:r>
      <w:r>
        <w:t xml:space="preserve"> </w:t>
      </w:r>
      <m:oMath>
        <m:sSub>
          <m:e>
            <m:r>
              <m:t>ψ</m:t>
            </m:r>
          </m:e>
          <m:sub>
            <m:r>
              <m:t>s</m:t>
            </m:r>
          </m:sub>
        </m:sSub>
      </m:oMath>
      <w:r>
        <w:t xml:space="preserve"> </w:t>
      </w:r>
      <w:r>
        <w:t xml:space="preserve">with a standard deviation equal to the residual standard deviation of the linear regression,</w:t>
      </w:r>
      <w:r>
        <w:t xml:space="preserve"> </w:t>
      </w:r>
      <m:oMath>
        <m:sSub>
          <m:e>
            <m:acc>
              <m:accPr>
                <m:chr m:val="̂"/>
              </m:accPr>
              <m:e>
                <m:r>
                  <m:t>σ</m:t>
                </m:r>
              </m:e>
            </m:acc>
          </m:e>
          <m:sub>
            <m:r>
              <m:t>g</m:t>
            </m:r>
            <m:r>
              <m:t>0</m:t>
            </m:r>
          </m:sub>
        </m:sSub>
      </m:oMath>
      <w:r>
        <w:t xml:space="preserve">:</w:t>
      </w:r>
    </w:p>
    <w:p>
      <w:pPr>
        <w:pStyle w:val="BodyText"/>
      </w:pPr>
      <w:bookmarkStart w:id="54" w:name="eq-posterior-g0"/>
      <m:oMathPara>
        <m:oMathParaPr>
          <m:jc m:val="center"/>
        </m:oMathParaPr>
        <m:oMath>
          <m:r>
            <m:t>P</m:t>
          </m:r>
          <m:d>
            <m:dPr>
              <m:begChr m:val="("/>
              <m:endChr m:val=")"/>
              <m:sepChr m:val=""/>
              <m:grow/>
            </m:dPr>
            <m:e>
              <m:r>
                <m:t>g</m:t>
              </m:r>
              <m:r>
                <m:t>0</m:t>
              </m:r>
              <m:r>
                <m:rPr>
                  <m:sty m:val="p"/>
                </m:rPr>
                <m:t>|</m:t>
              </m:r>
              <m:sSub>
                <m:e>
                  <m:r>
                    <m:t>ψ</m:t>
                  </m:r>
                </m:e>
                <m:sub>
                  <m:r>
                    <m:t>s</m:t>
                  </m:r>
                </m:sub>
              </m:sSub>
            </m:e>
          </m:d>
          <m:box>
            <m:boxPr>
              <m:opEmu m:val="on"/>
            </m:boxPr>
            <m:e>
              <m:r>
                <m:rPr>
                  <m:sty m:val="p"/>
                </m:rPr>
                <m:t>:=</m:t>
              </m:r>
            </m:e>
          </m:box>
          <m:r>
            <m:t>N</m:t>
          </m:r>
          <m:d>
            <m:dPr>
              <m:begChr m:val="("/>
              <m:endChr m:val=")"/>
              <m:sepChr m:val=""/>
              <m:grow/>
            </m:dPr>
            <m:e>
              <m:sSub>
                <m:e>
                  <m:acc>
                    <m:accPr>
                      <m:chr m:val="̂"/>
                    </m:accPr>
                    <m:e>
                      <m:r>
                        <m:t>μ</m:t>
                      </m:r>
                    </m:e>
                  </m:acc>
                </m:e>
                <m:sub>
                  <m:r>
                    <m:t>g</m:t>
                  </m:r>
                  <m:r>
                    <m:t>0</m:t>
                  </m:r>
                </m:sub>
              </m:sSub>
              <m:r>
                <m:rPr>
                  <m:sty m:val="p"/>
                </m:rPr>
                <m:t>,</m:t>
              </m:r>
              <m:sSub>
                <m:e>
                  <m:acc>
                    <m:accPr>
                      <m:chr m:val="̂"/>
                    </m:accPr>
                    <m:e>
                      <m:r>
                        <m:t>σ</m:t>
                      </m:r>
                    </m:e>
                  </m:acc>
                </m:e>
                <m:sub>
                  <m:r>
                    <m:t>g</m:t>
                  </m:r>
                  <m:r>
                    <m:t>0</m:t>
                  </m:r>
                </m:sub>
              </m:sSub>
            </m:e>
          </m:d>
          <m:r>
            <m:rPr>
              <m:sty m:val="p"/>
            </m:rPr>
            <m:t>=</m:t>
          </m:r>
          <m:r>
            <m:t>N</m:t>
          </m:r>
          <m:d>
            <m:dPr>
              <m:begChr m:val="("/>
              <m:endChr m:val=")"/>
              <m:sepChr m:val=""/>
              <m:grow/>
            </m:dPr>
            <m:e>
              <m:sSub>
                <m:e>
                  <m:acc>
                    <m:accPr>
                      <m:chr m:val="̂"/>
                    </m:accPr>
                    <m:e>
                      <m:r>
                        <m:t>α</m:t>
                      </m:r>
                    </m:e>
                  </m:acc>
                </m:e>
                <m:sub>
                  <m:r>
                    <m:t>g</m:t>
                  </m:r>
                  <m:r>
                    <m:t>0</m:t>
                  </m:r>
                </m:sub>
              </m:sSub>
              <m:r>
                <m:rPr>
                  <m:sty m:val="p"/>
                </m:rPr>
                <m:t>+</m:t>
              </m:r>
              <m:sSub>
                <m:e>
                  <m:acc>
                    <m:accPr>
                      <m:chr m:val="̂"/>
                    </m:accPr>
                    <m:e>
                      <m:r>
                        <m:t>β</m:t>
                      </m:r>
                    </m:e>
                  </m:acc>
                </m:e>
                <m:sub>
                  <m:r>
                    <m:t>g</m:t>
                  </m:r>
                  <m:r>
                    <m:t>0</m:t>
                  </m:r>
                </m:sub>
              </m:sSub>
              <m:r>
                <m:rPr>
                  <m:sty m:val="p"/>
                </m:rPr>
                <m:t>⋅</m:t>
              </m:r>
              <m:sSub>
                <m:e>
                  <m:r>
                    <m:t>ψ</m:t>
                  </m:r>
                </m:e>
                <m:sub>
                  <m:r>
                    <m:t>s</m:t>
                  </m:r>
                </m:sub>
              </m:sSub>
              <m:r>
                <m:rPr>
                  <m:sty m:val="p"/>
                </m:rPr>
                <m:t>,</m:t>
              </m:r>
              <m:sSub>
                <m:e>
                  <m:acc>
                    <m:accPr>
                      <m:chr m:val="̂"/>
                    </m:accPr>
                    <m:e>
                      <m:r>
                        <m:t>σ</m:t>
                      </m:r>
                    </m:e>
                  </m:acc>
                </m:e>
                <m:sub>
                  <m:r>
                    <m:t>g</m:t>
                  </m:r>
                  <m:r>
                    <m:t>0</m:t>
                  </m:r>
                </m:sub>
              </m:sSub>
            </m:e>
          </m:d>
          <m:r>
            <m:t>  </m:t>
          </m:r>
          <m:d>
            <m:dPr>
              <m:begChr m:val="("/>
              <m:endChr m:val=")"/>
              <m:sepChr m:val=""/>
              <m:grow/>
            </m:dPr>
            <m:e>
              <m:r>
                <m:t>14</m:t>
              </m:r>
            </m:e>
          </m:d>
        </m:oMath>
      </m:oMathPara>
      <w:bookmarkEnd w:id="54"/>
    </w:p>
    <w:p>
      <w:pPr>
        <w:pStyle w:val="FirstParagraph"/>
      </w:pPr>
      <w:r>
        <w:t xml:space="preserve">Using the same database of speakers from method 3, Nearey and Assmann obtained</w:t>
      </w:r>
      <w:r>
        <w:t xml:space="preserve"> </w:t>
      </w:r>
      <m:oMath>
        <m:sSub>
          <m:e>
            <m:acc>
              <m:accPr>
                <m:chr m:val="̂"/>
              </m:accPr>
              <m:e>
                <m:r>
                  <m:t>α</m:t>
                </m:r>
              </m:e>
            </m:acc>
          </m:e>
          <m:sub>
            <m:r>
              <m:t>g</m:t>
            </m:r>
            <m:r>
              <m:t>0</m:t>
            </m:r>
          </m:sub>
        </m:sSub>
        <m:r>
          <m:rPr>
            <m:sty m:val="p"/>
          </m:rPr>
          <m:t>=</m:t>
        </m:r>
        <m:r>
          <m:rPr>
            <m:sty m:val="p"/>
          </m:rPr>
          <m:t>−</m:t>
        </m:r>
        <m:r>
          <m:t>10.3</m:t>
        </m:r>
      </m:oMath>
      <w:r>
        <w:t xml:space="preserve">,</w:t>
      </w:r>
      <w:r>
        <w:t xml:space="preserve"> </w:t>
      </w:r>
      <m:oMath>
        <m:sSub>
          <m:e>
            <m:acc>
              <m:accPr>
                <m:chr m:val="̂"/>
              </m:accPr>
              <m:e>
                <m:r>
                  <m:t>β</m:t>
                </m:r>
              </m:e>
            </m:acc>
          </m:e>
          <m:sub>
            <m:r>
              <m:t>g</m:t>
            </m:r>
            <m:r>
              <m:t>0</m:t>
            </m:r>
          </m:sub>
        </m:sSub>
        <m:r>
          <m:rPr>
            <m:sty m:val="p"/>
          </m:rPr>
          <m:t>=</m:t>
        </m:r>
        <m:r>
          <m:t>2.14</m:t>
        </m:r>
      </m:oMath>
      <w:r>
        <w:t xml:space="preserve">, and</w:t>
      </w:r>
      <w:r>
        <w:t xml:space="preserve"> </w:t>
      </w:r>
      <m:oMath>
        <m:sSub>
          <m:e>
            <m:acc>
              <m:accPr>
                <m:chr m:val="̂"/>
              </m:accPr>
              <m:e>
                <m:r>
                  <m:t>σ</m:t>
                </m:r>
              </m:e>
            </m:acc>
          </m:e>
          <m:sub>
            <m:r>
              <m:t>g</m:t>
            </m:r>
            <m:r>
              <m:t>0</m:t>
            </m:r>
          </m:sub>
        </m:sSub>
        <m:r>
          <m:rPr>
            <m:sty m:val="p"/>
          </m:rPr>
          <m:t>=</m:t>
        </m:r>
        <m:r>
          <m:t>0.133</m:t>
        </m:r>
      </m:oMath>
      <w:r>
        <w:t xml:space="preserve">. All other steps required to obtain the MAP estimate of</w:t>
      </w:r>
      <w:r>
        <w:t xml:space="preserve"> </w:t>
      </w:r>
      <m:oMath>
        <m:sSub>
          <m:e>
            <m:r>
              <m:t>ψ</m:t>
            </m:r>
          </m:e>
          <m:sub>
            <m:r>
              <m:t>s</m:t>
            </m:r>
          </m:sub>
        </m:sSub>
      </m:oMath>
      <w:r>
        <w:t xml:space="preserve"> </w:t>
      </w:r>
      <w:r>
        <w:t xml:space="preserve">parallel method 3. The two rightmost columns of</w:t>
      </w:r>
      <w:r>
        <w:t xml:space="preserve"> </w:t>
      </w:r>
      <w:hyperlink w:anchor="fig-slidingtemplate3">
        <w:r>
          <w:rPr>
            <w:rStyle w:val="Hyperlink"/>
          </w:rPr>
          <w:t xml:space="preserve">Figure 3</w:t>
        </w:r>
      </w:hyperlink>
      <w:r>
        <w:t xml:space="preserve"> </w:t>
      </w:r>
      <w:r>
        <w:t xml:space="preserve">illustrate how</w:t>
      </w:r>
      <w:r>
        <w:t xml:space="preserve"> </w:t>
      </w:r>
      <m:oMath>
        <m:r>
          <m:t>f</m:t>
        </m:r>
        <m:r>
          <m:t>0</m:t>
        </m:r>
      </m:oMath>
      <w:r>
        <w:t xml:space="preserve"> </w:t>
      </w:r>
      <w:r>
        <w:t xml:space="preserve">can affect both the estimation of</w:t>
      </w:r>
      <w:r>
        <w:t xml:space="preserve"> </w:t>
      </w:r>
      <m:oMath>
        <m:sSub>
          <m:e>
            <m:r>
              <m:t>ψ</m:t>
            </m:r>
          </m:e>
          <m:sub>
            <m:r>
              <m:t>s</m:t>
            </m:r>
          </m:sub>
        </m:sSub>
      </m:oMath>
      <w:r>
        <w:t xml:space="preserve"> </w:t>
      </w:r>
      <w:r>
        <w:t xml:space="preserve">and the posterior probabilities of different vowel categories.</w:t>
      </w:r>
    </w:p>
    <w:bookmarkEnd w:id="55"/>
    <w:bookmarkStart w:id="57" w:name="sec-implementation"/>
    <w:p>
      <w:pPr>
        <w:pStyle w:val="Heading2"/>
      </w:pPr>
      <w:r>
        <w:t xml:space="preserve">4.5 Implementation</w:t>
      </w:r>
    </w:p>
    <w:p>
      <w:pPr>
        <w:pStyle w:val="FirstParagraph"/>
      </w:pPr>
      <w:r>
        <w:t xml:space="preserve">Nearey and Assmann (2007)</w:t>
      </w:r>
      <w:r>
        <w:t xml:space="preserve"> </w:t>
      </w:r>
      <w:r>
        <w:t xml:space="preserve">note that, for the models they provide,</w:t>
      </w:r>
      <w:r>
        <w:t xml:space="preserve"> </w:t>
      </w:r>
      <w:r>
        <w:t xml:space="preserve">“</w:t>
      </w:r>
      <w:r>
        <w:t xml:space="preserve">analytic solutions to the optimizations are available and no search is necessary</w:t>
      </w:r>
      <w:r>
        <w:t xml:space="preserve">”</w:t>
      </w:r>
      <w:r>
        <w:t xml:space="preserve"> </w:t>
      </w:r>
      <w:r>
        <w:t xml:space="preserve">(p. 252). However, they did not provide details regarding these analytic solutions. Here, we provide the general approach to finding analytic solutions to the maximization of the posterior density of</w:t>
      </w:r>
      <w:r>
        <w:t xml:space="preserve"> </w:t>
      </w:r>
      <m:oMath>
        <m:sSub>
          <m:e>
            <m:r>
              <m:t>ψ</m:t>
            </m:r>
          </m:e>
          <m:sub>
            <m:r>
              <m:t>s</m:t>
            </m:r>
          </m:sub>
        </m:sSub>
      </m:oMath>
      <w:r>
        <w:t xml:space="preserve"> </w:t>
      </w:r>
      <w:r>
        <w:t xml:space="preserve">for each vowel category. We focus on the derivation for method 6, as methods 3 and 2 comprise a subset of the necessary calculations. To find the MAP estimates</w:t>
      </w:r>
      <w:r>
        <w:t xml:space="preserve"> </w:t>
      </w:r>
      <m:oMath>
        <m:sSub>
          <m:e>
            <m:acc>
              <m:accPr>
                <m:chr m:val="̂"/>
              </m:accPr>
              <m:e>
                <m:r>
                  <m:t>ψ</m:t>
                </m:r>
              </m:e>
            </m:acc>
          </m:e>
          <m:sub>
            <m:r>
              <m:t>s</m:t>
            </m:r>
            <m:r>
              <m:rPr>
                <m:sty m:val="p"/>
              </m:rPr>
              <m:t>,</m:t>
            </m:r>
            <m:r>
              <m:rPr>
                <m:nor/>
                <m:sty m:val="p"/>
              </m:rPr>
              <m:t>v</m:t>
            </m:r>
          </m:sub>
        </m:sSub>
      </m:oMath>
      <w:r>
        <w:t xml:space="preserve"> </w:t>
      </w:r>
      <w:r>
        <w:t xml:space="preserve">for each vowel, we must calculate the product of the densities in</w:t>
      </w:r>
      <w:r>
        <w:t xml:space="preserve"> </w:t>
      </w:r>
      <w:hyperlink w:anchor="eq-method6-solve">
        <w:r>
          <w:rPr>
            <w:rStyle w:val="Hyperlink"/>
          </w:rPr>
          <w:t xml:space="preserve">Equation 15</w:t>
        </w:r>
      </w:hyperlink>
      <w:r>
        <w:t xml:space="preserve"> </w:t>
      </w:r>
      <w:r>
        <w:t xml:space="preserve">for each vowel, and find the maximum. The complete derivation is provided in the supplemental online materials.</w:t>
      </w:r>
    </w:p>
    <w:p>
      <w:pPr>
        <w:pStyle w:val="BodyText"/>
      </w:pPr>
      <w:bookmarkStart w:id="56" w:name="eq-method6-solve"/>
      <m:oMathPara>
        <m:oMathParaPr>
          <m:jc m:val="center"/>
        </m:oMathParaPr>
        <m:oMath>
          <m:m>
            <m:mPr>
              <m:baseJc m:val="center"/>
              <m:plcHide m:val="on"/>
              <m:mcs>
                <m:mc>
                  <m:mcPr>
                    <m:mcJc m:val="right"/>
                    <m:count m:val="1"/>
                  </m:mcPr>
                </m:mc>
              </m:mcs>
            </m:mPr>
            <m:mr>
              <m:e>
                <m:r>
                  <m:t>P</m:t>
                </m:r>
                <m:d>
                  <m:dPr>
                    <m:begChr m:val="("/>
                    <m:endChr m:val=")"/>
                    <m:sepChr m:val=""/>
                    <m:grow/>
                  </m:dPr>
                  <m:e>
                    <m:acc>
                      <m:accPr>
                        <m:chr m:val="⃗"/>
                      </m:accPr>
                      <m:e>
                        <m:r>
                          <m:t>G</m:t>
                        </m:r>
                      </m:e>
                    </m:acc>
                    <m:r>
                      <m:rPr>
                        <m:sty m:val="p"/>
                      </m:rPr>
                      <m:t>|</m:t>
                    </m:r>
                    <m:r>
                      <m:rPr>
                        <m:nor/>
                        <m:sty m:val="p"/>
                      </m:rPr>
                      <m:t>v</m:t>
                    </m:r>
                    <m:r>
                      <m:rPr>
                        <m:sty m:val="p"/>
                      </m:rPr>
                      <m:t>,</m:t>
                    </m:r>
                    <m:sSub>
                      <m:e>
                        <m:r>
                          <m:t>ψ</m:t>
                        </m:r>
                      </m:e>
                      <m:sub>
                        <m:r>
                          <m:t>s</m:t>
                        </m:r>
                      </m:sub>
                    </m:sSub>
                  </m:e>
                </m:d>
                <m:r>
                  <m:rPr>
                    <m:sty m:val="p"/>
                  </m:rPr>
                  <m:t>⋅</m:t>
                </m:r>
                <m:r>
                  <m:t>P</m:t>
                </m:r>
                <m:d>
                  <m:dPr>
                    <m:begChr m:val="("/>
                    <m:endChr m:val=")"/>
                    <m:sepChr m:val=""/>
                    <m:grow/>
                  </m:dPr>
                  <m:e>
                    <m:r>
                      <m:t>g</m:t>
                    </m:r>
                    <m:r>
                      <m:t>0</m:t>
                    </m:r>
                    <m:r>
                      <m:rPr>
                        <m:sty m:val="p"/>
                      </m:rPr>
                      <m:t>|</m:t>
                    </m:r>
                    <m:sSub>
                      <m:e>
                        <m:r>
                          <m:t>ψ</m:t>
                        </m:r>
                      </m:e>
                      <m:sub>
                        <m:r>
                          <m:t>s</m:t>
                        </m:r>
                      </m:sub>
                    </m:sSub>
                  </m:e>
                </m:d>
                <m:r>
                  <m:rPr>
                    <m:sty m:val="p"/>
                  </m:rPr>
                  <m:t>⋅</m:t>
                </m:r>
                <m:r>
                  <m:t>P</m:t>
                </m:r>
                <m:d>
                  <m:dPr>
                    <m:begChr m:val="("/>
                    <m:endChr m:val=")"/>
                    <m:sepChr m:val=""/>
                    <m:grow/>
                  </m:dPr>
                  <m:e>
                    <m:sSub>
                      <m:e>
                        <m:r>
                          <m:t>ψ</m:t>
                        </m:r>
                      </m:e>
                      <m:sub>
                        <m:r>
                          <m:t>s</m:t>
                        </m:r>
                      </m:sub>
                    </m:sSub>
                  </m:e>
                </m:d>
                <m:r>
                  <m:rPr>
                    <m:sty m:val="p"/>
                  </m:rPr>
                  <m:t>⋅</m:t>
                </m:r>
                <m:r>
                  <m:t>P</m:t>
                </m:r>
                <m:d>
                  <m:dPr>
                    <m:begChr m:val="("/>
                    <m:endChr m:val=")"/>
                    <m:sepChr m:val=""/>
                    <m:grow/>
                  </m:dPr>
                  <m:e>
                    <m:r>
                      <m:rPr>
                        <m:nor/>
                        <m:sty m:val="p"/>
                      </m:rPr>
                      <m:t>v</m:t>
                    </m:r>
                  </m:e>
                </m:d>
                <m:r>
                  <m:rPr>
                    <m:sty m:val="p"/>
                  </m:rPr>
                  <m:t>=</m:t>
                </m:r>
              </m:e>
            </m:mr>
            <m:mr>
              <m:e>
                <m:r>
                  <m:rPr>
                    <m:nor/>
                    <m:sty m:val="p"/>
                  </m:rPr>
                  <m:t>MVN</m:t>
                </m:r>
                <m:d>
                  <m:dPr>
                    <m:begChr m:val="("/>
                    <m:endChr m:val=")"/>
                    <m:sepChr m:val=""/>
                    <m:grow/>
                  </m:dPr>
                  <m:e>
                    <m:sSub>
                      <m:e>
                        <m:acc>
                          <m:accPr>
                            <m:chr m:val="⃗"/>
                          </m:accPr>
                          <m:e>
                            <m:r>
                              <m:t>N</m:t>
                            </m:r>
                          </m:e>
                        </m:acc>
                      </m:e>
                      <m:sub>
                        <m:r>
                          <m:t>ψ</m:t>
                        </m:r>
                      </m:sub>
                    </m:sSub>
                    <m:r>
                      <m:t> </m:t>
                    </m:r>
                    <m:r>
                      <m:rPr>
                        <m:sty m:val="p"/>
                      </m:rPr>
                      <m:t>|</m:t>
                    </m:r>
                    <m:r>
                      <m:t> </m:t>
                    </m:r>
                    <m:sSub>
                      <m:e>
                        <m:acc>
                          <m:accPr>
                            <m:chr m:val="⃗"/>
                          </m:accPr>
                          <m:e>
                            <m:acc>
                              <m:accPr>
                                <m:chr m:val="̂"/>
                              </m:accPr>
                              <m:e>
                                <m:r>
                                  <m:t>μ</m:t>
                                </m:r>
                              </m:e>
                            </m:acc>
                          </m:e>
                        </m:acc>
                      </m:e>
                      <m:sub>
                        <m:r>
                          <m:rPr>
                            <m:sty m:val="p"/>
                          </m:rPr>
                          <m:t>v</m:t>
                        </m:r>
                      </m:sub>
                    </m:sSub>
                    <m:r>
                      <m:rPr>
                        <m:sty m:val="p"/>
                      </m:rPr>
                      <m:t>,</m:t>
                    </m:r>
                    <m:sSub>
                      <m:e>
                        <m:acc>
                          <m:accPr>
                            <m:chr m:val="̂"/>
                          </m:accPr>
                          <m:e>
                            <m:r>
                              <m:t>Σ</m:t>
                            </m:r>
                          </m:e>
                        </m:acc>
                      </m:e>
                      <m:sub>
                        <m:r>
                          <m:rPr>
                            <m:sty m:val="p"/>
                          </m:rPr>
                          <m:t>v</m:t>
                        </m:r>
                      </m:sub>
                    </m:sSub>
                  </m:e>
                </m:d>
                <m:r>
                  <m:rPr>
                    <m:sty m:val="p"/>
                  </m:rPr>
                  <m:t>⋅</m:t>
                </m:r>
              </m:e>
            </m:mr>
            <m:mr>
              <m:e>
                <m:r>
                  <m:t>N</m:t>
                </m:r>
                <m:d>
                  <m:dPr>
                    <m:begChr m:val="("/>
                    <m:endChr m:val=")"/>
                    <m:sepChr m:val=""/>
                    <m:grow/>
                  </m:dPr>
                  <m:e>
                    <m:sSub>
                      <m:e>
                        <m:acc>
                          <m:accPr>
                            <m:chr m:val="̂"/>
                          </m:accPr>
                          <m:e>
                            <m:r>
                              <m:t>α</m:t>
                            </m:r>
                          </m:e>
                        </m:acc>
                      </m:e>
                      <m:sub>
                        <m:r>
                          <m:t>g</m:t>
                        </m:r>
                        <m:r>
                          <m:t>0</m:t>
                        </m:r>
                      </m:sub>
                    </m:sSub>
                    <m:r>
                      <m:rPr>
                        <m:sty m:val="p"/>
                      </m:rPr>
                      <m:t>+</m:t>
                    </m:r>
                    <m:sSub>
                      <m:e>
                        <m:acc>
                          <m:accPr>
                            <m:chr m:val="̂"/>
                          </m:accPr>
                          <m:e>
                            <m:r>
                              <m:t>β</m:t>
                            </m:r>
                          </m:e>
                        </m:acc>
                      </m:e>
                      <m:sub>
                        <m:r>
                          <m:t>g</m:t>
                        </m:r>
                        <m:r>
                          <m:t>0</m:t>
                        </m:r>
                      </m:sub>
                    </m:sSub>
                    <m:r>
                      <m:rPr>
                        <m:sty m:val="p"/>
                      </m:rPr>
                      <m:t>⋅</m:t>
                    </m:r>
                    <m:sSub>
                      <m:e>
                        <m:r>
                          <m:t>ψ</m:t>
                        </m:r>
                      </m:e>
                      <m:sub>
                        <m:r>
                          <m:t>s</m:t>
                        </m:r>
                      </m:sub>
                    </m:sSub>
                    <m:r>
                      <m:rPr>
                        <m:sty m:val="p"/>
                      </m:rPr>
                      <m:t>,</m:t>
                    </m:r>
                    <m:sSub>
                      <m:e>
                        <m:acc>
                          <m:accPr>
                            <m:chr m:val="̂"/>
                          </m:accPr>
                          <m:e>
                            <m:r>
                              <m:t>σ</m:t>
                            </m:r>
                          </m:e>
                        </m:acc>
                      </m:e>
                      <m:sub>
                        <m:r>
                          <m:t>g</m:t>
                        </m:r>
                        <m:r>
                          <m:t>0</m:t>
                        </m:r>
                      </m:sub>
                    </m:sSub>
                  </m:e>
                </m:d>
                <m:r>
                  <m:rPr>
                    <m:sty m:val="p"/>
                  </m:rPr>
                  <m:t>⋅</m:t>
                </m:r>
              </m:e>
            </m:mr>
            <m:mr>
              <m:e>
                <m:r>
                  <m:t>N</m:t>
                </m:r>
                <m:d>
                  <m:dPr>
                    <m:begChr m:val="("/>
                    <m:endChr m:val=")"/>
                    <m:sepChr m:val=""/>
                    <m:grow/>
                  </m:dPr>
                  <m:e>
                    <m:sSub>
                      <m:e>
                        <m:acc>
                          <m:accPr>
                            <m:chr m:val="̂"/>
                          </m:accPr>
                          <m:e>
                            <m:r>
                              <m:t>μ</m:t>
                            </m:r>
                          </m:e>
                        </m:acc>
                      </m:e>
                      <m:sub>
                        <m:r>
                          <m:t>ψ</m:t>
                        </m:r>
                      </m:sub>
                    </m:sSub>
                    <m:r>
                      <m:rPr>
                        <m:sty m:val="p"/>
                      </m:rPr>
                      <m:t>,</m:t>
                    </m:r>
                    <m:sSub>
                      <m:e>
                        <m:acc>
                          <m:accPr>
                            <m:chr m:val="̂"/>
                          </m:accPr>
                          <m:e>
                            <m:r>
                              <m:t>σ</m:t>
                            </m:r>
                          </m:e>
                        </m:acc>
                      </m:e>
                      <m:sub>
                        <m:r>
                          <m:t>ψ</m:t>
                        </m:r>
                      </m:sub>
                    </m:sSub>
                  </m:e>
                </m:d>
                <m:r>
                  <m:rPr>
                    <m:sty m:val="p"/>
                  </m:rPr>
                  <m:t>⋅</m:t>
                </m:r>
              </m:e>
            </m:mr>
            <m:mr>
              <m:e>
                <m:r>
                  <m:t>P</m:t>
                </m:r>
                <m:d>
                  <m:dPr>
                    <m:begChr m:val="("/>
                    <m:endChr m:val=")"/>
                    <m:sepChr m:val=""/>
                    <m:grow/>
                  </m:dPr>
                  <m:e>
                    <m:r>
                      <m:rPr>
                        <m:nor/>
                        <m:sty m:val="p"/>
                      </m:rPr>
                      <m:t>v</m:t>
                    </m:r>
                  </m:e>
                </m:d>
              </m:e>
            </m:mr>
          </m:m>
          <m:r>
            <m:t>  </m:t>
          </m:r>
          <m:d>
            <m:dPr>
              <m:begChr m:val="("/>
              <m:endChr m:val=")"/>
              <m:sepChr m:val=""/>
              <m:grow/>
            </m:dPr>
            <m:e>
              <m:r>
                <m:t>15</m:t>
              </m:r>
            </m:e>
          </m:d>
        </m:oMath>
      </m:oMathPara>
      <w:bookmarkEnd w:id="56"/>
    </w:p>
    <w:bookmarkEnd w:id="57"/>
    <w:bookmarkStart w:id="61" w:name="the-bayesian-sliding-template-model"/>
    <w:p>
      <w:pPr>
        <w:pStyle w:val="Heading2"/>
      </w:pPr>
      <w:r>
        <w:t xml:space="preserve">4.6 The Bayesian Sliding Template Model</w:t>
      </w:r>
    </w:p>
    <w:p>
      <w:pPr>
        <w:pStyle w:val="FirstParagraph"/>
      </w:pPr>
      <w:r>
        <w:t xml:space="preserve">The PSTM calculates MAP values of</w:t>
      </w:r>
      <w:r>
        <w:t xml:space="preserve"> </w:t>
      </w:r>
      <m:oMath>
        <m:sSub>
          <m:e>
            <m:acc>
              <m:accPr>
                <m:chr m:val="̂"/>
              </m:accPr>
              <m:e>
                <m:r>
                  <m:t>ψ</m:t>
                </m:r>
              </m:e>
            </m:acc>
          </m:e>
          <m:sub>
            <m:r>
              <m:t>s</m:t>
            </m:r>
          </m:sub>
        </m:sSub>
      </m:oMath>
      <w:r>
        <w:t xml:space="preserve"> </w:t>
      </w:r>
      <w:r>
        <w:t xml:space="preserve">for each vowel, and then uses the largest of these point estimates to categorize the observed formant input (</w:t>
      </w:r>
      <w:hyperlink w:anchor="eq-criterion-psi-and-vowel">
        <w:r>
          <w:rPr>
            <w:rStyle w:val="Hyperlink"/>
          </w:rPr>
          <w:t xml:space="preserve">Equation 10</w:t>
        </w:r>
      </w:hyperlink>
      <w:r>
        <w:t xml:space="preserve">).</w:t>
      </w:r>
      <w:r>
        <w:t xml:space="preserve"> </w:t>
      </w:r>
      <w:r>
        <w:t xml:space="preserve">Nearey and Assmann (2007)</w:t>
      </w:r>
      <w:r>
        <w:t xml:space="preserve"> </w:t>
      </w:r>
      <w:r>
        <w:t xml:space="preserve">noted that</w:t>
      </w:r>
      <w:r>
        <w:t xml:space="preserve"> </w:t>
      </w:r>
      <w:r>
        <w:t xml:space="preserve">“</w:t>
      </w:r>
      <w:r>
        <w:t xml:space="preserve">[i]t would also be possible […] to use a fuller Bayesian approach by integrating over the values of</w:t>
      </w:r>
      <w:r>
        <w:t xml:space="preserve"> </w:t>
      </w:r>
      <m:oMath>
        <m:sSub>
          <m:e>
            <m:r>
              <m:t>ψ</m:t>
            </m:r>
          </m:e>
          <m:sub>
            <m:r>
              <m:t>s</m:t>
            </m:r>
          </m:sub>
        </m:sSub>
      </m:oMath>
      <w:r>
        <w:t xml:space="preserve">, rather than selecting the maximum. We leave that possibility for future research</w:t>
      </w:r>
      <w:r>
        <w:t xml:space="preserve">”</w:t>
      </w:r>
      <w:r>
        <w:t xml:space="preserve"> </w:t>
      </w:r>
      <w:r>
        <w:t xml:space="preserve">(p. 254). In order to make the methods outlined above more fully Bayesian, we can instead focus on the joint posterior distribution of</w:t>
      </w:r>
      <w:r>
        <w:t xml:space="preserve"> </w:t>
      </w:r>
      <m:oMath>
        <m:sSub>
          <m:e>
            <m:r>
              <m:t>ψ</m:t>
            </m:r>
          </m:e>
          <m:sub>
            <m:r>
              <m:t>s</m:t>
            </m:r>
          </m:sub>
        </m:sSub>
      </m:oMath>
      <w:r>
        <w:t xml:space="preserve"> </w:t>
      </w:r>
      <w:r>
        <w:t xml:space="preserve">and the vowel category v:</w:t>
      </w:r>
    </w:p>
    <w:p>
      <w:pPr>
        <w:pStyle w:val="BodyText"/>
      </w:pPr>
      <w:bookmarkStart w:id="58" w:name="eq-BSTM-posterior-joint-psi-and-vowel"/>
      <m:oMathPara>
        <m:oMathParaPr>
          <m:jc m:val="center"/>
        </m:oMathParaPr>
        <m:oMath>
          <m:r>
            <m:t>P</m:t>
          </m:r>
          <m:d>
            <m:dPr>
              <m:begChr m:val="("/>
              <m:endChr m:val=")"/>
              <m:sepChr m:val=""/>
              <m:grow/>
            </m:dPr>
            <m:e>
              <m:r>
                <m:rPr>
                  <m:nor/>
                  <m:sty m:val="p"/>
                </m:rPr>
                <m:t>v</m:t>
              </m:r>
              <m:r>
                <m:rPr>
                  <m:sty m:val="p"/>
                </m:rPr>
                <m:t>,</m:t>
              </m:r>
              <m:sSub>
                <m:e>
                  <m:r>
                    <m:t>ψ</m:t>
                  </m:r>
                </m:e>
                <m:sub>
                  <m:r>
                    <m:t>s</m:t>
                  </m:r>
                </m:sub>
              </m:sSub>
              <m:r>
                <m:rPr>
                  <m:sty m:val="p"/>
                </m:rPr>
                <m:t>|</m:t>
              </m:r>
              <m:acc>
                <m:accPr>
                  <m:chr m:val="⃗"/>
                </m:accPr>
                <m:e>
                  <m:r>
                    <m:t>G</m:t>
                  </m:r>
                </m:e>
              </m:acc>
            </m:e>
          </m:d>
          <m:r>
            <m:rPr>
              <m:sty m:val="p"/>
            </m:rPr>
            <m:t>=</m:t>
          </m:r>
          <m:f>
            <m:fPr>
              <m:type m:val="bar"/>
            </m:fPr>
            <m:num>
              <m:r>
                <m:t>P</m:t>
              </m:r>
              <m:d>
                <m:dPr>
                  <m:begChr m:val="("/>
                  <m:endChr m:val=")"/>
                  <m:sepChr m:val=""/>
                  <m:grow/>
                </m:dPr>
                <m:e>
                  <m:acc>
                    <m:accPr>
                      <m:chr m:val="⃗"/>
                    </m:accPr>
                    <m:e>
                      <m:r>
                        <m:t>G</m:t>
                      </m:r>
                    </m:e>
                  </m:acc>
                  <m:r>
                    <m:rPr>
                      <m:sty m:val="p"/>
                    </m:rPr>
                    <m:t>|</m:t>
                  </m:r>
                  <m:r>
                    <m:rPr>
                      <m:nor/>
                      <m:sty m:val="p"/>
                    </m:rPr>
                    <m:t>v</m:t>
                  </m:r>
                  <m:r>
                    <m:rPr>
                      <m:sty m:val="p"/>
                    </m:rPr>
                    <m:t>,</m:t>
                  </m:r>
                  <m:sSub>
                    <m:e>
                      <m:r>
                        <m:t>ψ</m:t>
                      </m:r>
                    </m:e>
                    <m:sub>
                      <m:r>
                        <m:t>s</m:t>
                      </m:r>
                    </m:sub>
                  </m:sSub>
                </m:e>
              </m:d>
              <m:r>
                <m:rPr>
                  <m:sty m:val="p"/>
                </m:rPr>
                <m:t>⋅</m:t>
              </m:r>
              <m:r>
                <m:t>P</m:t>
              </m:r>
              <m:d>
                <m:dPr>
                  <m:begChr m:val="("/>
                  <m:endChr m:val=")"/>
                  <m:sepChr m:val=""/>
                  <m:grow/>
                </m:dPr>
                <m:e>
                  <m:sSub>
                    <m:e>
                      <m:r>
                        <m:t>ψ</m:t>
                      </m:r>
                    </m:e>
                    <m:sub>
                      <m:r>
                        <m:t>s</m:t>
                      </m:r>
                    </m:sub>
                  </m:sSub>
                </m:e>
              </m:d>
              <m:r>
                <m:rPr>
                  <m:sty m:val="p"/>
                </m:rPr>
                <m:t>⋅</m:t>
              </m:r>
              <m:r>
                <m:t>P</m:t>
              </m:r>
              <m:d>
                <m:dPr>
                  <m:begChr m:val="("/>
                  <m:endChr m:val=")"/>
                  <m:sepChr m:val=""/>
                  <m:grow/>
                </m:dPr>
                <m:e>
                  <m:r>
                    <m:rPr>
                      <m:nor/>
                      <m:sty m:val="p"/>
                    </m:rPr>
                    <m:t>v</m:t>
                  </m:r>
                </m:e>
              </m:d>
            </m:num>
            <m:den>
              <m:nary>
                <m:naryPr>
                  <m:chr m:val="∑"/>
                  <m:limLoc m:val="undOvr"/>
                  <m:subHide m:val="off"/>
                  <m:supHide m:val="off"/>
                </m:naryPr>
                <m:sub>
                  <m:r>
                    <m:t>i</m:t>
                  </m:r>
                  <m:r>
                    <m:rPr>
                      <m:sty m:val="p"/>
                    </m:rPr>
                    <m:t>=</m:t>
                  </m:r>
                  <m:r>
                    <m:t>i</m:t>
                  </m:r>
                </m:sub>
                <m:sup>
                  <m:r>
                    <m:t>V</m:t>
                  </m:r>
                </m:sup>
                <m:e>
                  <m:r>
                    <m:rPr>
                      <m:sty m:val="p"/>
                    </m:rPr>
                    <m:t>∫</m:t>
                  </m:r>
                </m:e>
              </m:nary>
              <m:r>
                <m:t>P</m:t>
              </m:r>
              <m:d>
                <m:dPr>
                  <m:begChr m:val="("/>
                  <m:endChr m:val=")"/>
                  <m:sepChr m:val=""/>
                  <m:grow/>
                </m:dPr>
                <m:e>
                  <m:acc>
                    <m:accPr>
                      <m:chr m:val="⃗"/>
                    </m:accPr>
                    <m:e>
                      <m:r>
                        <m:t>G</m:t>
                      </m:r>
                    </m:e>
                  </m:acc>
                  <m:r>
                    <m:rPr>
                      <m:sty m:val="p"/>
                    </m:rPr>
                    <m:t>|</m:t>
                  </m:r>
                  <m:sSub>
                    <m:e>
                      <m:r>
                        <m:rPr>
                          <m:nor/>
                          <m:sty m:val="p"/>
                        </m:rPr>
                        <m:t>v</m:t>
                      </m:r>
                    </m:e>
                    <m:sub>
                      <m:r>
                        <m:t>i</m:t>
                      </m:r>
                    </m:sub>
                  </m:sSub>
                  <m:r>
                    <m:rPr>
                      <m:sty m:val="p"/>
                    </m:rPr>
                    <m:t>,</m:t>
                  </m:r>
                  <m:sSub>
                    <m:e>
                      <m:r>
                        <m:t>ψ</m:t>
                      </m:r>
                    </m:e>
                    <m:sub>
                      <m:r>
                        <m:t>s</m:t>
                      </m:r>
                    </m:sub>
                  </m:sSub>
                </m:e>
              </m:d>
              <m:r>
                <m:rPr>
                  <m:sty m:val="p"/>
                </m:rPr>
                <m:t>⋅</m:t>
              </m:r>
              <m:r>
                <m:t>P</m:t>
              </m:r>
              <m:d>
                <m:dPr>
                  <m:begChr m:val="("/>
                  <m:endChr m:val=")"/>
                  <m:sepChr m:val=""/>
                  <m:grow/>
                </m:dPr>
                <m:e>
                  <m:sSub>
                    <m:e>
                      <m:r>
                        <m:t>ψ</m:t>
                      </m:r>
                    </m:e>
                    <m:sub>
                      <m:r>
                        <m:t>s</m:t>
                      </m:r>
                    </m:sub>
                  </m:sSub>
                </m:e>
              </m:d>
              <m:r>
                <m:rPr>
                  <m:sty m:val="p"/>
                </m:rPr>
                <m:t>⋅</m:t>
              </m:r>
              <m:r>
                <m:t>P</m:t>
              </m:r>
              <m:d>
                <m:dPr>
                  <m:begChr m:val="("/>
                  <m:endChr m:val=")"/>
                  <m:sepChr m:val=""/>
                  <m:grow/>
                </m:dPr>
                <m:e>
                  <m:sSub>
                    <m:e>
                      <m:r>
                        <m:rPr>
                          <m:nor/>
                          <m:sty m:val="p"/>
                        </m:rPr>
                        <m:t>v</m:t>
                      </m:r>
                    </m:e>
                    <m:sub>
                      <m:r>
                        <m:t>i</m:t>
                      </m:r>
                    </m:sub>
                  </m:sSub>
                </m:e>
              </m:d>
              <m:r>
                <m:t> </m:t>
              </m:r>
              <m:r>
                <m:t>d</m:t>
              </m:r>
              <m:r>
                <m:t>ψ</m:t>
              </m:r>
            </m:den>
          </m:f>
          <m:r>
            <m:t>  </m:t>
          </m:r>
          <m:d>
            <m:dPr>
              <m:begChr m:val="("/>
              <m:endChr m:val=")"/>
              <m:sepChr m:val=""/>
              <m:grow/>
            </m:dPr>
            <m:e>
              <m:r>
                <m:t>16</m:t>
              </m:r>
            </m:e>
          </m:d>
        </m:oMath>
      </m:oMathPara>
      <w:bookmarkEnd w:id="58"/>
    </w:p>
    <w:p>
      <w:pPr>
        <w:pStyle w:val="FirstParagraph"/>
      </w:pPr>
      <w:r>
        <w:t xml:space="preserve">To find the posterior distribution of</w:t>
      </w:r>
      <w:r>
        <w:t xml:space="preserve"> </w:t>
      </w:r>
      <m:oMath>
        <m:sSub>
          <m:e>
            <m:r>
              <m:t>ψ</m:t>
            </m:r>
          </m:e>
          <m:sub>
            <m:r>
              <m:t>s</m:t>
            </m:r>
          </m:sub>
        </m:sSub>
      </m:oMath>
      <w:r>
        <w:t xml:space="preserve">, we marginalize over</w:t>
      </w:r>
      <w:r>
        <w:t xml:space="preserve"> </w:t>
      </w:r>
      <m:oMath>
        <m:r>
          <m:rPr>
            <m:nor/>
            <m:sty m:val="p"/>
          </m:rPr>
          <m:t>v</m:t>
        </m:r>
      </m:oMath>
      <w:r>
        <w:t xml:space="preserve">:</w:t>
      </w:r>
    </w:p>
    <w:p>
      <w:pPr>
        <w:pStyle w:val="BodyText"/>
      </w:pPr>
      <w:bookmarkStart w:id="59" w:name="eq-e20bb"/>
      <m:oMathPara>
        <m:oMathParaPr>
          <m:jc m:val="center"/>
        </m:oMathParaPr>
        <m:oMath>
          <m:r>
            <m:t>P</m:t>
          </m:r>
          <m:d>
            <m:dPr>
              <m:begChr m:val="("/>
              <m:endChr m:val=")"/>
              <m:sepChr m:val=""/>
              <m:grow/>
            </m:dPr>
            <m:e>
              <m:sSub>
                <m:e>
                  <m:r>
                    <m:t>ψ</m:t>
                  </m:r>
                </m:e>
                <m:sub>
                  <m:r>
                    <m:t>s</m:t>
                  </m:r>
                </m:sub>
              </m:sSub>
              <m:r>
                <m:rPr>
                  <m:sty m:val="p"/>
                </m:rPr>
                <m:t>|</m:t>
              </m:r>
              <m:acc>
                <m:accPr>
                  <m:chr m:val="⃗"/>
                </m:accPr>
                <m:e>
                  <m:r>
                    <m:t>G</m:t>
                  </m:r>
                </m:e>
              </m:acc>
            </m:e>
          </m:d>
          <m:r>
            <m:rPr>
              <m:sty m:val="p"/>
            </m:rPr>
            <m:t>=</m:t>
          </m:r>
          <m:f>
            <m:fPr>
              <m:type m:val="bar"/>
            </m:fPr>
            <m:num>
              <m:nary>
                <m:naryPr>
                  <m:chr m:val="∑"/>
                  <m:limLoc m:val="undOvr"/>
                  <m:subHide m:val="off"/>
                  <m:supHide m:val="off"/>
                </m:naryPr>
                <m:sub>
                  <m:r>
                    <m:t>i</m:t>
                  </m:r>
                  <m:r>
                    <m:rPr>
                      <m:sty m:val="p"/>
                    </m:rPr>
                    <m:t>=</m:t>
                  </m:r>
                  <m:r>
                    <m:t>1</m:t>
                  </m:r>
                </m:sub>
                <m:sup>
                  <m:r>
                    <m:t>V</m:t>
                  </m:r>
                </m:sup>
                <m:e>
                  <m:r>
                    <m:t>P</m:t>
                  </m:r>
                </m:e>
              </m:nary>
              <m:d>
                <m:dPr>
                  <m:begChr m:val="("/>
                  <m:endChr m:val=")"/>
                  <m:sepChr m:val=""/>
                  <m:grow/>
                </m:dPr>
                <m:e>
                  <m:acc>
                    <m:accPr>
                      <m:chr m:val="⃗"/>
                    </m:accPr>
                    <m:e>
                      <m:r>
                        <m:t>G</m:t>
                      </m:r>
                    </m:e>
                  </m:acc>
                  <m:r>
                    <m:rPr>
                      <m:sty m:val="p"/>
                    </m:rPr>
                    <m:t>|</m:t>
                  </m:r>
                  <m:sSub>
                    <m:e>
                      <m:r>
                        <m:rPr>
                          <m:nor/>
                          <m:sty m:val="p"/>
                        </m:rPr>
                        <m:t>v</m:t>
                      </m:r>
                    </m:e>
                    <m:sub>
                      <m:r>
                        <m:t>i</m:t>
                      </m:r>
                    </m:sub>
                  </m:sSub>
                  <m:r>
                    <m:rPr>
                      <m:sty m:val="p"/>
                    </m:rPr>
                    <m:t>,</m:t>
                  </m:r>
                  <m:sSub>
                    <m:e>
                      <m:r>
                        <m:t>ψ</m:t>
                      </m:r>
                    </m:e>
                    <m:sub>
                      <m:r>
                        <m:t>s</m:t>
                      </m:r>
                    </m:sub>
                  </m:sSub>
                </m:e>
              </m:d>
              <m:r>
                <m:rPr>
                  <m:sty m:val="p"/>
                </m:rPr>
                <m:t>⋅</m:t>
              </m:r>
              <m:r>
                <m:t>P</m:t>
              </m:r>
              <m:d>
                <m:dPr>
                  <m:begChr m:val="("/>
                  <m:endChr m:val=")"/>
                  <m:sepChr m:val=""/>
                  <m:grow/>
                </m:dPr>
                <m:e>
                  <m:sSub>
                    <m:e>
                      <m:r>
                        <m:rPr>
                          <m:nor/>
                          <m:sty m:val="p"/>
                        </m:rPr>
                        <m:t>v</m:t>
                      </m:r>
                    </m:e>
                    <m:sub>
                      <m:r>
                        <m:t>i</m:t>
                      </m:r>
                    </m:sub>
                  </m:sSub>
                </m:e>
              </m:d>
              <m:r>
                <m:rPr>
                  <m:sty m:val="p"/>
                </m:rPr>
                <m:t>⋅</m:t>
              </m:r>
              <m:r>
                <m:t>P</m:t>
              </m:r>
              <m:d>
                <m:dPr>
                  <m:begChr m:val="("/>
                  <m:endChr m:val=")"/>
                  <m:sepChr m:val=""/>
                  <m:grow/>
                </m:dPr>
                <m:e>
                  <m:sSub>
                    <m:e>
                      <m:r>
                        <m:t>ψ</m:t>
                      </m:r>
                    </m:e>
                    <m:sub>
                      <m:r>
                        <m:t>s</m:t>
                      </m:r>
                    </m:sub>
                  </m:sSub>
                </m:e>
              </m:d>
            </m:num>
            <m:den>
              <m:nary>
                <m:naryPr>
                  <m:chr m:val="∑"/>
                  <m:limLoc m:val="undOvr"/>
                  <m:subHide m:val="off"/>
                  <m:supHide m:val="off"/>
                </m:naryPr>
                <m:sub>
                  <m:r>
                    <m:t>i</m:t>
                  </m:r>
                  <m:r>
                    <m:rPr>
                      <m:sty m:val="p"/>
                    </m:rPr>
                    <m:t>=</m:t>
                  </m:r>
                  <m:r>
                    <m:t>1</m:t>
                  </m:r>
                </m:sub>
                <m:sup>
                  <m:r>
                    <m:t>V</m:t>
                  </m:r>
                </m:sup>
                <m:e>
                  <m:r>
                    <m:rPr>
                      <m:sty m:val="p"/>
                    </m:rPr>
                    <m:t>∫</m:t>
                  </m:r>
                </m:e>
              </m:nary>
              <m:r>
                <m:t>P</m:t>
              </m:r>
              <m:d>
                <m:dPr>
                  <m:begChr m:val="("/>
                  <m:endChr m:val=")"/>
                  <m:sepChr m:val=""/>
                  <m:grow/>
                </m:dPr>
                <m:e>
                  <m:acc>
                    <m:accPr>
                      <m:chr m:val="⃗"/>
                    </m:accPr>
                    <m:e>
                      <m:r>
                        <m:t>G</m:t>
                      </m:r>
                    </m:e>
                  </m:acc>
                  <m:r>
                    <m:rPr>
                      <m:sty m:val="p"/>
                    </m:rPr>
                    <m:t>|</m:t>
                  </m:r>
                  <m:sSub>
                    <m:e>
                      <m:r>
                        <m:rPr>
                          <m:nor/>
                          <m:sty m:val="p"/>
                        </m:rPr>
                        <m:t>v</m:t>
                      </m:r>
                    </m:e>
                    <m:sub>
                      <m:r>
                        <m:t>i</m:t>
                      </m:r>
                    </m:sub>
                  </m:sSub>
                  <m:r>
                    <m:rPr>
                      <m:sty m:val="p"/>
                    </m:rPr>
                    <m:t>,</m:t>
                  </m:r>
                  <m:sSub>
                    <m:e>
                      <m:r>
                        <m:t>ψ</m:t>
                      </m:r>
                    </m:e>
                    <m:sub>
                      <m:r>
                        <m:t>s</m:t>
                      </m:r>
                    </m:sub>
                  </m:sSub>
                </m:e>
              </m:d>
              <m:r>
                <m:rPr>
                  <m:sty m:val="p"/>
                </m:rPr>
                <m:t>⋅</m:t>
              </m:r>
              <m:r>
                <m:t>P</m:t>
              </m:r>
              <m:d>
                <m:dPr>
                  <m:begChr m:val="("/>
                  <m:endChr m:val=")"/>
                  <m:sepChr m:val=""/>
                  <m:grow/>
                </m:dPr>
                <m:e>
                  <m:sSub>
                    <m:e>
                      <m:r>
                        <m:t>ψ</m:t>
                      </m:r>
                    </m:e>
                    <m:sub>
                      <m:r>
                        <m:t>s</m:t>
                      </m:r>
                    </m:sub>
                  </m:sSub>
                </m:e>
              </m:d>
              <m:r>
                <m:rPr>
                  <m:sty m:val="p"/>
                </m:rPr>
                <m:t>⋅</m:t>
              </m:r>
              <m:r>
                <m:t>P</m:t>
              </m:r>
              <m:d>
                <m:dPr>
                  <m:begChr m:val="("/>
                  <m:endChr m:val=")"/>
                  <m:sepChr m:val=""/>
                  <m:grow/>
                </m:dPr>
                <m:e>
                  <m:sSub>
                    <m:e>
                      <m:r>
                        <m:rPr>
                          <m:nor/>
                          <m:sty m:val="p"/>
                        </m:rPr>
                        <m:t>v</m:t>
                      </m:r>
                    </m:e>
                    <m:sub>
                      <m:r>
                        <m:t>i</m:t>
                      </m:r>
                    </m:sub>
                  </m:sSub>
                </m:e>
              </m:d>
              <m:r>
                <m:t> </m:t>
              </m:r>
              <m:r>
                <m:t>d</m:t>
              </m:r>
              <m:r>
                <m:t>ψ</m:t>
              </m:r>
            </m:den>
          </m:f>
          <m:r>
            <m:t>  </m:t>
          </m:r>
          <m:d>
            <m:dPr>
              <m:begChr m:val="("/>
              <m:endChr m:val=")"/>
              <m:sepChr m:val=""/>
              <m:grow/>
            </m:dPr>
            <m:e>
              <m:r>
                <m:t>17</m:t>
              </m:r>
            </m:e>
          </m:d>
        </m:oMath>
      </m:oMathPara>
      <w:bookmarkEnd w:id="59"/>
    </w:p>
    <w:p>
      <w:pPr>
        <w:pStyle w:val="FirstParagraph"/>
      </w:pPr>
      <w:r>
        <w:t xml:space="preserve">To find the posterior probabilities of different vowel categories, we marginalize over</w:t>
      </w:r>
      <w:r>
        <w:t xml:space="preserve"> </w:t>
      </w:r>
      <m:oMath>
        <m:sSub>
          <m:e>
            <m:r>
              <m:t>ψ</m:t>
            </m:r>
          </m:e>
          <m:sub>
            <m:r>
              <m:t>s</m:t>
            </m:r>
          </m:sub>
        </m:sSub>
      </m:oMath>
      <w:r>
        <w:t xml:space="preserve">:</w:t>
      </w:r>
    </w:p>
    <w:p>
      <w:pPr>
        <w:pStyle w:val="BodyText"/>
      </w:pPr>
      <w:bookmarkStart w:id="60" w:name="eq-BSTM-posterior-psi-and-vowel"/>
      <m:oMathPara>
        <m:oMathParaPr>
          <m:jc m:val="center"/>
        </m:oMathParaPr>
        <m:oMath>
          <m:r>
            <m:t>P</m:t>
          </m:r>
          <m:d>
            <m:dPr>
              <m:begChr m:val="("/>
              <m:endChr m:val=")"/>
              <m:sepChr m:val=""/>
              <m:grow/>
            </m:dPr>
            <m:e>
              <m:sSub>
                <m:e>
                  <m:r>
                    <m:rPr>
                      <m:nor/>
                      <m:sty m:val="p"/>
                    </m:rPr>
                    <m:t>v</m:t>
                  </m:r>
                </m:e>
                <m:sub>
                  <m:r>
                    <m:t>j</m:t>
                  </m:r>
                </m:sub>
              </m:sSub>
              <m:r>
                <m:rPr>
                  <m:sty m:val="p"/>
                </m:rPr>
                <m:t>|</m:t>
              </m:r>
              <m:acc>
                <m:accPr>
                  <m:chr m:val="⃗"/>
                </m:accPr>
                <m:e>
                  <m:r>
                    <m:t>G</m:t>
                  </m:r>
                </m:e>
              </m:acc>
            </m:e>
          </m:d>
          <m:r>
            <m:rPr>
              <m:sty m:val="p"/>
            </m:rPr>
            <m:t>=</m:t>
          </m:r>
          <m:f>
            <m:fPr>
              <m:type m:val="bar"/>
            </m:fPr>
            <m:num>
              <m:r>
                <m:rPr>
                  <m:sty m:val="p"/>
                </m:rPr>
                <m:t>∫</m:t>
              </m:r>
              <m:r>
                <m:t>P</m:t>
              </m:r>
              <m:d>
                <m:dPr>
                  <m:begChr m:val="("/>
                  <m:endChr m:val=")"/>
                  <m:sepChr m:val=""/>
                  <m:grow/>
                </m:dPr>
                <m:e>
                  <m:acc>
                    <m:accPr>
                      <m:chr m:val="⃗"/>
                    </m:accPr>
                    <m:e>
                      <m:r>
                        <m:t>G</m:t>
                      </m:r>
                    </m:e>
                  </m:acc>
                  <m:r>
                    <m:rPr>
                      <m:sty m:val="p"/>
                    </m:rPr>
                    <m:t>|</m:t>
                  </m:r>
                  <m:sSub>
                    <m:e>
                      <m:r>
                        <m:rPr>
                          <m:nor/>
                          <m:sty m:val="p"/>
                        </m:rPr>
                        <m:t>v</m:t>
                      </m:r>
                    </m:e>
                    <m:sub>
                      <m:r>
                        <m:t>j</m:t>
                      </m:r>
                    </m:sub>
                  </m:sSub>
                  <m:r>
                    <m:rPr>
                      <m:sty m:val="p"/>
                    </m:rPr>
                    <m:t>,</m:t>
                  </m:r>
                  <m:sSub>
                    <m:e>
                      <m:r>
                        <m:t>ψ</m:t>
                      </m:r>
                    </m:e>
                    <m:sub>
                      <m:r>
                        <m:t>s</m:t>
                      </m:r>
                    </m:sub>
                  </m:sSub>
                </m:e>
              </m:d>
              <m:r>
                <m:rPr>
                  <m:sty m:val="p"/>
                </m:rPr>
                <m:t>⋅</m:t>
              </m:r>
              <m:r>
                <m:t>P</m:t>
              </m:r>
              <m:d>
                <m:dPr>
                  <m:begChr m:val="("/>
                  <m:endChr m:val=")"/>
                  <m:sepChr m:val=""/>
                  <m:grow/>
                </m:dPr>
                <m:e>
                  <m:sSub>
                    <m:e>
                      <m:r>
                        <m:t>ψ</m:t>
                      </m:r>
                    </m:e>
                    <m:sub>
                      <m:r>
                        <m:t>s</m:t>
                      </m:r>
                    </m:sub>
                  </m:sSub>
                </m:e>
              </m:d>
              <m:r>
                <m:rPr>
                  <m:sty m:val="p"/>
                </m:rPr>
                <m:t>⋅</m:t>
              </m:r>
              <m:r>
                <m:t>P</m:t>
              </m:r>
              <m:d>
                <m:dPr>
                  <m:begChr m:val="("/>
                  <m:endChr m:val=")"/>
                  <m:sepChr m:val=""/>
                  <m:grow/>
                </m:dPr>
                <m:e>
                  <m:sSub>
                    <m:e>
                      <m:r>
                        <m:rPr>
                          <m:nor/>
                          <m:sty m:val="p"/>
                        </m:rPr>
                        <m:t>v</m:t>
                      </m:r>
                    </m:e>
                    <m:sub>
                      <m:r>
                        <m:t>j</m:t>
                      </m:r>
                    </m:sub>
                  </m:sSub>
                </m:e>
              </m:d>
              <m:r>
                <m:t> </m:t>
              </m:r>
              <m:r>
                <m:t>d</m:t>
              </m:r>
              <m:r>
                <m:t>ψ</m:t>
              </m:r>
            </m:num>
            <m:den>
              <m:nary>
                <m:naryPr>
                  <m:chr m:val="∑"/>
                  <m:limLoc m:val="undOvr"/>
                  <m:subHide m:val="off"/>
                  <m:supHide m:val="off"/>
                </m:naryPr>
                <m:sub>
                  <m:r>
                    <m:t>i</m:t>
                  </m:r>
                  <m:r>
                    <m:rPr>
                      <m:sty m:val="p"/>
                    </m:rPr>
                    <m:t>=</m:t>
                  </m:r>
                  <m:r>
                    <m:t>1</m:t>
                  </m:r>
                </m:sub>
                <m:sup>
                  <m:r>
                    <m:t>V</m:t>
                  </m:r>
                </m:sup>
                <m:e>
                  <m:r>
                    <m:rPr>
                      <m:sty m:val="p"/>
                    </m:rPr>
                    <m:t>∫</m:t>
                  </m:r>
                </m:e>
              </m:nary>
              <m:r>
                <m:t>P</m:t>
              </m:r>
              <m:d>
                <m:dPr>
                  <m:begChr m:val="("/>
                  <m:endChr m:val=")"/>
                  <m:sepChr m:val=""/>
                  <m:grow/>
                </m:dPr>
                <m:e>
                  <m:acc>
                    <m:accPr>
                      <m:chr m:val="⃗"/>
                    </m:accPr>
                    <m:e>
                      <m:r>
                        <m:t>G</m:t>
                      </m:r>
                    </m:e>
                  </m:acc>
                  <m:r>
                    <m:rPr>
                      <m:sty m:val="p"/>
                    </m:rPr>
                    <m:t>|</m:t>
                  </m:r>
                  <m:sSub>
                    <m:e>
                      <m:r>
                        <m:rPr>
                          <m:nor/>
                          <m:sty m:val="p"/>
                        </m:rPr>
                        <m:t>v</m:t>
                      </m:r>
                    </m:e>
                    <m:sub>
                      <m:r>
                        <m:t>i</m:t>
                      </m:r>
                    </m:sub>
                  </m:sSub>
                  <m:r>
                    <m:rPr>
                      <m:sty m:val="p"/>
                    </m:rPr>
                    <m:t>,</m:t>
                  </m:r>
                  <m:sSub>
                    <m:e>
                      <m:r>
                        <m:t>ψ</m:t>
                      </m:r>
                    </m:e>
                    <m:sub>
                      <m:r>
                        <m:t>s</m:t>
                      </m:r>
                    </m:sub>
                  </m:sSub>
                </m:e>
              </m:d>
              <m:r>
                <m:rPr>
                  <m:sty m:val="p"/>
                </m:rPr>
                <m:t>⋅</m:t>
              </m:r>
              <m:r>
                <m:t>P</m:t>
              </m:r>
              <m:d>
                <m:dPr>
                  <m:begChr m:val="("/>
                  <m:endChr m:val=")"/>
                  <m:sepChr m:val=""/>
                  <m:grow/>
                </m:dPr>
                <m:e>
                  <m:sSub>
                    <m:e>
                      <m:r>
                        <m:t>ψ</m:t>
                      </m:r>
                    </m:e>
                    <m:sub>
                      <m:r>
                        <m:t>s</m:t>
                      </m:r>
                    </m:sub>
                  </m:sSub>
                </m:e>
              </m:d>
              <m:r>
                <m:rPr>
                  <m:sty m:val="p"/>
                </m:rPr>
                <m:t>⋅</m:t>
              </m:r>
              <m:r>
                <m:t>P</m:t>
              </m:r>
              <m:d>
                <m:dPr>
                  <m:begChr m:val="("/>
                  <m:endChr m:val=")"/>
                  <m:sepChr m:val=""/>
                  <m:grow/>
                </m:dPr>
                <m:e>
                  <m:sSub>
                    <m:e>
                      <m:r>
                        <m:rPr>
                          <m:nor/>
                          <m:sty m:val="p"/>
                        </m:rPr>
                        <m:t>v</m:t>
                      </m:r>
                    </m:e>
                    <m:sub>
                      <m:r>
                        <m:t>i</m:t>
                      </m:r>
                    </m:sub>
                  </m:sSub>
                </m:e>
              </m:d>
              <m:r>
                <m:t> </m:t>
              </m:r>
              <m:r>
                <m:t>d</m:t>
              </m:r>
              <m:r>
                <m:t>ψ</m:t>
              </m:r>
            </m:den>
          </m:f>
          <m:r>
            <m:t>  </m:t>
          </m:r>
          <m:d>
            <m:dPr>
              <m:begChr m:val="("/>
              <m:endChr m:val=")"/>
              <m:sepChr m:val=""/>
              <m:grow/>
            </m:dPr>
            <m:e>
              <m:r>
                <m:t>18</m:t>
              </m:r>
            </m:e>
          </m:d>
        </m:oMath>
      </m:oMathPara>
      <w:bookmarkEnd w:id="60"/>
    </w:p>
    <w:p>
      <w:pPr>
        <w:pStyle w:val="FirstParagraph"/>
      </w:pPr>
      <w:r>
        <w:t xml:space="preserve">Compared to focusing on MAP estimates of</w:t>
      </w:r>
      <w:r>
        <w:t xml:space="preserve"> </w:t>
      </w:r>
      <m:oMath>
        <m:sSub>
          <m:e>
            <m:r>
              <m:t>ψ</m:t>
            </m:r>
          </m:e>
          <m:sub>
            <m:r>
              <m:t>s</m:t>
            </m:r>
          </m:sub>
        </m:sSub>
      </m:oMath>
      <w:r>
        <w:t xml:space="preserve">, consideration of the posterior distribution in</w:t>
      </w:r>
      <w:r>
        <w:t xml:space="preserve"> </w:t>
      </w:r>
      <w:hyperlink w:anchor="eq-BSTM-posterior-joint-psi-and-vowel">
        <w:r>
          <w:rPr>
            <w:rStyle w:val="Hyperlink"/>
          </w:rPr>
          <w:t xml:space="preserve">Equation 16</w:t>
        </w:r>
      </w:hyperlink>
      <w:r>
        <w:t xml:space="preserve"> </w:t>
      </w:r>
      <w:r>
        <w:t xml:space="preserve">takes into account the uncertainty about the</w:t>
      </w:r>
      <w:r>
        <w:t xml:space="preserve"> </w:t>
      </w:r>
      <m:oMath>
        <m:sSub>
          <m:e>
            <m:acc>
              <m:accPr>
                <m:chr m:val="̂"/>
              </m:accPr>
              <m:e>
                <m:r>
                  <m:t>ψ</m:t>
                </m:r>
              </m:e>
            </m:acc>
          </m:e>
          <m:sub>
            <m:r>
              <m:t>s</m:t>
            </m:r>
            <m:r>
              <m:rPr>
                <m:sty m:val="p"/>
              </m:rPr>
              <m:t>,</m:t>
            </m:r>
            <m:r>
              <m:rPr>
                <m:nor/>
                <m:sty m:val="p"/>
              </m:rPr>
              <m:t>v</m:t>
            </m:r>
          </m:sub>
        </m:sSub>
      </m:oMath>
      <w:r>
        <w:t xml:space="preserve"> </w:t>
      </w:r>
      <w:r>
        <w:t xml:space="preserve">for different vowel categories. This results in a model of vowel perception that is more in line with Bayesian principles, suggesting the name Bayesian Sliding Template Model (BSTM) for this version of the PSTM. It is, of course, an empirical question whether</w:t>
      </w:r>
      <w:r>
        <w:t xml:space="preserve"> </w:t>
      </w:r>
      <w:r>
        <w:rPr>
          <w:iCs/>
          <w:i/>
        </w:rPr>
        <w:t xml:space="preserve">listeners’ behavior</w:t>
      </w:r>
      <w:r>
        <w:t xml:space="preserve"> </w:t>
      </w:r>
      <w:r>
        <w:t xml:space="preserve">is better explained by this more fully Bayesian model—a question to which we turn next.</w:t>
      </w:r>
    </w:p>
    <w:bookmarkEnd w:id="61"/>
    <w:bookmarkEnd w:id="62"/>
    <w:bookmarkStart w:id="72" w:name="sec-bootstrap"/>
    <w:p>
      <w:pPr>
        <w:pStyle w:val="Heading1"/>
      </w:pPr>
      <w:r>
        <w:t xml:space="preserve">5. Bootstrap Evaluation</w:t>
      </w:r>
    </w:p>
    <w:p>
      <w:pPr>
        <w:pStyle w:val="FirstParagraph"/>
      </w:pPr>
      <w:r>
        <w:t xml:space="preserve">To compare the performance of different implementations of the STM in understanding perceptual vowel normalization, we conduct a bootstrap analysis using data on the perception of US English vowels</w:t>
      </w:r>
      <w:r>
        <w:t xml:space="preserve"> </w:t>
      </w:r>
      <w:r>
        <w:t xml:space="preserve">(Hillenbrand et al. 1995)</w:t>
      </w:r>
      <w:r>
        <w:t xml:space="preserve">. A step-by-step walk-through of the analysis is available as an R Markdown document as part of the OSF repo for this paper. As demonstrated in that vignette, the</w:t>
      </w:r>
      <w:r>
        <w:t xml:space="preserve"> </w:t>
      </w:r>
      <w:r>
        <w:rPr>
          <w:rStyle w:val="VerbatimChar"/>
        </w:rPr>
        <w:t xml:space="preserve">STM</w:t>
      </w:r>
      <w:r>
        <w:t xml:space="preserve"> </w:t>
      </w:r>
      <w:r>
        <w:t xml:space="preserve">package allows researchers to conduct the type of analysis we present here on their own data, with just a handful of R commands.</w:t>
      </w:r>
    </w:p>
    <w:p>
      <w:pPr>
        <w:pStyle w:val="BodyText"/>
      </w:pPr>
      <w:r>
        <w:t xml:space="preserve">The</w:t>
      </w:r>
      <w:r>
        <w:t xml:space="preserve"> </w:t>
      </w:r>
      <w:r>
        <w:t xml:space="preserve">Hillenbrand et al. (1995)</w:t>
      </w:r>
      <w:r>
        <w:t xml:space="preserve"> </w:t>
      </w:r>
      <w:r>
        <w:t xml:space="preserve">data include acoustic measures from 139 speakers producing twelve vowels each, including formant measures at multiple time slices. This data also contains 12-alternative forced-choice categorization responses for each vowel token, aggregated across 20 listeners of the same dialect as the speakers (average accuracy = 95%).</w:t>
      </w:r>
      <w:r>
        <w:rPr>
          <w:rStyle w:val="FootnoteReference"/>
        </w:rPr>
        <w:footnoteReference w:id="63"/>
      </w:r>
      <w:r>
        <w:t xml:space="preserve"> </w:t>
      </w:r>
      <w:r>
        <w:t xml:space="preserve">Crucially, these responses were elicited over stimuli from the different speakers in the database, presented in randomized order—i.e., precisely the type of input for which the naive estimation of</w:t>
      </w:r>
      <w:r>
        <w:t xml:space="preserve"> </w:t>
      </w:r>
      <m:oMath>
        <m:sSub>
          <m:e>
            <m:r>
              <m:t>ψ</m:t>
            </m:r>
          </m:e>
          <m:sub>
            <m:r>
              <m:t>s</m:t>
            </m:r>
          </m:sub>
        </m:sSub>
      </m:oMath>
      <w:r>
        <w:t xml:space="preserve"> </w:t>
      </w:r>
      <w:r>
        <w:t xml:space="preserve">(</w:t>
      </w:r>
      <w:hyperlink w:anchor="eq-method-naive">
        <w:r>
          <w:rPr>
            <w:rStyle w:val="Hyperlink"/>
          </w:rPr>
          <w:t xml:space="preserve">Equation 6</w:t>
        </w:r>
      </w:hyperlink>
      <w:r>
        <w:t xml:space="preserve">) would yield utterly unreliable results for listeners (as we confirm below).</w:t>
      </w:r>
    </w:p>
    <w:bookmarkStart w:id="65" w:name="approach"/>
    <w:p>
      <w:pPr>
        <w:pStyle w:val="Heading2"/>
      </w:pPr>
      <w:r>
        <w:t xml:space="preserve">5.1 Approach</w:t>
      </w:r>
    </w:p>
    <w:p>
      <w:pPr>
        <w:pStyle w:val="FirstParagraph"/>
      </w:pPr>
      <w:r>
        <w:t xml:space="preserve">For each bootstrap data set, we compare approaches based on two performance metrics:</w:t>
      </w:r>
    </w:p>
    <w:p>
      <w:pPr>
        <w:numPr>
          <w:ilvl w:val="0"/>
          <w:numId w:val="1001"/>
        </w:numPr>
      </w:pPr>
      <w:r>
        <w:t xml:space="preserve">The</w:t>
      </w:r>
      <w:r>
        <w:t xml:space="preserve"> </w:t>
      </w:r>
      <w:r>
        <w:rPr>
          <w:bCs/>
          <w:b/>
        </w:rPr>
        <w:t xml:space="preserve">likelihood of</w:t>
      </w:r>
      <w:r>
        <w:rPr>
          <w:bCs/>
          <w:b/>
        </w:rPr>
        <w:t xml:space="preserve"> </w:t>
      </w:r>
      <w:r>
        <w:rPr>
          <w:iCs/>
          <w:i/>
          <w:bCs/>
          <w:b/>
        </w:rPr>
        <w:t xml:space="preserve">listeners’</w:t>
      </w:r>
      <w:r>
        <w:rPr>
          <w:bCs/>
          <w:b/>
        </w:rPr>
        <w:t xml:space="preserve"> </w:t>
      </w:r>
      <w:r>
        <w:rPr>
          <w:bCs/>
          <w:b/>
        </w:rPr>
        <w:t xml:space="preserve">categorization responses</w:t>
      </w:r>
      <w:r>
        <w:rPr>
          <w:bCs/>
          <w:b/>
        </w:rPr>
        <w:t xml:space="preserve"> </w:t>
      </w:r>
      <w:r>
        <w:t xml:space="preserve"> </w:t>
      </w:r>
      <m:oMath>
        <m:r>
          <m:t>Λ</m:t>
        </m:r>
        <m:box>
          <m:boxPr>
            <m:opEmu m:val="on"/>
          </m:boxPr>
          <m:e>
            <m:r>
              <m:rPr>
                <m:sty m:val="p"/>
              </m:rPr>
              <m:t>:=</m:t>
            </m:r>
          </m:e>
        </m:box>
        <m:nary>
          <m:naryPr>
            <m:chr m:val="∑"/>
            <m:limLoc m:val="undOvr"/>
            <m:subHide m:val="off"/>
            <m:supHide m:val="off"/>
          </m:naryPr>
          <m:sub>
            <m:r>
              <m:t>i</m:t>
            </m:r>
            <m:r>
              <m:rPr>
                <m:sty m:val="p"/>
              </m:rPr>
              <m:t>=</m:t>
            </m:r>
            <m:r>
              <m:t>1</m:t>
            </m:r>
          </m:sub>
          <m:sup>
            <m:r>
              <m:t>m</m:t>
            </m:r>
          </m:sup>
          <m:e>
            <m:nary>
              <m:naryPr>
                <m:chr m:val="∑"/>
                <m:limLoc m:val="undOvr"/>
                <m:subHide m:val="off"/>
                <m:supHide m:val="off"/>
              </m:naryPr>
              <m:sub>
                <m:r>
                  <m:t>j</m:t>
                </m:r>
                <m:r>
                  <m:rPr>
                    <m:sty m:val="p"/>
                  </m:rPr>
                  <m:t>=</m:t>
                </m:r>
                <m:r>
                  <m:t>1</m:t>
                </m:r>
              </m:sub>
              <m:sup>
                <m:r>
                  <m:t>n</m:t>
                </m:r>
              </m:sup>
              <m:e>
                <m:sSub>
                  <m:e>
                    <m:r>
                      <m:t>C</m:t>
                    </m:r>
                  </m:e>
                  <m:sub>
                    <m:r>
                      <m:t>i</m:t>
                    </m:r>
                    <m:r>
                      <m:t>j</m:t>
                    </m:r>
                  </m:sub>
                </m:sSub>
              </m:e>
            </m:nary>
          </m:e>
        </m:nary>
        <m:r>
          <m:rPr>
            <m:sty m:val="p"/>
          </m:rPr>
          <m:t>⋅</m:t>
        </m:r>
        <m:r>
          <m:rPr>
            <m:sty m:val="p"/>
          </m:rPr>
          <m:t>log</m:t>
        </m:r>
        <m:d>
          <m:dPr>
            <m:begChr m:val="("/>
            <m:endChr m:val=")"/>
            <m:sepChr m:val=""/>
            <m:grow/>
          </m:dPr>
          <m:e>
            <m:sSub>
              <m:e>
                <m:r>
                  <m:t>P</m:t>
                </m:r>
              </m:e>
              <m:sub>
                <m:r>
                  <m:t>i</m:t>
                </m:r>
                <m:r>
                  <m:t>j</m:t>
                </m:r>
              </m:sub>
            </m:sSub>
          </m:e>
        </m:d>
      </m:oMath>
      <w:r>
        <w:t xml:space="preserve">, where</w:t>
      </w:r>
      <w:r>
        <w:t xml:space="preserve"> </w:t>
      </w:r>
      <m:oMath>
        <m:sSub>
          <m:e>
            <m:r>
              <m:t>C</m:t>
            </m:r>
          </m:e>
          <m:sub>
            <m:r>
              <m:t>i</m:t>
            </m:r>
            <m:r>
              <m:t>j</m:t>
            </m:r>
          </m:sub>
        </m:sSub>
      </m:oMath>
      <w:r>
        <w:t xml:space="preserve"> </w:t>
      </w:r>
      <w:r>
        <w:t xml:space="preserve">is the number of times token</w:t>
      </w:r>
      <w:r>
        <w:t xml:space="preserve"> </w:t>
      </w:r>
      <m:oMath>
        <m:r>
          <m:t>i</m:t>
        </m:r>
      </m:oMath>
      <w:r>
        <w:t xml:space="preserve"> </w:t>
      </w:r>
      <w:r>
        <w:t xml:space="preserve">was classified as vowel category</w:t>
      </w:r>
      <w:r>
        <w:t xml:space="preserve"> </w:t>
      </w:r>
      <m:oMath>
        <m:r>
          <m:t>j</m:t>
        </m:r>
      </m:oMath>
      <w:r>
        <w:t xml:space="preserve">, and</w:t>
      </w:r>
      <w:r>
        <w:t xml:space="preserve"> </w:t>
      </w:r>
      <m:oMath>
        <m:r>
          <m:rPr>
            <m:sty m:val="p"/>
          </m:rPr>
          <m:t>log</m:t>
        </m:r>
        <m:d>
          <m:dPr>
            <m:begChr m:val="("/>
            <m:endChr m:val=")"/>
            <m:sepChr m:val=""/>
            <m:grow/>
          </m:dPr>
          <m:e>
            <m:sSub>
              <m:e>
                <m:r>
                  <m:t>P</m:t>
                </m:r>
              </m:e>
              <m:sub>
                <m:r>
                  <m:t>i</m:t>
                </m:r>
                <m:r>
                  <m:t>j</m:t>
                </m:r>
              </m:sub>
            </m:sSub>
          </m:e>
        </m:d>
      </m:oMath>
      <w:r>
        <w:t xml:space="preserve"> </w:t>
      </w:r>
      <w:r>
        <w:t xml:space="preserve">is the log-transformed posterior probability for token</w:t>
      </w:r>
      <w:r>
        <w:t xml:space="preserve"> </w:t>
      </w:r>
      <m:oMath>
        <m:r>
          <m:t>i</m:t>
        </m:r>
      </m:oMath>
      <w:r>
        <w:t xml:space="preserve"> </w:t>
      </w:r>
      <w:r>
        <w:t xml:space="preserve">and category</w:t>
      </w:r>
      <w:r>
        <w:t xml:space="preserve"> </w:t>
      </w:r>
      <m:oMath>
        <m:r>
          <m:t>j</m:t>
        </m:r>
      </m:oMath>
      <w:r>
        <w:t xml:space="preserve">. This is the critical measure of how well a method describes listeners’ categorization behavior.</w:t>
      </w:r>
    </w:p>
    <w:p>
      <w:pPr>
        <w:numPr>
          <w:ilvl w:val="0"/>
          <w:numId w:val="1001"/>
        </w:numPr>
      </w:pPr>
      <w:r>
        <w:t xml:space="preserve">The</w:t>
      </w:r>
      <w:r>
        <w:t xml:space="preserve"> </w:t>
      </w:r>
      <w:r>
        <w:rPr>
          <w:bCs/>
          <w:b/>
        </w:rPr>
        <w:t xml:space="preserve">likelihood of the vowel category that the</w:t>
      </w:r>
      <w:r>
        <w:rPr>
          <w:bCs/>
          <w:b/>
        </w:rPr>
        <w:t xml:space="preserve"> </w:t>
      </w:r>
      <w:r>
        <w:rPr>
          <w:iCs/>
          <w:i/>
          <w:bCs/>
          <w:b/>
        </w:rPr>
        <w:t xml:space="preserve">talker intended to produce</w:t>
      </w:r>
      <w:r>
        <w:rPr>
          <w:bCs/>
          <w:b/>
        </w:rPr>
        <w:t xml:space="preserve"> </w:t>
      </w:r>
      <w:r>
        <w:t xml:space="preserve"> </w:t>
      </w:r>
      <w:r>
        <w:t xml:space="preserve">(or, specifically, that the experimenter asked the talker to produce). This metric is closer to what a speech engineer would choose to evaluate normalization methods, as it measures how well the method performs in recognizing the</w:t>
      </w:r>
      <w:r>
        <w:t xml:space="preserve"> </w:t>
      </w:r>
      <w:r>
        <w:rPr>
          <w:iCs/>
          <w:i/>
        </w:rPr>
        <w:t xml:space="preserve">intended</w:t>
      </w:r>
      <w:r>
        <w:t xml:space="preserve"> </w:t>
      </w:r>
      <w:r>
        <w:t xml:space="preserve">vowel category. While this metric does</w:t>
      </w:r>
      <w:r>
        <w:t xml:space="preserve"> </w:t>
      </w:r>
      <w:r>
        <w:rPr>
          <w:iCs/>
          <w:i/>
        </w:rPr>
        <w:t xml:space="preserve">not</w:t>
      </w:r>
      <w:r>
        <w:t xml:space="preserve"> </w:t>
      </w:r>
      <w:r>
        <w:t xml:space="preserve">assess how well a method explains speech perception, it provides an important comparison, as we explain below.</w:t>
      </w:r>
    </w:p>
    <w:p>
      <w:pPr>
        <w:numPr>
          <w:ilvl w:val="0"/>
          <w:numId w:val="1001"/>
        </w:numPr>
      </w:pPr>
      <w:r>
        <w:t xml:space="preserve">The</w:t>
      </w:r>
      <w:r>
        <w:t xml:space="preserve"> </w:t>
      </w:r>
      <w:r>
        <w:rPr>
          <w:bCs/>
          <w:b/>
        </w:rPr>
        <w:t xml:space="preserve">root-mean square (RMS) error in estimating</w:t>
      </w:r>
      <w:r>
        <w:rPr>
          <w:bCs/>
          <w:b/>
        </w:rPr>
        <w:t xml:space="preserve"> </w:t>
      </w:r>
      <m:oMath>
        <m:sSub>
          <m:e>
            <m:r>
              <m:t>ψ</m:t>
            </m:r>
          </m:e>
          <m:sub>
            <m:r>
              <m:t>s</m:t>
            </m:r>
          </m:sub>
        </m:sSub>
      </m:oMath>
      <w:r>
        <w:t xml:space="preserve"> </w:t>
      </w:r>
      <w:r>
        <w:t xml:space="preserve">compared to an estimate of</w:t>
      </w:r>
      <w:r>
        <w:t xml:space="preserve"> </w:t>
      </w:r>
      <m:oMath>
        <m:acc>
          <m:accPr>
            <m:chr m:val="̂"/>
          </m:accPr>
          <m:e>
            <m:r>
              <m:t>ψ</m:t>
            </m:r>
          </m:e>
        </m:acc>
      </m:oMath>
      <w:r>
        <w:t xml:space="preserve"> </w:t>
      </w:r>
      <w:r>
        <w:t xml:space="preserve">obtained from a balanced sample of each speaker’s entire vowel system, and</w:t>
      </w:r>
      <w:r>
        <w:t xml:space="preserve"> </w:t>
      </w:r>
      <w:hyperlink w:anchor="eq-method-naive">
        <w:r>
          <w:rPr>
            <w:rStyle w:val="Hyperlink"/>
          </w:rPr>
          <w:t xml:space="preserve">Equation 6</w:t>
        </w:r>
      </w:hyperlink>
      <w:r>
        <w:t xml:space="preserve">. Ultimately, researchers interested in assessing how well a method describes listeners’ estimation of</w:t>
      </w:r>
      <w:r>
        <w:t xml:space="preserve"> </w:t>
      </w:r>
      <m:oMath>
        <m:sSub>
          <m:e>
            <m:r>
              <m:t>ψ</m:t>
            </m:r>
          </m:e>
          <m:sub>
            <m:r>
              <m:t>s</m:t>
            </m:r>
          </m:sub>
        </m:sSub>
      </m:oMath>
      <w:r>
        <w:t xml:space="preserve"> </w:t>
      </w:r>
      <w:r>
        <w:t xml:space="preserve">should compare each method’s predictions for</w:t>
      </w:r>
      <w:r>
        <w:t xml:space="preserve"> </w:t>
      </w:r>
      <m:oMath>
        <m:sSub>
          <m:e>
            <m:acc>
              <m:accPr>
                <m:chr m:val="̂"/>
              </m:accPr>
              <m:e>
                <m:r>
                  <m:t>ψ</m:t>
                </m:r>
              </m:e>
            </m:acc>
          </m:e>
          <m:sub>
            <m:r>
              <m:t>s</m:t>
            </m:r>
          </m:sub>
        </m:sSub>
      </m:oMath>
      <w:r>
        <w:t xml:space="preserve"> </w:t>
      </w:r>
      <w:r>
        <w:t xml:space="preserve">against listeners’ estimates.</w:t>
      </w:r>
    </w:p>
    <w:p>
      <w:pPr>
        <w:pStyle w:val="FirstParagraph"/>
      </w:pPr>
      <w:r>
        <w:t xml:space="preserve">The following process was used, over 1000 bootstrap iterations for each method (all functions referred to are from the</w:t>
      </w:r>
      <w:r>
        <w:t xml:space="preserve"> </w:t>
      </w:r>
      <w:r>
        <w:rPr>
          <w:rStyle w:val="VerbatimChar"/>
        </w:rPr>
        <w:t xml:space="preserve">STM</w:t>
      </w:r>
      <w:r>
        <w:t xml:space="preserve"> </w:t>
      </w:r>
      <w:r>
        <w:t xml:space="preserve">package):</w:t>
      </w:r>
    </w:p>
    <w:p>
      <w:pPr>
        <w:numPr>
          <w:ilvl w:val="0"/>
          <w:numId w:val="1002"/>
        </w:numPr>
      </w:pPr>
      <w:r>
        <w:t xml:space="preserve">Randomly divide the data into a 79-speaker training set and a 60 speaker testing set. Resample the training data (with replacement) at the speaker level . Sixty-three vowel tokens (4%) had one or two missing formant measurements (out of 6), representing 0.09% of the total formant measurements in the data. The missing values were imputed using linear models (using the</w:t>
      </w:r>
      <w:r>
        <w:t xml:space="preserve"> </w:t>
      </w:r>
      <w:r>
        <w:rPr>
          <w:rStyle w:val="VerbatimChar"/>
        </w:rPr>
        <w:t xml:space="preserve">impute_NA</w:t>
      </w:r>
      <w:r>
        <w:t xml:space="preserve"> </w:t>
      </w:r>
      <w:r>
        <w:t xml:space="preserve">function).</w:t>
      </w:r>
    </w:p>
    <w:p>
      <w:pPr>
        <w:numPr>
          <w:ilvl w:val="0"/>
          <w:numId w:val="1002"/>
        </w:numPr>
      </w:pPr>
      <w:r>
        <w:t xml:space="preserve">Normalize the training data using log-mean uniform scaling normalization (the</w:t>
      </w:r>
      <w:r>
        <w:t xml:space="preserve"> </w:t>
      </w:r>
      <w:r>
        <w:rPr>
          <w:rStyle w:val="VerbatimChar"/>
        </w:rPr>
        <w:t xml:space="preserve">normalize</w:t>
      </w:r>
      <w:r>
        <w:t xml:space="preserve"> </w:t>
      </w:r>
      <w:r>
        <w:t xml:space="preserve">function). This means estimating</w:t>
      </w:r>
      <w:r>
        <w:t xml:space="preserve"> </w:t>
      </w:r>
      <m:oMath>
        <m:sSub>
          <m:e>
            <m:r>
              <m:t>ψ</m:t>
            </m:r>
          </m:e>
          <m:sub>
            <m:r>
              <m:t>s</m:t>
            </m:r>
          </m:sub>
        </m:sSub>
      </m:oMath>
      <w:r>
        <w:t xml:space="preserve"> </w:t>
      </w:r>
      <w:r>
        <w:t xml:space="preserve">for each speaker using their complete vowel system as in</w:t>
      </w:r>
      <w:r>
        <w:t xml:space="preserve"> </w:t>
      </w:r>
      <w:hyperlink w:anchor="eq-method-naive">
        <w:r>
          <w:rPr>
            <w:rStyle w:val="Hyperlink"/>
          </w:rPr>
          <w:t xml:space="preserve">Equation 6</w:t>
        </w:r>
      </w:hyperlink>
      <w:r>
        <w:t xml:space="preserve">, and normalizing as in</w:t>
      </w:r>
      <w:r>
        <w:t xml:space="preserve"> </w:t>
      </w:r>
      <w:hyperlink w:anchor="eq-define-N">
        <w:r>
          <w:rPr>
            <w:rStyle w:val="Hyperlink"/>
          </w:rPr>
          <w:t xml:space="preserve">Equation 3</w:t>
        </w:r>
      </w:hyperlink>
      <w:r>
        <w:t xml:space="preserve">.</w:t>
      </w:r>
    </w:p>
    <w:p>
      <w:pPr>
        <w:numPr>
          <w:ilvl w:val="0"/>
          <w:numId w:val="1002"/>
        </w:numPr>
      </w:pPr>
      <w:r>
        <w:t xml:space="preserve">Estimate the dialect-specific category means and covariance matrices of all vowels using the normalized training data (with</w:t>
      </w:r>
      <w:r>
        <w:t xml:space="preserve"> </w:t>
      </w:r>
      <w:r>
        <w:rPr>
          <w:rStyle w:val="VerbatimChar"/>
        </w:rPr>
        <w:t xml:space="preserve">create_template</w:t>
      </w:r>
      <w:r>
        <w:t xml:space="preserve">). We follow</w:t>
      </w:r>
      <w:r>
        <w:t xml:space="preserve"> </w:t>
      </w:r>
      <w:r>
        <w:t xml:space="preserve">Nearey and Assmann (2007)</w:t>
      </w:r>
      <w:r>
        <w:t xml:space="preserve"> </w:t>
      </w:r>
      <w:r>
        <w:t xml:space="preserve">in estimating a single pooled covariance matrix across all vowel categories.</w:t>
      </w:r>
      <w:r>
        <w:rPr>
          <w:rStyle w:val="FootnoteReference"/>
        </w:rPr>
        <w:footnoteReference w:id="64"/>
      </w:r>
      <w:r>
        <w:t xml:space="preserve"> </w:t>
      </w:r>
      <w:r>
        <w:rPr>
          <w:bCs/>
          <w:b/>
        </w:rPr>
        <w:t xml:space="preserve">Each iteration of the bootstrap thus simulates a</w:t>
      </w:r>
      <w:r>
        <w:rPr>
          <w:bCs/>
          <w:b/>
        </w:rPr>
        <w:t xml:space="preserve"> </w:t>
      </w:r>
      <w:r>
        <w:rPr>
          <w:bCs/>
          <w:b/>
        </w:rPr>
        <w:t xml:space="preserve">‘</w:t>
      </w:r>
      <w:r>
        <w:rPr>
          <w:bCs/>
          <w:b/>
        </w:rPr>
        <w:t xml:space="preserve">listener</w:t>
      </w:r>
      <w:r>
        <w:rPr>
          <w:bCs/>
          <w:b/>
        </w:rPr>
        <w:t xml:space="preserve">’</w:t>
      </w:r>
      <w:r>
        <w:rPr>
          <w:bCs/>
          <w:b/>
        </w:rPr>
        <w:t xml:space="preserve"> </w:t>
      </w:r>
      <w:r>
        <w:rPr>
          <w:bCs/>
          <w:b/>
        </w:rPr>
        <w:t xml:space="preserve">of the dialect with slightly different speech experience.</w:t>
      </w:r>
    </w:p>
    <w:p>
      <w:pPr>
        <w:numPr>
          <w:ilvl w:val="0"/>
          <w:numId w:val="1002"/>
        </w:numPr>
      </w:pPr>
      <w:r>
        <w:t xml:space="preserve">For each token in the testing data, estimate</w:t>
      </w:r>
      <w:r>
        <w:t xml:space="preserve"> </w:t>
      </w:r>
      <m:oMath>
        <m:sSub>
          <m:e>
            <m:acc>
              <m:accPr>
                <m:chr m:val="̂"/>
              </m:accPr>
              <m:e>
                <m:r>
                  <m:t>ψ</m:t>
                </m:r>
              </m:e>
            </m:acc>
          </m:e>
          <m:sub>
            <m:r>
              <m:t>s</m:t>
            </m:r>
            <m:r>
              <m:rPr>
                <m:sty m:val="p"/>
              </m:rPr>
              <m:t>,</m:t>
            </m:r>
            <m:r>
              <m:rPr>
                <m:nor/>
                <m:sty m:val="p"/>
              </m:rPr>
              <m:t>v</m:t>
            </m:r>
          </m:sub>
        </m:sSub>
      </m:oMath>
      <w:r>
        <w:t xml:space="preserve"> </w:t>
      </w:r>
      <w:r>
        <w:t xml:space="preserve">for each vowel category using each method. Use these values of</w:t>
      </w:r>
      <w:r>
        <w:t xml:space="preserve"> </w:t>
      </w:r>
      <m:oMath>
        <m:sSub>
          <m:e>
            <m:acc>
              <m:accPr>
                <m:chr m:val="̂"/>
              </m:accPr>
              <m:e>
                <m:r>
                  <m:t>ψ</m:t>
                </m:r>
              </m:e>
            </m:acc>
          </m:e>
          <m:sub>
            <m:r>
              <m:t>s</m:t>
            </m:r>
            <m:r>
              <m:rPr>
                <m:sty m:val="p"/>
              </m:rPr>
              <m:t>,</m:t>
            </m:r>
            <m:r>
              <m:rPr>
                <m:nor/>
                <m:sty m:val="p"/>
              </m:rPr>
              <m:t>v</m:t>
            </m:r>
          </m:sub>
        </m:sSub>
      </m:oMath>
      <w:r>
        <w:t xml:space="preserve"> </w:t>
      </w:r>
      <w:r>
        <w:t xml:space="preserve">to obtain the winning estimate</w:t>
      </w:r>
      <w:r>
        <w:t xml:space="preserve"> </w:t>
      </w:r>
      <m:oMath>
        <m:sSub>
          <m:e>
            <m:acc>
              <m:accPr>
                <m:chr m:val="̂"/>
              </m:accPr>
              <m:e>
                <m:r>
                  <m:t>ψ</m:t>
                </m:r>
              </m:e>
            </m:acc>
          </m:e>
          <m:sub>
            <m:r>
              <m:t>s</m:t>
            </m:r>
          </m:sub>
        </m:sSub>
      </m:oMath>
      <w:r>
        <w:t xml:space="preserve"> </w:t>
      </w:r>
      <w:r>
        <w:t xml:space="preserve">and calculate the posterior probability of each vowel category.</w:t>
      </w:r>
    </w:p>
    <w:p>
      <w:pPr>
        <w:numPr>
          <w:ilvl w:val="0"/>
          <w:numId w:val="1002"/>
        </w:numPr>
      </w:pPr>
      <w:r>
        <w:t xml:space="preserve">Calculate performance metrics A)-C) described above.</w:t>
      </w:r>
    </w:p>
    <w:p>
      <w:pPr>
        <w:pStyle w:val="FirstParagraph"/>
      </w:pPr>
      <w:r>
        <w:t xml:space="preserve">We compare ten different methods that differ in terms of how they estimate</w:t>
      </w:r>
      <w:r>
        <w:t xml:space="preserve"> </w:t>
      </w:r>
      <m:oMath>
        <m:sSub>
          <m:e>
            <m:r>
              <m:t>ψ</m:t>
            </m:r>
          </m:e>
          <m:sub>
            <m:r>
              <m:t>s</m:t>
            </m:r>
          </m:sub>
        </m:sSub>
      </m:oMath>
      <w:r>
        <w:t xml:space="preserve">, and whether they estimate</w:t>
      </w:r>
      <w:r>
        <w:t xml:space="preserve"> </w:t>
      </w:r>
      <m:oMath>
        <m:sSub>
          <m:e>
            <m:r>
              <m:t>ψ</m:t>
            </m:r>
          </m:e>
          <m:sub>
            <m:r>
              <m:t>s</m:t>
            </m:r>
          </m:sub>
        </m:sSub>
      </m:oMath>
      <w:r>
        <w:t xml:space="preserve"> </w:t>
      </w:r>
      <w:r>
        <w:t xml:space="preserve">at all:</w:t>
      </w:r>
    </w:p>
    <w:p>
      <w:pPr>
        <w:numPr>
          <w:ilvl w:val="0"/>
          <w:numId w:val="1003"/>
        </w:numPr>
        <w:pStyle w:val="Compact"/>
      </w:pPr>
      <w:r>
        <w:rPr>
          <w:bCs/>
          <w:b/>
        </w:rPr>
        <w:t xml:space="preserve">No normalization</w:t>
      </w:r>
    </w:p>
    <w:p>
      <w:pPr>
        <w:numPr>
          <w:ilvl w:val="1"/>
          <w:numId w:val="1004"/>
        </w:numPr>
        <w:pStyle w:val="Compact"/>
      </w:pPr>
      <w:r>
        <w:t xml:space="preserve">input is</w:t>
      </w:r>
      <w:r>
        <w:t xml:space="preserve"> </w:t>
      </w:r>
      <m:oMath>
        <m:acc>
          <m:accPr>
            <m:chr m:val="⃗"/>
          </m:accPr>
          <m:e>
            <m:r>
              <m:t>F</m:t>
            </m:r>
          </m:e>
        </m:acc>
      </m:oMath>
      <w:r>
        <w:t xml:space="preserve"> </w:t>
      </w:r>
      <w:r>
        <w:t xml:space="preserve">(Hz)</w:t>
      </w:r>
    </w:p>
    <w:p>
      <w:pPr>
        <w:numPr>
          <w:ilvl w:val="1"/>
          <w:numId w:val="1004"/>
        </w:numPr>
        <w:pStyle w:val="Compact"/>
      </w:pPr>
      <w:r>
        <w:t xml:space="preserve">input is</w:t>
      </w:r>
      <w:r>
        <w:t xml:space="preserve"> </w:t>
      </w:r>
      <m:oMath>
        <m:acc>
          <m:accPr>
            <m:chr m:val="⃗"/>
          </m:accPr>
          <m:e>
            <m:r>
              <m:t>G</m:t>
            </m:r>
          </m:e>
        </m:acc>
      </m:oMath>
      <w:r>
        <w:t xml:space="preserve"> </w:t>
      </w:r>
      <w:r>
        <w:t xml:space="preserve">(log Hz), allowing an assessment of whether log-transformation in and off itself helps.</w:t>
      </w:r>
    </w:p>
    <w:p>
      <w:pPr>
        <w:numPr>
          <w:ilvl w:val="0"/>
          <w:numId w:val="1003"/>
        </w:numPr>
        <w:pStyle w:val="Compact"/>
      </w:pPr>
      <w:r>
        <w:rPr>
          <w:bCs/>
          <w:b/>
        </w:rPr>
        <w:t xml:space="preserve">Normalization with</w:t>
      </w:r>
      <w:r>
        <w:rPr>
          <w:bCs/>
          <w:b/>
        </w:rPr>
        <w:t xml:space="preserve"> </w:t>
      </w:r>
      <m:oMath>
        <m:sSub>
          <m:e>
            <m:acc>
              <m:accPr>
                <m:chr m:val="̂"/>
              </m:accPr>
              <m:e>
                <m:r>
                  <m:t>ψ</m:t>
                </m:r>
              </m:e>
            </m:acc>
          </m:e>
          <m:sub>
            <m:r>
              <m:t>s</m:t>
            </m:r>
          </m:sub>
        </m:sSub>
      </m:oMath>
      <w:r>
        <w:rPr>
          <w:bCs/>
          <w:b/>
        </w:rPr>
        <w:t xml:space="preserve"> </w:t>
      </w:r>
      <w:r>
        <w:rPr>
          <w:bCs/>
          <w:b/>
        </w:rPr>
        <w:t xml:space="preserve">estimated using the</w:t>
      </w:r>
      <w:r>
        <w:rPr>
          <w:bCs/>
          <w:b/>
        </w:rPr>
        <w:t xml:space="preserve"> </w:t>
      </w:r>
      <w:r>
        <w:rPr>
          <w:bCs/>
          <w:b/>
        </w:rPr>
        <w:t xml:space="preserve">‘</w:t>
      </w:r>
      <w:r>
        <w:rPr>
          <w:bCs/>
          <w:b/>
        </w:rPr>
        <w:t xml:space="preserve">classic approach</w:t>
      </w:r>
      <w:r>
        <w:rPr>
          <w:bCs/>
          <w:b/>
        </w:rPr>
        <w:t xml:space="preserve">’</w:t>
      </w:r>
      <w:r>
        <w:t xml:space="preserve"> </w:t>
      </w:r>
      <w:r>
        <w:t xml:space="preserve">in</w:t>
      </w:r>
      <w:r>
        <w:t xml:space="preserve"> </w:t>
      </w:r>
      <w:hyperlink w:anchor="eq-method-naive">
        <w:r>
          <w:rPr>
            <w:rStyle w:val="Hyperlink"/>
          </w:rPr>
          <w:t xml:space="preserve">Equation 6</w:t>
        </w:r>
      </w:hyperlink>
    </w:p>
    <w:p>
      <w:pPr>
        <w:numPr>
          <w:ilvl w:val="1"/>
          <w:numId w:val="1005"/>
        </w:numPr>
        <w:pStyle w:val="Compact"/>
      </w:pPr>
      <w:r>
        <w:t xml:space="preserve">over the entire training data (</w:t>
      </w:r>
      <w:r>
        <w:rPr>
          <w:iCs/>
          <w:i/>
        </w:rPr>
        <w:t xml:space="preserve">PSTM1 (balanced data)</w:t>
      </w:r>
      <w:r>
        <w:t xml:space="preserve">)</w:t>
      </w:r>
    </w:p>
    <w:p>
      <w:pPr>
        <w:numPr>
          <w:ilvl w:val="1"/>
          <w:numId w:val="1005"/>
        </w:numPr>
        <w:pStyle w:val="Compact"/>
      </w:pPr>
      <w:r>
        <w:t xml:space="preserve">based on the individual token (</w:t>
      </w:r>
      <w:r>
        <w:rPr>
          <w:iCs/>
          <w:i/>
        </w:rPr>
        <w:t xml:space="preserve">PSTM1 (single trial)</w:t>
      </w:r>
      <w:r>
        <w:t xml:space="preserve">), as a more direct baseline for the remaining methods (all of which are based on individual tokens)</w:t>
      </w:r>
    </w:p>
    <w:p>
      <w:pPr>
        <w:numPr>
          <w:ilvl w:val="0"/>
          <w:numId w:val="1003"/>
        </w:numPr>
        <w:pStyle w:val="Compact"/>
      </w:pPr>
      <w:r>
        <w:rPr>
          <w:bCs/>
          <w:b/>
        </w:rPr>
        <w:t xml:space="preserve">Normalization with</w:t>
      </w:r>
      <w:r>
        <w:rPr>
          <w:bCs/>
          <w:b/>
        </w:rPr>
        <w:t xml:space="preserve"> </w:t>
      </w:r>
      <m:oMath>
        <m:sSub>
          <m:e>
            <m:acc>
              <m:accPr>
                <m:chr m:val="̂"/>
              </m:accPr>
              <m:e>
                <m:r>
                  <m:t>ψ</m:t>
                </m:r>
              </m:e>
            </m:acc>
          </m:e>
          <m:sub>
            <m:r>
              <m:t>s</m:t>
            </m:r>
          </m:sub>
        </m:sSub>
      </m:oMath>
      <w:r>
        <w:rPr>
          <w:bCs/>
          <w:b/>
        </w:rPr>
        <w:t xml:space="preserve"> </w:t>
      </w:r>
      <w:r>
        <w:rPr>
          <w:bCs/>
          <w:b/>
        </w:rPr>
        <w:t xml:space="preserve">estimated using</w:t>
      </w:r>
      <w:r>
        <w:rPr>
          <w:bCs/>
          <w:b/>
        </w:rPr>
        <w:t xml:space="preserve"> </w:t>
      </w:r>
      <w:r>
        <w:rPr>
          <w:iCs/>
          <w:i/>
          <w:bCs/>
          <w:b/>
        </w:rPr>
        <w:t xml:space="preserve">PSTM</w:t>
      </w:r>
      <w:r>
        <w:rPr>
          <w:bCs/>
          <w:b/>
        </w:rPr>
        <w:t xml:space="preserve"> </w:t>
      </w:r>
    </w:p>
    <w:p>
      <w:pPr>
        <w:numPr>
          <w:ilvl w:val="1"/>
          <w:numId w:val="1006"/>
        </w:numPr>
        <w:pStyle w:val="Compact"/>
      </w:pPr>
      <w:r>
        <w:t xml:space="preserve">method 2</w:t>
      </w:r>
    </w:p>
    <w:p>
      <w:pPr>
        <w:numPr>
          <w:ilvl w:val="1"/>
          <w:numId w:val="1006"/>
        </w:numPr>
        <w:pStyle w:val="Compact"/>
      </w:pPr>
      <w:r>
        <w:t xml:space="preserve">method 3</w:t>
      </w:r>
    </w:p>
    <w:p>
      <w:pPr>
        <w:numPr>
          <w:ilvl w:val="1"/>
          <w:numId w:val="1006"/>
        </w:numPr>
        <w:pStyle w:val="Compact"/>
      </w:pPr>
      <w:r>
        <w:t xml:space="preserve">method 6</w:t>
      </w:r>
    </w:p>
    <w:p>
      <w:pPr>
        <w:numPr>
          <w:ilvl w:val="0"/>
          <w:numId w:val="1003"/>
        </w:numPr>
        <w:pStyle w:val="Compact"/>
      </w:pPr>
      <w:r>
        <w:rPr>
          <w:bCs/>
          <w:b/>
        </w:rPr>
        <w:t xml:space="preserve">Normalization with</w:t>
      </w:r>
      <w:r>
        <w:rPr>
          <w:bCs/>
          <w:b/>
        </w:rPr>
        <w:t xml:space="preserve"> </w:t>
      </w:r>
      <m:oMath>
        <m:sSub>
          <m:e>
            <m:acc>
              <m:accPr>
                <m:chr m:val="̂"/>
              </m:accPr>
              <m:e>
                <m:r>
                  <m:t>ψ</m:t>
                </m:r>
              </m:e>
            </m:acc>
          </m:e>
          <m:sub>
            <m:r>
              <m:t>s</m:t>
            </m:r>
          </m:sub>
        </m:sSub>
      </m:oMath>
      <w:r>
        <w:rPr>
          <w:bCs/>
          <w:b/>
        </w:rPr>
        <w:t xml:space="preserve"> </w:t>
      </w:r>
      <w:r>
        <w:rPr>
          <w:bCs/>
          <w:b/>
        </w:rPr>
        <w:t xml:space="preserve">estimated using</w:t>
      </w:r>
      <w:r>
        <w:rPr>
          <w:bCs/>
          <w:b/>
        </w:rPr>
        <w:t xml:space="preserve"> </w:t>
      </w:r>
      <w:r>
        <w:rPr>
          <w:iCs/>
          <w:i/>
          <w:bCs/>
          <w:b/>
        </w:rPr>
        <w:t xml:space="preserve">BSTM</w:t>
      </w:r>
      <w:r>
        <w:rPr>
          <w:bCs/>
          <w:b/>
        </w:rPr>
        <w:t xml:space="preserve"> </w:t>
      </w:r>
    </w:p>
    <w:p>
      <w:pPr>
        <w:numPr>
          <w:ilvl w:val="1"/>
          <w:numId w:val="1007"/>
        </w:numPr>
        <w:pStyle w:val="Compact"/>
      </w:pPr>
      <w:r>
        <w:t xml:space="preserve">method 2</w:t>
      </w:r>
    </w:p>
    <w:p>
      <w:pPr>
        <w:numPr>
          <w:ilvl w:val="1"/>
          <w:numId w:val="1007"/>
        </w:numPr>
        <w:pStyle w:val="Compact"/>
      </w:pPr>
      <w:r>
        <w:t xml:space="preserve">method 3</w:t>
      </w:r>
    </w:p>
    <w:p>
      <w:pPr>
        <w:numPr>
          <w:ilvl w:val="1"/>
          <w:numId w:val="1007"/>
        </w:numPr>
        <w:pStyle w:val="Compact"/>
      </w:pPr>
      <w:r>
        <w:t xml:space="preserve">method 6</w:t>
      </w:r>
    </w:p>
    <w:p>
      <w:pPr>
        <w:pStyle w:val="FirstParagraph"/>
      </w:pPr>
      <w:r>
        <w:t xml:space="preserve">We used formant measurements at 20% and 80% of the vowel duration. This meant each vowel token was represented by a vector of length six, two measurements for each of three formants. We used two time points to parallel the analyses presented in</w:t>
      </w:r>
      <w:r>
        <w:t xml:space="preserve"> </w:t>
      </w:r>
      <w:r>
        <w:t xml:space="preserve">Nearey and Assmann (2007)</w:t>
      </w:r>
      <w:r>
        <w:t xml:space="preserve">, and because formant dynamics are known to affect vowel perception for the dialect recorded in the database</w:t>
      </w:r>
      <w:r>
        <w:t xml:space="preserve"> </w:t>
      </w:r>
      <w:r>
        <w:t xml:space="preserve">(Hillenbrand and Nearey 1999)</w:t>
      </w:r>
      <w:r>
        <w:t xml:space="preserve">. By fitting multivariate normal distributions in this six-dimensional space, we assume that listeners have learned expectations about the (co)variance between formants within and across time points.</w:t>
      </w:r>
    </w:p>
    <w:bookmarkEnd w:id="65"/>
    <w:bookmarkStart w:id="71" w:name="results"/>
    <w:p>
      <w:pPr>
        <w:pStyle w:val="Heading2"/>
      </w:pPr>
      <w:r>
        <w:t xml:space="preserve">5.2 Results</w:t>
      </w:r>
    </w:p>
    <w:p>
      <w:pPr>
        <w:pStyle w:val="FirstParagraph"/>
      </w:pPr>
      <w:r>
        <w:t xml:space="preserve">The results of the bootstrap analysis are presented in</w:t>
      </w:r>
      <w:r>
        <w:t xml:space="preserve"> </w:t>
      </w:r>
      <w:hyperlink w:anchor="fig-bootboxplot">
        <w:r>
          <w:rPr>
            <w:rStyle w:val="Hyperlink"/>
          </w:rPr>
          <w:t xml:space="preserve">Figure 4</w:t>
        </w:r>
      </w:hyperlink>
      <w:r>
        <w:t xml:space="preserve">. Method 6 offers the best fit against listeners’ categorization responses for the</w:t>
      </w:r>
      <w:r>
        <w:t xml:space="preserve"> </w:t>
      </w:r>
      <w:r>
        <w:t xml:space="preserve">Hillenbrand et al. (1995)</w:t>
      </w:r>
      <w:r>
        <w:t xml:space="preserve"> </w:t>
      </w:r>
      <w:r>
        <w:t xml:space="preserve">data. These differences hold regardless of whether the PSTM or BSTM is used. Based on the bootstrap, all differences—except for the contrast between method 6 and unnormalized Hz—are significant, i.e., 95% quantiles do not overlap 0 in</w:t>
      </w:r>
      <w:r>
        <w:t xml:space="preserve"> </w:t>
      </w:r>
      <w:hyperlink w:anchor="fig-bootboxplot">
        <w:r>
          <w:rPr>
            <w:rStyle w:val="Hyperlink"/>
          </w:rPr>
          <w:t xml:space="preserve">Figure 4</w:t>
        </w:r>
      </w:hyperlink>
      <w:r>
        <w:t xml:space="preserve"> </w:t>
      </w:r>
      <w:r>
        <w:t xml:space="preserve">(a). However, method 6 performed better than unnormalized Hz in 94.4% of all bootstrap iterations. This shows the importance of considering prior information about</w:t>
      </w:r>
      <w:r>
        <w:t xml:space="preserve"> </w:t>
      </w:r>
      <m:oMath>
        <m:sSub>
          <m:e>
            <m:r>
              <m:t>ψ</m:t>
            </m:r>
          </m:e>
          <m:sub>
            <m:r>
              <m:t>s</m:t>
            </m:r>
          </m:sub>
        </m:sSub>
      </m:oMath>
      <w:r>
        <w:t xml:space="preserve"> </w:t>
      </w:r>
      <w:r>
        <w:t xml:space="preserve">during speech perception, and also the potential usefulness of considering the joint distribution of</w:t>
      </w:r>
      <w:r>
        <w:t xml:space="preserve"> </w:t>
      </w:r>
      <m:oMath>
        <m:sSub>
          <m:e>
            <m:r>
              <m:t>ψ</m:t>
            </m:r>
          </m:e>
          <m:sub>
            <m:r>
              <m:t>s</m:t>
            </m:r>
          </m:sub>
        </m:sSub>
      </m:oMath>
      <w:r>
        <w:t xml:space="preserve"> </w:t>
      </w:r>
      <w:r>
        <w:t xml:space="preserve">and</w:t>
      </w:r>
      <w:r>
        <w:t xml:space="preserve"> </w:t>
      </w:r>
      <m:oMath>
        <m:r>
          <m:t>f</m:t>
        </m:r>
        <m:r>
          <m:t>0</m:t>
        </m:r>
      </m:oMath>
      <w:r>
        <w:t xml:space="preserve"> </w:t>
      </w:r>
      <w:r>
        <w:t xml:space="preserve">in perception.</w:t>
      </w:r>
    </w:p>
    <w:tbl>
      <w:tblPr>
        <w:tblStyle w:val="Table"/>
        <w:tblW w:type="pct" w:w="5000"/>
        <w:tblLook w:firstRow="0" w:lastRow="0" w:firstColumn="0" w:lastColumn="0" w:noHBand="0" w:noVBand="0" w:val="0000"/>
        <w:jc w:val="start"/>
        <w:tblLayout w:type="fixed"/>
      </w:tblPr>
      <w:tblGrid>
        <w:gridCol w:w="7920"/>
      </w:tblGrid>
      <w:tr>
        <w:tc>
          <w:tcPr/>
          <w:bookmarkStart w:id="69" w:name="fig-bootboxplot"/>
          <w:p>
            <w:pPr>
              <w:pStyle w:val="Compact"/>
              <w:jc w:val="center"/>
            </w:pPr>
            <w:r>
              <w:drawing>
                <wp:inline>
                  <wp:extent cx="5334000" cy="2667000"/>
                  <wp:effectExtent b="0" l="0" r="0" t="0"/>
                  <wp:docPr descr="" title="" id="67" name="Picture"/>
                  <a:graphic>
                    <a:graphicData uri="http://schemas.openxmlformats.org/drawingml/2006/picture">
                      <pic:pic>
                        <pic:nvPicPr>
                          <pic:cNvPr descr="Re_introducing_the_PSTM_files/figure-docx/fig-bootboxplot-1.png" id="68"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Difference in model log-likelihoods of listeners’ responses between each model and BSTM method 6 across bootstrap iterations. Points indicate bootstrap means, intervals indicate lower 95% quantiles. Log-likelihoods for the single-trial application of balanced-data method 1 were more than an order of magnitude lower than all other log-likelihoods and thus do not show. (b) Same as (a) but for the vowel category that the talker intended to produce, rather than what listeners’ responded. (c) Root-mean-squared (RMS) error for</w:t>
            </w:r>
            <w:r>
              <w:t xml:space="preserve"> </w:t>
            </w:r>
            <m:oMath>
              <m:sSub>
                <m:e>
                  <m:r>
                    <m:t>ψ</m:t>
                  </m:r>
                </m:e>
                <m:sub>
                  <m:r>
                    <m:t>s</m:t>
                  </m:r>
                </m:sub>
              </m:sSub>
            </m:oMath>
            <w:r>
              <w:t xml:space="preserve"> </w:t>
            </w:r>
            <w:r>
              <w:t xml:space="preserve">prediction for the approaches that estimate</w:t>
            </w:r>
            <w:r>
              <w:t xml:space="preserve"> </w:t>
            </w:r>
            <m:oMath>
              <m:sSub>
                <m:e>
                  <m:r>
                    <m:t>ψ</m:t>
                  </m:r>
                </m:e>
                <m:sub>
                  <m:r>
                    <m:t>s</m:t>
                  </m:r>
                </m:sub>
              </m:sSub>
            </m:oMath>
            <w:r>
              <w:t xml:space="preserve">. This leaves open which approach best predicts</w:t>
            </w:r>
            <w:r>
              <w:t xml:space="preserve"> </w:t>
            </w:r>
            <w:r>
              <w:rPr>
                <w:iCs/>
                <w:i/>
              </w:rPr>
              <w:t xml:space="preserve">listeners’</w:t>
            </w:r>
            <w:r>
              <w:t xml:space="preserve"> </w:t>
            </w:r>
            <m:oMath>
              <m:sSub>
                <m:e>
                  <m:acc>
                    <m:accPr>
                      <m:chr m:val="̂"/>
                    </m:accPr>
                    <m:e>
                      <m:r>
                        <m:t>ψ</m:t>
                      </m:r>
                    </m:e>
                  </m:acc>
                </m:e>
                <m:sub>
                  <m:r>
                    <m:t>s</m:t>
                  </m:r>
                </m:sub>
              </m:sSub>
            </m:oMath>
            <w:r>
              <w:t xml:space="preserve"> </w:t>
            </w:r>
            <w:r>
              <w:t xml:space="preserve">(to which we have no access here). Methods without normalizatin (Hz and log-Hz) are not shown since they do not provide estimates of</w:t>
            </w:r>
            <w:r>
              <w:t xml:space="preserve"> </w:t>
            </w:r>
            <m:oMath>
              <m:sSub>
                <m:e>
                  <m:r>
                    <m:t>ψ</m:t>
                  </m:r>
                </m:e>
                <m:sub>
                  <m:r>
                    <m:t>s</m:t>
                  </m:r>
                </m:sub>
              </m:sSub>
            </m:oMath>
            <w:r>
              <w:t xml:space="preserve">.</w:t>
            </w:r>
          </w:p>
          <w:bookmarkEnd w:id="69"/>
        </w:tc>
      </w:tr>
    </w:tbl>
    <w:p>
      <w:pPr>
        <w:pStyle w:val="BodyText"/>
      </w:pPr>
      <w:r>
        <w:t xml:space="preserve">Of particular note, method 6 provides a better fit to listeners’ responses than the</w:t>
      </w:r>
      <w:r>
        <w:t xml:space="preserve"> </w:t>
      </w:r>
      <w:r>
        <w:t xml:space="preserve">‘</w:t>
      </w:r>
      <w:r>
        <w:t xml:space="preserve">classic</w:t>
      </w:r>
      <w:r>
        <w:t xml:space="preserve">’</w:t>
      </w:r>
      <w:r>
        <w:t xml:space="preserve"> </w:t>
      </w:r>
      <w:r>
        <w:t xml:space="preserve">approach over balanced data</w:t>
      </w:r>
      <w:r>
        <w:t xml:space="preserve"> </w:t>
      </w:r>
      <w:r>
        <w:t xml:space="preserve">(method 1 in Nearey and Assmann 2007)</w:t>
      </w:r>
      <w:r>
        <w:t xml:space="preserve">.</w:t>
      </w:r>
      <w:r>
        <w:rPr>
          <w:rStyle w:val="FootnoteReference"/>
        </w:rPr>
        <w:footnoteReference w:id="70"/>
      </w:r>
      <w:r>
        <w:t xml:space="preserve"> </w:t>
      </w:r>
      <w:r>
        <w:t xml:space="preserve">This is of note because the classic approach—which estimates</w:t>
      </w:r>
      <w:r>
        <w:t xml:space="preserve"> </w:t>
      </w:r>
      <m:oMath>
        <m:sSub>
          <m:e>
            <m:r>
              <m:t>ψ</m:t>
            </m:r>
          </m:e>
          <m:sub>
            <m:r>
              <m:t>s</m:t>
            </m:r>
          </m:sub>
        </m:sSub>
      </m:oMath>
      <w:r>
        <w:t xml:space="preserve"> </w:t>
      </w:r>
      <w:r>
        <w:t xml:space="preserve">from the balanced and complete training data—has access to far more speaker-specific information than method 6. As a consequence, the classic approach achieves the best performance in predicting the vowel category that the</w:t>
      </w:r>
      <w:r>
        <w:t xml:space="preserve"> </w:t>
      </w:r>
      <w:r>
        <w:rPr>
          <w:iCs/>
          <w:i/>
        </w:rPr>
        <w:t xml:space="preserve">talker intended to produce</w:t>
      </w:r>
      <w:r>
        <w:t xml:space="preserve"> </w:t>
      </w:r>
      <w:r>
        <w:t xml:space="preserve">(see</w:t>
      </w:r>
      <w:r>
        <w:t xml:space="preserve"> </w:t>
      </w:r>
      <w:hyperlink w:anchor="fig-bootboxplot">
        <w:r>
          <w:rPr>
            <w:rStyle w:val="Hyperlink"/>
          </w:rPr>
          <w:t xml:space="preserve">Figure 4</w:t>
        </w:r>
      </w:hyperlink>
      <w:r>
        <w:t xml:space="preserve">(b)). Yet, the classic approach does</w:t>
      </w:r>
      <w:r>
        <w:t xml:space="preserve"> </w:t>
      </w:r>
      <w:r>
        <w:rPr>
          <w:iCs/>
          <w:i/>
        </w:rPr>
        <w:t xml:space="preserve">not</w:t>
      </w:r>
      <w:r>
        <w:t xml:space="preserve"> </w:t>
      </w:r>
      <w:r>
        <w:t xml:space="preserve">provide the best explanation for listeners’ categorization responses. This highlights what should be obvious—and yet is often ignored in research on normalization: that listeners do not have access to a large and balanced set of vowel productions from a talker when they first encounter them. Effective speech perception thus requires mechanisms that can incrementally infer the relevant quantities (here</w:t>
      </w:r>
      <w:r>
        <w:t xml:space="preserve"> </w:t>
      </w:r>
      <m:oMath>
        <m:sSub>
          <m:e>
            <m:r>
              <m:t>ψ</m:t>
            </m:r>
          </m:e>
          <m:sub>
            <m:r>
              <m:t>s</m:t>
            </m:r>
          </m:sub>
        </m:sSub>
      </m:oMath>
      <w:r>
        <w:t xml:space="preserve">) based on prior expectations and other available information (e.g.,</w:t>
      </w:r>
      <w:r>
        <w:t xml:space="preserve"> </w:t>
      </w:r>
      <m:oMath>
        <m:r>
          <m:t>f</m:t>
        </m:r>
        <m:r>
          <m:t>0</m:t>
        </m:r>
      </m:oMath>
      <w:r>
        <w:t xml:space="preserve">, as in method 6).</w:t>
      </w:r>
    </w:p>
    <w:p>
      <w:pPr>
        <w:pStyle w:val="BodyText"/>
      </w:pPr>
      <w:r>
        <w:t xml:space="preserve">Method 6 also outperforms method 1 when the latter is applied trial-by-trial. We included this variant of method 1</w:t>
      </w:r>
      <w:r>
        <w:t xml:space="preserve"> </w:t>
      </w:r>
      <w:r>
        <w:t xml:space="preserve">(not considered in Nearey and Assmann 2007)</w:t>
      </w:r>
      <w:r>
        <w:t xml:space="preserve"> </w:t>
      </w:r>
      <w:r>
        <w:t xml:space="preserve">as a more direct baseline to the single-trial methods 2, 3, and 6. The fact that the single-trial variant of method 1 performs so poorly that it is not even visible in</w:t>
      </w:r>
      <w:r>
        <w:t xml:space="preserve"> </w:t>
      </w:r>
      <w:hyperlink w:anchor="fig-bootboxplot">
        <w:r>
          <w:rPr>
            <w:rStyle w:val="Hyperlink"/>
          </w:rPr>
          <w:t xml:space="preserve">Figure 4</w:t>
        </w:r>
      </w:hyperlink>
      <w:r>
        <w:t xml:space="preserve"> </w:t>
      </w:r>
      <w:r>
        <w:t xml:space="preserve">(a) validates the issues we raised in section</w:t>
      </w:r>
      <w:r>
        <w:t xml:space="preserve"> </w:t>
      </w:r>
      <w:hyperlink w:anchor="sec-methods">
        <w:r>
          <w:rPr>
            <w:rStyle w:val="Hyperlink"/>
          </w:rPr>
          <w:t xml:space="preserve">Section 4</w:t>
        </w:r>
      </w:hyperlink>
      <w:r>
        <w:t xml:space="preserve"> </w:t>
      </w:r>
      <w:r>
        <w:t xml:space="preserve">about method 1: it would lead to highly unstable vowel perception, and listeners do not seem to use it.</w:t>
      </w:r>
    </w:p>
    <w:p>
      <w:pPr>
        <w:pStyle w:val="BodyText"/>
      </w:pPr>
      <w:r>
        <w:t xml:space="preserve">Finally, another appealing feature of the STM is that it provides estimates of</w:t>
      </w:r>
      <w:r>
        <w:t xml:space="preserve"> </w:t>
      </w:r>
      <m:oMath>
        <m:sSub>
          <m:e>
            <m:r>
              <m:t>ψ</m:t>
            </m:r>
          </m:e>
          <m:sub>
            <m:r>
              <m:t>s</m:t>
            </m:r>
          </m:sub>
        </m:sSub>
      </m:oMath>
      <w:r>
        <w:t xml:space="preserve"> </w:t>
      </w:r>
      <w:r>
        <w:t xml:space="preserve">‘</w:t>
      </w:r>
      <w:r>
        <w:t xml:space="preserve">for free</w:t>
      </w:r>
      <w:r>
        <w:t xml:space="preserve">’</w:t>
      </w:r>
      <w:r>
        <w:t xml:space="preserve">, naturally tying together speech perception and the perception of speaker size. Here, we do not have access to listeners’ estimates of</w:t>
      </w:r>
      <w:r>
        <w:t xml:space="preserve"> </w:t>
      </w:r>
      <m:oMath>
        <m:sSub>
          <m:e>
            <m:r>
              <m:t>ψ</m:t>
            </m:r>
          </m:e>
          <m:sub>
            <m:r>
              <m:t>s</m:t>
            </m:r>
          </m:sub>
        </m:sSub>
      </m:oMath>
      <w:r>
        <w:t xml:space="preserve">, and thus cannot directly compare the different methods against that ground truth. We can, however, compare how accurately the incremental P/BSTM methods estimate the</w:t>
      </w:r>
      <w:r>
        <w:t xml:space="preserve"> </w:t>
      </w:r>
      <m:oMath>
        <m:sSub>
          <m:e>
            <m:r>
              <m:t>ψ</m:t>
            </m:r>
          </m:e>
          <m:sub>
            <m:r>
              <m:t>s</m:t>
            </m:r>
          </m:sub>
        </m:sSub>
      </m:oMath>
      <w:r>
        <w:t xml:space="preserve"> </w:t>
      </w:r>
      <w:r>
        <w:t xml:space="preserve">that would results from calculating</w:t>
      </w:r>
      <w:r>
        <w:t xml:space="preserve"> </w:t>
      </w:r>
      <m:oMath>
        <m:sSub>
          <m:e>
            <m:r>
              <m:t>ψ</m:t>
            </m:r>
          </m:e>
          <m:sub>
            <m:r>
              <m:t>s</m:t>
            </m:r>
          </m:sub>
        </m:sSub>
      </m:oMath>
      <w:r>
        <w:t xml:space="preserve"> </w:t>
      </w:r>
      <w:r>
        <w:t xml:space="preserve">over the entire data from the talker (i.e., our best estimate of that</w:t>
      </w:r>
      <w:r>
        <w:t xml:space="preserve"> </w:t>
      </w:r>
      <m:oMath>
        <m:sSub>
          <m:e>
            <m:r>
              <m:t>ψ</m:t>
            </m:r>
          </m:e>
          <m:sub>
            <m:r>
              <m:t>s</m:t>
            </m:r>
          </m:sub>
        </m:sSub>
      </m:oMath>
      <w:r>
        <w:t xml:space="preserve">). As shown in</w:t>
      </w:r>
      <w:r>
        <w:t xml:space="preserve"> </w:t>
      </w:r>
      <w:hyperlink w:anchor="fig-bootboxplot">
        <w:r>
          <w:rPr>
            <w:rStyle w:val="Hyperlink"/>
          </w:rPr>
          <w:t xml:space="preserve">Figure 4</w:t>
        </w:r>
      </w:hyperlink>
      <w:r>
        <w:t xml:space="preserve"> </w:t>
      </w:r>
      <w:r>
        <w:t xml:space="preserve">(c), method 6 again performed best, and achieved the lowest RMS errors in</w:t>
      </w:r>
      <w:r>
        <w:t xml:space="preserve"> </w:t>
      </w:r>
      <m:oMath>
        <m:sSub>
          <m:e>
            <m:acc>
              <m:accPr>
                <m:chr m:val="̂"/>
              </m:accPr>
              <m:e>
                <m:r>
                  <m:t>ψ</m:t>
                </m:r>
              </m:e>
            </m:acc>
          </m:e>
          <m:sub>
            <m:r>
              <m:t>s</m:t>
            </m:r>
          </m:sub>
        </m:sSub>
      </m:oMath>
      <w:r>
        <w:t xml:space="preserve"> </w:t>
      </w:r>
      <w:r>
        <w:t xml:space="preserve">estimation compared to methods 2 and 3.</w:t>
      </w:r>
    </w:p>
    <w:bookmarkEnd w:id="71"/>
    <w:bookmarkEnd w:id="72"/>
    <w:bookmarkStart w:id="74" w:name="conclusions-and-future-directions"/>
    <w:p>
      <w:pPr>
        <w:pStyle w:val="Heading1"/>
      </w:pPr>
      <w:r>
        <w:t xml:space="preserve">6. Conclusions and Future Directions</w:t>
      </w:r>
    </w:p>
    <w:p>
      <w:pPr>
        <w:pStyle w:val="FirstParagraph"/>
      </w:pPr>
      <w:r>
        <w:t xml:space="preserve">Almost two decades after its introduction, the PSTM remains the only published fully spelled-out model of incremental formant normalization and vowel perception. By making available the code for this model in the form of an R library, we hope to make the advantages of the PSTM and its extensions more accessible to other researchers. The PSTM’s approach to normalization, uniform scaling, is rooted in principled considerations about the biology of auditory perception in the mammalian brain, validated by cross-species comparisons</w:t>
      </w:r>
      <w:r>
        <w:t xml:space="preserve"> </w:t>
      </w:r>
      <w:r>
        <w:t xml:space="preserve">(reviewed in Barreda 2020)</w:t>
      </w:r>
      <w:r>
        <w:t xml:space="preserve">. The log-mean method of uniform scaling has been consistently found to provide a better fit against listeners’ perception than other influential methods, such as Lobanov normalization</w:t>
      </w:r>
      <w:r>
        <w:t xml:space="preserve"> </w:t>
      </w:r>
      <w:r>
        <w:t xml:space="preserve">(Barreda 2021; Persson, Barreda, and Jaeger 2024; Richter et al. 2017)</w:t>
      </w:r>
      <w:r>
        <w:t xml:space="preserve">.</w:t>
      </w:r>
    </w:p>
    <w:p>
      <w:pPr>
        <w:pStyle w:val="BodyText"/>
      </w:pPr>
      <w:r>
        <w:t xml:space="preserve">Our bootstrap simulations confirm that method 6—which assumes that listeners consider both intrinsic and extrinsic information in guiding their prior expectations about</w:t>
      </w:r>
      <w:r>
        <w:t xml:space="preserve"> </w:t>
      </w:r>
      <m:oMath>
        <m:sSub>
          <m:e>
            <m:r>
              <m:t>ψ</m:t>
            </m:r>
          </m:e>
          <m:sub>
            <m:r>
              <m:t>s</m:t>
            </m:r>
          </m:sub>
        </m:sSub>
      </m:oMath>
      <w:r>
        <w:t xml:space="preserve">—best explains listeners’ behavior in the data from</w:t>
      </w:r>
      <w:r>
        <w:t xml:space="preserve"> </w:t>
      </w:r>
      <w:r>
        <w:t xml:space="preserve">Hillenbrand et al. (1995)</w:t>
      </w:r>
      <w:r>
        <w:t xml:space="preserve">. The new BSTM, a more fully Bayesian extension of the PSTM, performed similarly to the original PSTM—both in terms of the ability to capture listeners’ perception of vowels, and in terms of estimating the uniform scaling parameter</w:t>
      </w:r>
      <w:r>
        <w:t xml:space="preserve"> </w:t>
      </w:r>
      <m:oMath>
        <m:sSub>
          <m:e>
            <m:r>
              <m:t>ψ</m:t>
            </m:r>
          </m:e>
          <m:sub>
            <m:r>
              <m:t>s</m:t>
            </m:r>
          </m:sub>
        </m:sSub>
      </m:oMath>
      <w:r>
        <w:t xml:space="preserve">.</w:t>
      </w:r>
    </w:p>
    <w:p>
      <w:pPr>
        <w:pStyle w:val="BodyText"/>
      </w:pPr>
      <w:r>
        <w:t xml:space="preserve">In future work we plan to expand evaluation of the BSTM in three ways. First, here we evaluated</w:t>
      </w:r>
      <w:r>
        <w:t xml:space="preserve"> </w:t>
      </w:r>
      <w:r>
        <w:t xml:space="preserve">‘</w:t>
      </w:r>
      <w:r>
        <w:t xml:space="preserve">single-shot</w:t>
      </w:r>
      <w:r>
        <w:t xml:space="preserve">’</w:t>
      </w:r>
      <w:r>
        <w:t xml:space="preserve"> </w:t>
      </w:r>
      <w:r>
        <w:t xml:space="preserve">implementations of methods 2, 3, and 6. That is, we did not incrementally accumulate information about</w:t>
      </w:r>
      <w:r>
        <w:t xml:space="preserve"> </w:t>
      </w:r>
      <m:oMath>
        <m:sSub>
          <m:e>
            <m:r>
              <m:t>ψ</m:t>
            </m:r>
          </m:e>
          <m:sub>
            <m:r>
              <m:t>s</m:t>
            </m:r>
          </m:sub>
        </m:sSub>
      </m:oMath>
      <w:r>
        <w:t xml:space="preserve"> </w:t>
      </w:r>
      <w:r>
        <w:t xml:space="preserve">across trials. For data like those in</w:t>
      </w:r>
      <w:r>
        <w:t xml:space="preserve"> </w:t>
      </w:r>
      <w:r>
        <w:t xml:space="preserve">Hillenbrand et al. (1995)</w:t>
      </w:r>
      <w:r>
        <w:t xml:space="preserve">, where listeners’ rarely hear speech from the same talker for multiple trials in a row, this is likely an acceptable simplifying assumption. However, the single-shot implementations considered here might well underestimate listeners’ ability to integrate information across observations from the same talker. In future work, we thus plan to extend these methods to incrementally update the prior based on observations from the same talker</w:t>
      </w:r>
      <w:r>
        <w:t xml:space="preserve"> </w:t>
      </w:r>
      <w:r>
        <w:t xml:space="preserve">(see discussion in Xie, Jaeger, and Kurumada 2023)</w:t>
      </w:r>
      <w:r>
        <w:t xml:space="preserve">. The Bayesian approach inherent in the P/BSTM is ideally suited for this purpose.</w:t>
      </w:r>
    </w:p>
    <w:p>
      <w:pPr>
        <w:pStyle w:val="BodyText"/>
      </w:pPr>
      <w:r>
        <w:t xml:space="preserve">Second, the BSTM can naturally integrate the perception of indexical speaker characteristics such as age</w:t>
      </w:r>
      <w:r>
        <w:t xml:space="preserve"> </w:t>
      </w:r>
      <w:r>
        <w:t xml:space="preserve">(Barreda and Assmann 2018)</w:t>
      </w:r>
      <w:r>
        <w:t xml:space="preserve">, height</w:t>
      </w:r>
      <w:r>
        <w:t xml:space="preserve"> </w:t>
      </w:r>
      <w:r>
        <w:t xml:space="preserve">(Barreda 2017)</w:t>
      </w:r>
      <w:r>
        <w:t xml:space="preserve">, or gender</w:t>
      </w:r>
      <w:r>
        <w:t xml:space="preserve"> </w:t>
      </w:r>
      <w:r>
        <w:t xml:space="preserve">(Barreda and Assmann 2021)</w:t>
      </w:r>
      <w:r>
        <w:t xml:space="preserve">, via their shared reliance on</w:t>
      </w:r>
      <w:r>
        <w:t xml:space="preserve"> </w:t>
      </w:r>
      <m:oMath>
        <m:sSub>
          <m:e>
            <m:r>
              <m:t>ψ</m:t>
            </m:r>
          </m:e>
          <m:sub>
            <m:r>
              <m:t>s</m:t>
            </m:r>
          </m:sub>
        </m:sSub>
      </m:oMath>
      <w:r>
        <w:t xml:space="preserve"> </w:t>
      </w:r>
      <w:r>
        <w:t xml:space="preserve">(see also Kleinschmidt, Weatherholtz, and Jaeger 2018)</w:t>
      </w:r>
      <w:r>
        <w:t xml:space="preserve">. For example, consider the perception of some speaker characteristic</w:t>
      </w:r>
      <w:r>
        <w:t xml:space="preserve"> </w:t>
      </w:r>
      <m:oMath>
        <m:r>
          <m:t>θ</m:t>
        </m:r>
      </m:oMath>
      <w:r>
        <w:t xml:space="preserve">. To simultaneously estimate vowel category,</w:t>
      </w:r>
      <w:r>
        <w:t xml:space="preserve"> </w:t>
      </w:r>
      <m:oMath>
        <m:sSub>
          <m:e>
            <m:r>
              <m:t>ψ</m:t>
            </m:r>
          </m:e>
          <m:sub>
            <m:r>
              <m:t>s</m:t>
            </m:r>
          </m:sub>
        </m:sSub>
      </m:oMath>
      <w:r>
        <w:t xml:space="preserve">,</w:t>
      </w:r>
      <w:r>
        <w:t xml:space="preserve"> </w:t>
      </w:r>
      <w:r>
        <w:rPr>
          <w:iCs/>
          <w:i/>
        </w:rPr>
        <w:t xml:space="preserve">and</w:t>
      </w:r>
      <w:r>
        <w:t xml:space="preserve"> </w:t>
      </w:r>
      <w:r>
        <w:t xml:space="preserve">this new characteristic, we would add it to our model as in</w:t>
      </w:r>
      <w:r>
        <w:t xml:space="preserve"> </w:t>
      </w:r>
      <w:hyperlink w:anchor="X16094044cb604ec2c675a2bf21df4946880f006">
        <w:r>
          <w:rPr>
            <w:rStyle w:val="Hyperlink"/>
          </w:rPr>
          <w:t xml:space="preserve">Equation 19</w:t>
        </w:r>
      </w:hyperlink>
      <w:r>
        <w:t xml:space="preserve">. This requires adding</w:t>
      </w:r>
      <w:r>
        <w:t xml:space="preserve"> </w:t>
      </w:r>
      <m:oMath>
        <m:r>
          <m:t>θ</m:t>
        </m:r>
      </m:oMath>
      <w:r>
        <w:t xml:space="preserve"> </w:t>
      </w:r>
      <w:r>
        <w:t xml:space="preserve">to the likelihood and considering joint prior of</w:t>
      </w:r>
      <w:r>
        <w:t xml:space="preserve"> </w:t>
      </w:r>
      <m:oMath>
        <m:r>
          <m:t>θ</m:t>
        </m:r>
      </m:oMath>
      <w:r>
        <w:t xml:space="preserve">,</w:t>
      </w:r>
      <w:r>
        <w:t xml:space="preserve"> </w:t>
      </w:r>
      <m:oMath>
        <m:sSub>
          <m:e>
            <m:r>
              <m:t>ψ</m:t>
            </m:r>
          </m:e>
          <m:sub>
            <m:r>
              <m:t>s</m:t>
            </m:r>
          </m:sub>
        </m:sSub>
      </m:oMath>
      <w:r>
        <w:t xml:space="preserve"> </w:t>
      </w:r>
      <w:r>
        <w:t xml:space="preserve">and vowel category. Such an approach would allow for a direct empirical comparison of different models regarding the perceptual integration of speech and social perception with relatively modest extensions of the models described here.</w:t>
      </w:r>
    </w:p>
    <w:p>
      <w:pPr>
        <w:pStyle w:val="BodyText"/>
      </w:pPr>
      <w:bookmarkStart w:id="73" w:name="X16094044cb604ec2c675a2bf21df4946880f006"/>
      <m:oMathPara>
        <m:oMathParaPr>
          <m:jc m:val="center"/>
        </m:oMathParaPr>
        <m:oMath>
          <m:r>
            <m:t>P</m:t>
          </m:r>
          <m:d>
            <m:dPr>
              <m:begChr m:val="("/>
              <m:endChr m:val=")"/>
              <m:sepChr m:val=""/>
              <m:grow/>
            </m:dPr>
            <m:e>
              <m:r>
                <m:rPr>
                  <m:nor/>
                  <m:sty m:val="p"/>
                </m:rPr>
                <m:t>v</m:t>
              </m:r>
              <m:r>
                <m:rPr>
                  <m:sty m:val="p"/>
                </m:rPr>
                <m:t>,</m:t>
              </m:r>
              <m:sSub>
                <m:e>
                  <m:r>
                    <m:t>ψ</m:t>
                  </m:r>
                </m:e>
                <m:sub>
                  <m:r>
                    <m:t>s</m:t>
                  </m:r>
                </m:sub>
              </m:sSub>
              <m:r>
                <m:rPr>
                  <m:sty m:val="p"/>
                </m:rPr>
                <m:t>,</m:t>
              </m:r>
              <m:r>
                <m:t>θ</m:t>
              </m:r>
              <m:r>
                <m:rPr>
                  <m:sty m:val="p"/>
                </m:rPr>
                <m:t>|</m:t>
              </m:r>
              <m:acc>
                <m:accPr>
                  <m:chr m:val="⃗"/>
                </m:accPr>
                <m:e>
                  <m:r>
                    <m:t>G</m:t>
                  </m:r>
                </m:e>
              </m:acc>
            </m:e>
          </m:d>
          <m:r>
            <m:rPr>
              <m:sty m:val="p"/>
            </m:rPr>
            <m:t>∝</m:t>
          </m:r>
          <m:r>
            <m:t>P</m:t>
          </m:r>
          <m:d>
            <m:dPr>
              <m:begChr m:val="("/>
              <m:endChr m:val=")"/>
              <m:sepChr m:val=""/>
              <m:grow/>
            </m:dPr>
            <m:e>
              <m:acc>
                <m:accPr>
                  <m:chr m:val="⃗"/>
                </m:accPr>
                <m:e>
                  <m:r>
                    <m:t>G</m:t>
                  </m:r>
                </m:e>
              </m:acc>
              <m:r>
                <m:rPr>
                  <m:sty m:val="p"/>
                </m:rPr>
                <m:t>|</m:t>
              </m:r>
              <m:r>
                <m:rPr>
                  <m:nor/>
                  <m:sty m:val="p"/>
                </m:rPr>
                <m:t>v</m:t>
              </m:r>
              <m:r>
                <m:rPr>
                  <m:sty m:val="p"/>
                </m:rPr>
                <m:t>,</m:t>
              </m:r>
              <m:sSub>
                <m:e>
                  <m:r>
                    <m:t>ψ</m:t>
                  </m:r>
                </m:e>
                <m:sub>
                  <m:r>
                    <m:t>s</m:t>
                  </m:r>
                </m:sub>
              </m:sSub>
              <m:r>
                <m:rPr>
                  <m:sty m:val="p"/>
                </m:rPr>
                <m:t>,</m:t>
              </m:r>
              <m:r>
                <m:t>θ</m:t>
              </m:r>
            </m:e>
          </m:d>
          <m:r>
            <m:rPr>
              <m:sty m:val="p"/>
            </m:rPr>
            <m:t>⋅</m:t>
          </m:r>
          <m:r>
            <m:t>P</m:t>
          </m:r>
          <m:d>
            <m:dPr>
              <m:begChr m:val="("/>
              <m:endChr m:val=")"/>
              <m:sepChr m:val=""/>
              <m:grow/>
            </m:dPr>
            <m:e>
              <m:r>
                <m:rPr>
                  <m:nor/>
                  <m:sty m:val="p"/>
                </m:rPr>
                <m:t>v</m:t>
              </m:r>
              <m:r>
                <m:rPr>
                  <m:sty m:val="p"/>
                </m:rPr>
                <m:t>,</m:t>
              </m:r>
              <m:sSub>
                <m:e>
                  <m:r>
                    <m:t>ψ</m:t>
                  </m:r>
                </m:e>
                <m:sub>
                  <m:r>
                    <m:t>s</m:t>
                  </m:r>
                </m:sub>
              </m:sSub>
              <m:r>
                <m:rPr>
                  <m:sty m:val="p"/>
                </m:rPr>
                <m:t>,</m:t>
              </m:r>
              <m:r>
                <m:t>θ</m:t>
              </m:r>
            </m:e>
          </m:d>
          <m:r>
            <m:t>  </m:t>
          </m:r>
          <m:d>
            <m:dPr>
              <m:begChr m:val="("/>
              <m:endChr m:val=")"/>
              <m:sepChr m:val=""/>
              <m:grow/>
            </m:dPr>
            <m:e>
              <m:r>
                <m:t>19</m:t>
              </m:r>
            </m:e>
          </m:d>
        </m:oMath>
      </m:oMathPara>
      <w:bookmarkEnd w:id="73"/>
    </w:p>
    <w:p>
      <w:pPr>
        <w:pStyle w:val="FirstParagraph"/>
      </w:pPr>
      <w:r>
        <w:t xml:space="preserve">Third and finally, the general framework for incremental normalization presented here can be extended to a wide range of other normalization methods. This will allow comparisons between different approaches to incremental formant normalization.</w:t>
      </w:r>
    </w:p>
    <w:bookmarkEnd w:id="74"/>
    <w:bookmarkStart w:id="107" w:name="references"/>
    <w:p>
      <w:pPr>
        <w:pStyle w:val="Heading1"/>
      </w:pPr>
      <w:r>
        <w:t xml:space="preserve">7. References</w:t>
      </w:r>
    </w:p>
    <w:bookmarkStart w:id="106" w:name="refs"/>
    <w:bookmarkStart w:id="75" w:name="ref-ak00"/>
    <w:p>
      <w:pPr>
        <w:pStyle w:val="Bibliography"/>
      </w:pPr>
      <w:r>
        <w:t xml:space="preserve">Assmann, Peter F, and William F Katz. 2000.</w:t>
      </w:r>
      <w:r>
        <w:t xml:space="preserve"> </w:t>
      </w:r>
      <w:r>
        <w:t xml:space="preserve">“Time-Varying Spectral Change in the Vowels of Children and Adults.”</w:t>
      </w:r>
      <w:r>
        <w:t xml:space="preserve"> </w:t>
      </w:r>
      <w:r>
        <w:rPr>
          <w:iCs/>
          <w:i/>
        </w:rPr>
        <w:t xml:space="preserve">The Journal of the Acoustical Society of America</w:t>
      </w:r>
      <w:r>
        <w:t xml:space="preserve"> </w:t>
      </w:r>
      <w:r>
        <w:t xml:space="preserve">108 (4): 1856–66.</w:t>
      </w:r>
    </w:p>
    <w:bookmarkEnd w:id="75"/>
    <w:bookmarkStart w:id="76" w:name="ref-b_height_2017"/>
    <w:p>
      <w:pPr>
        <w:pStyle w:val="Bibliography"/>
      </w:pPr>
      <w:r>
        <w:t xml:space="preserve">Barreda, Santiago. 2017.</w:t>
      </w:r>
      <w:r>
        <w:t xml:space="preserve"> </w:t>
      </w:r>
      <w:r>
        <w:t xml:space="preserve">“An Investigation of the Systematic Use of Spectral Information in the Determination of Apparent-Talker Height.”</w:t>
      </w:r>
      <w:r>
        <w:t xml:space="preserve"> </w:t>
      </w:r>
      <w:r>
        <w:rPr>
          <w:iCs/>
          <w:i/>
        </w:rPr>
        <w:t xml:space="preserve">The Journal of the Acoustical Society of America</w:t>
      </w:r>
      <w:r>
        <w:t xml:space="preserve"> </w:t>
      </w:r>
      <w:r>
        <w:t xml:space="preserve">141 (6): 4781–92.</w:t>
      </w:r>
    </w:p>
    <w:bookmarkEnd w:id="76"/>
    <w:bookmarkStart w:id="77" w:name="ref-b20"/>
    <w:p>
      <w:pPr>
        <w:pStyle w:val="Bibliography"/>
      </w:pPr>
      <w:r>
        <w:t xml:space="preserve">———. 2020.</w:t>
      </w:r>
      <w:r>
        <w:t xml:space="preserve"> </w:t>
      </w:r>
      <w:r>
        <w:t xml:space="preserve">“Vowel Normalization as Perceptual Constancy.”</w:t>
      </w:r>
      <w:r>
        <w:t xml:space="preserve"> </w:t>
      </w:r>
      <w:r>
        <w:rPr>
          <w:iCs/>
          <w:i/>
        </w:rPr>
        <w:t xml:space="preserve">Language</w:t>
      </w:r>
      <w:r>
        <w:t xml:space="preserve"> </w:t>
      </w:r>
      <w:r>
        <w:t xml:space="preserve">96 (2).</w:t>
      </w:r>
    </w:p>
    <w:bookmarkEnd w:id="77"/>
    <w:bookmarkStart w:id="78" w:name="ref-b21"/>
    <w:p>
      <w:pPr>
        <w:pStyle w:val="Bibliography"/>
      </w:pPr>
      <w:r>
        <w:t xml:space="preserve">———. 2021.</w:t>
      </w:r>
      <w:r>
        <w:t xml:space="preserve"> </w:t>
      </w:r>
      <w:r>
        <w:t xml:space="preserve">“Perceptual Validation of Vowel Normalization Methods for Variationist Research.”</w:t>
      </w:r>
      <w:r>
        <w:t xml:space="preserve"> </w:t>
      </w:r>
      <w:r>
        <w:rPr>
          <w:iCs/>
          <w:i/>
        </w:rPr>
        <w:t xml:space="preserve">Language Variation and Change</w:t>
      </w:r>
      <w:r>
        <w:t xml:space="preserve">, 1–27.</w:t>
      </w:r>
    </w:p>
    <w:bookmarkEnd w:id="78"/>
    <w:bookmarkStart w:id="79" w:name="ref-b_gender_21"/>
    <w:p>
      <w:pPr>
        <w:pStyle w:val="Bibliography"/>
      </w:pPr>
      <w:r>
        <w:t xml:space="preserve">Barreda, Santiago, and Peter F Assmann. 2021.</w:t>
      </w:r>
      <w:r>
        <w:t xml:space="preserve"> </w:t>
      </w:r>
      <w:r>
        <w:t xml:space="preserve">“Perception of Gender in Children’s Voices.”</w:t>
      </w:r>
      <w:r>
        <w:t xml:space="preserve"> </w:t>
      </w:r>
      <w:r>
        <w:rPr>
          <w:iCs/>
          <w:i/>
        </w:rPr>
        <w:t xml:space="preserve">The Journal of the Acoustical Society of America</w:t>
      </w:r>
      <w:r>
        <w:t xml:space="preserve"> </w:t>
      </w:r>
      <w:r>
        <w:t xml:space="preserve">150 (5): 3949–63.</w:t>
      </w:r>
    </w:p>
    <w:bookmarkEnd w:id="79"/>
    <w:bookmarkStart w:id="81" w:name="ref-b_age_2018"/>
    <w:p>
      <w:pPr>
        <w:pStyle w:val="Bibliography"/>
      </w:pPr>
      <w:r>
        <w:t xml:space="preserve">Barreda, Santiago, and Peter F. Assmann. 2018.</w:t>
      </w:r>
      <w:r>
        <w:t xml:space="preserve"> </w:t>
      </w:r>
      <w:r>
        <w:t xml:space="preserve">“Modeling the Perception of Children’s Age from Speech Acoustics.”</w:t>
      </w:r>
      <w:r>
        <w:t xml:space="preserve"> </w:t>
      </w:r>
      <w:r>
        <w:rPr>
          <w:iCs/>
          <w:i/>
        </w:rPr>
        <w:t xml:space="preserve">The Journal of the Acoustical Society of America</w:t>
      </w:r>
      <w:r>
        <w:t xml:space="preserve"> </w:t>
      </w:r>
      <w:r>
        <w:t xml:space="preserve">143 (5): EL361.</w:t>
      </w:r>
      <w:r>
        <w:t xml:space="preserve"> </w:t>
      </w:r>
      <w:hyperlink r:id="rId80">
        <w:r>
          <w:rPr>
            <w:rStyle w:val="Hyperlink"/>
          </w:rPr>
          <w:t xml:space="preserve">https://doi.org/10.1121/1.5037614</w:t>
        </w:r>
      </w:hyperlink>
      <w:r>
        <w:t xml:space="preserve">.</w:t>
      </w:r>
    </w:p>
    <w:bookmarkEnd w:id="81"/>
    <w:bookmarkStart w:id="82" w:name="ref-barreda-nearey2018"/>
    <w:p>
      <w:pPr>
        <w:pStyle w:val="Bibliography"/>
      </w:pPr>
      <w:r>
        <w:t xml:space="preserve">Barreda, Santiago, and Terrance M Nearey. 2018.</w:t>
      </w:r>
      <w:r>
        <w:t xml:space="preserve"> </w:t>
      </w:r>
      <w:r>
        <w:t xml:space="preserve">“A Regression Approach to Vowel Normalization for Missing and Unbalanced Data.”</w:t>
      </w:r>
      <w:r>
        <w:t xml:space="preserve"> </w:t>
      </w:r>
      <w:r>
        <w:rPr>
          <w:iCs/>
          <w:i/>
        </w:rPr>
        <w:t xml:space="preserve">The Journal of the Acoustical Society of America</w:t>
      </w:r>
      <w:r>
        <w:t xml:space="preserve"> </w:t>
      </w:r>
      <w:r>
        <w:t xml:space="preserve">144 (1): 500–520.</w:t>
      </w:r>
    </w:p>
    <w:bookmarkEnd w:id="82"/>
    <w:bookmarkStart w:id="84" w:name="ref-h95"/>
    <w:p>
      <w:pPr>
        <w:pStyle w:val="Bibliography"/>
      </w:pPr>
      <w:r>
        <w:t xml:space="preserve">Hillenbrand, James M., Laura A. Getty, Michael J. Clark, and Kevin Wheeler. 1995.</w:t>
      </w:r>
      <w:r>
        <w:t xml:space="preserve"> </w:t>
      </w:r>
      <w:r>
        <w:t xml:space="preserve">“Acoustic Characteristics of</w:t>
      </w:r>
      <w:r>
        <w:t xml:space="preserve"> </w:t>
      </w:r>
      <w:r>
        <w:t xml:space="preserve">American</w:t>
      </w:r>
      <w:r>
        <w:t xml:space="preserve"> </w:t>
      </w:r>
      <w:r>
        <w:t xml:space="preserve">English</w:t>
      </w:r>
      <w:r>
        <w:t xml:space="preserve"> </w:t>
      </w:r>
      <w:r>
        <w:t xml:space="preserve">Vowels.”</w:t>
      </w:r>
      <w:r>
        <w:t xml:space="preserve"> </w:t>
      </w:r>
      <w:r>
        <w:rPr>
          <w:iCs/>
          <w:i/>
        </w:rPr>
        <w:t xml:space="preserve">The Journal of the Acoustical Society of America</w:t>
      </w:r>
      <w:r>
        <w:t xml:space="preserve"> </w:t>
      </w:r>
      <w:r>
        <w:t xml:space="preserve">97 (5): 3099.</w:t>
      </w:r>
      <w:r>
        <w:t xml:space="preserve"> </w:t>
      </w:r>
      <w:hyperlink r:id="rId83">
        <w:r>
          <w:rPr>
            <w:rStyle w:val="Hyperlink"/>
          </w:rPr>
          <w:t xml:space="preserve">https://doi.org/10.1121/1.413041</w:t>
        </w:r>
      </w:hyperlink>
      <w:r>
        <w:t xml:space="preserve">.</w:t>
      </w:r>
    </w:p>
    <w:bookmarkEnd w:id="84"/>
    <w:bookmarkStart w:id="86" w:name="ref-hn99"/>
    <w:p>
      <w:pPr>
        <w:pStyle w:val="Bibliography"/>
      </w:pPr>
      <w:r>
        <w:t xml:space="preserve">Hillenbrand, James M., and T M Nearey. 1999.</w:t>
      </w:r>
      <w:r>
        <w:t xml:space="preserve"> </w:t>
      </w:r>
      <w:r>
        <w:t xml:space="preserve">“Identification of Resynthesized /</w:t>
      </w:r>
      <w:r>
        <w:t xml:space="preserve">hVd</w:t>
      </w:r>
      <w:r>
        <w:t xml:space="preserve">/ Utterances:</w:t>
      </w:r>
      <w:r>
        <w:t xml:space="preserve"> </w:t>
      </w:r>
      <w:r>
        <w:t xml:space="preserve">Effects</w:t>
      </w:r>
      <w:r>
        <w:t xml:space="preserve"> </w:t>
      </w:r>
      <w:r>
        <w:t xml:space="preserve">of Formant Contour.”</w:t>
      </w:r>
      <w:r>
        <w:t xml:space="preserve"> </w:t>
      </w:r>
      <w:r>
        <w:rPr>
          <w:iCs/>
          <w:i/>
        </w:rPr>
        <w:t xml:space="preserve">The Journal of the Acoustical Society of America</w:t>
      </w:r>
      <w:r>
        <w:t xml:space="preserve"> </w:t>
      </w:r>
      <w:r>
        <w:t xml:space="preserve">105 (6): 3509–23.</w:t>
      </w:r>
      <w:r>
        <w:t xml:space="preserve"> </w:t>
      </w:r>
      <w:hyperlink r:id="rId85">
        <w:r>
          <w:rPr>
            <w:rStyle w:val="Hyperlink"/>
          </w:rPr>
          <w:t xml:space="preserve">https://doi.org/10.1121/1.424676</w:t>
        </w:r>
      </w:hyperlink>
      <w:r>
        <w:t xml:space="preserve">.</w:t>
      </w:r>
    </w:p>
    <w:bookmarkEnd w:id="86"/>
    <w:bookmarkStart w:id="87" w:name="ref-johnson1997"/>
    <w:p>
      <w:pPr>
        <w:pStyle w:val="Bibliography"/>
      </w:pPr>
      <w:r>
        <w:t xml:space="preserve">Johnson, K. 1997.</w:t>
      </w:r>
      <w:r>
        <w:t xml:space="preserve"> </w:t>
      </w:r>
      <w:r>
        <w:t xml:space="preserve">“Speech Perception Without Speaker Normalization.”</w:t>
      </w:r>
      <w:r>
        <w:t xml:space="preserve"> </w:t>
      </w:r>
      <w:r>
        <w:t xml:space="preserve">In</w:t>
      </w:r>
      <w:r>
        <w:t xml:space="preserve"> </w:t>
      </w:r>
      <w:r>
        <w:rPr>
          <w:iCs/>
          <w:i/>
        </w:rPr>
        <w:t xml:space="preserve">Talker Variability in Speech Processing</w:t>
      </w:r>
      <w:r>
        <w:t xml:space="preserve">, edited by K Johnson and J W Mullennix, 145–46. San Diego: Academic Press.</w:t>
      </w:r>
    </w:p>
    <w:bookmarkEnd w:id="87"/>
    <w:bookmarkStart w:id="88" w:name="ref-kleinschmidt-jaeger2015"/>
    <w:p>
      <w:pPr>
        <w:pStyle w:val="Bibliography"/>
      </w:pPr>
      <w:r>
        <w:t xml:space="preserve">Kleinschmidt, Dave F, and T Florian Jaeger. 2015.</w:t>
      </w:r>
      <w:r>
        <w:t xml:space="preserve"> </w:t>
      </w:r>
      <w:r>
        <w:t xml:space="preserve">“Robust Speech Perception: Recognize the Familiar, Generalize to the Similar, and Adapt to the Novel.”</w:t>
      </w:r>
      <w:r>
        <w:t xml:space="preserve"> </w:t>
      </w:r>
      <w:r>
        <w:rPr>
          <w:iCs/>
          <w:i/>
        </w:rPr>
        <w:t xml:space="preserve">Psychological Review</w:t>
      </w:r>
      <w:r>
        <w:t xml:space="preserve"> </w:t>
      </w:r>
      <w:r>
        <w:t xml:space="preserve">122 (2): 148.</w:t>
      </w:r>
    </w:p>
    <w:bookmarkEnd w:id="88"/>
    <w:bookmarkStart w:id="89" w:name="ref-kleinschmidt2018"/>
    <w:p>
      <w:pPr>
        <w:pStyle w:val="Bibliography"/>
      </w:pPr>
      <w:r>
        <w:t xml:space="preserve">Kleinschmidt, Dave F, Kodi Weatherholtz, and T Florian Jaeger. 2018.</w:t>
      </w:r>
      <w:r>
        <w:t xml:space="preserve"> </w:t>
      </w:r>
      <w:r>
        <w:t xml:space="preserve">“Sociolinguistic Perception as Inference Under Uncertainty.”</w:t>
      </w:r>
      <w:r>
        <w:t xml:space="preserve"> </w:t>
      </w:r>
      <w:r>
        <w:rPr>
          <w:iCs/>
          <w:i/>
        </w:rPr>
        <w:t xml:space="preserve">Topics in Cognitive Science</w:t>
      </w:r>
      <w:r>
        <w:t xml:space="preserve"> </w:t>
      </w:r>
      <w:r>
        <w:t xml:space="preserve">10 (4): 818–34.</w:t>
      </w:r>
    </w:p>
    <w:bookmarkEnd w:id="89"/>
    <w:bookmarkStart w:id="90" w:name="ref-luce-pisoni1998"/>
    <w:p>
      <w:pPr>
        <w:pStyle w:val="Bibliography"/>
      </w:pPr>
      <w:r>
        <w:t xml:space="preserve">Luce, Paul A, and David B Pisoni. 1998.</w:t>
      </w:r>
      <w:r>
        <w:t xml:space="preserve"> </w:t>
      </w:r>
      <w:r>
        <w:t xml:space="preserve">“Recognizing Spoken Words: The Neighborhood Activation Model.”</w:t>
      </w:r>
      <w:r>
        <w:t xml:space="preserve"> </w:t>
      </w:r>
      <w:r>
        <w:rPr>
          <w:iCs/>
          <w:i/>
        </w:rPr>
        <w:t xml:space="preserve">Ear and Hearing</w:t>
      </w:r>
      <w:r>
        <w:t xml:space="preserve"> </w:t>
      </w:r>
      <w:r>
        <w:t xml:space="preserve">19 (1): 1–36.</w:t>
      </w:r>
    </w:p>
    <w:bookmarkEnd w:id="90"/>
    <w:bookmarkStart w:id="91" w:name="ref-massaro-friedman1990"/>
    <w:p>
      <w:pPr>
        <w:pStyle w:val="Bibliography"/>
      </w:pPr>
      <w:r>
        <w:t xml:space="preserve">Massaro, Dominic W, and Daniel Friedman. 1990.</w:t>
      </w:r>
      <w:r>
        <w:t xml:space="preserve"> </w:t>
      </w:r>
      <w:r>
        <w:t xml:space="preserve">“Models of Integration Given Multiple Sources of Information.”</w:t>
      </w:r>
      <w:r>
        <w:t xml:space="preserve"> </w:t>
      </w:r>
      <w:r>
        <w:rPr>
          <w:iCs/>
          <w:i/>
        </w:rPr>
        <w:t xml:space="preserve">Psychological Review</w:t>
      </w:r>
      <w:r>
        <w:t xml:space="preserve"> </w:t>
      </w:r>
      <w:r>
        <w:t xml:space="preserve">97 (2): 225.</w:t>
      </w:r>
    </w:p>
    <w:bookmarkEnd w:id="91"/>
    <w:bookmarkStart w:id="92" w:name="ref-n78"/>
    <w:p>
      <w:pPr>
        <w:pStyle w:val="Bibliography"/>
      </w:pPr>
      <w:r>
        <w:t xml:space="preserve">Nearey, T M. 1978.</w:t>
      </w:r>
      <w:r>
        <w:t xml:space="preserve"> </w:t>
      </w:r>
      <w:r>
        <w:rPr>
          <w:iCs/>
          <w:i/>
        </w:rPr>
        <w:t xml:space="preserve">Phonetic Feature Systems for Vowels</w:t>
      </w:r>
      <w:r>
        <w:t xml:space="preserve">. 177. Indiana University Linguistics Club.</w:t>
      </w:r>
    </w:p>
    <w:bookmarkEnd w:id="92"/>
    <w:bookmarkStart w:id="93" w:name="ref-NA07"/>
    <w:p>
      <w:pPr>
        <w:pStyle w:val="Bibliography"/>
      </w:pPr>
      <w:r>
        <w:t xml:space="preserve">Nearey, T M, and Peter F Assmann. 2007.</w:t>
      </w:r>
      <w:r>
        <w:t xml:space="preserve"> </w:t>
      </w:r>
      <w:r>
        <w:t xml:space="preserve">“Probabilistic</w:t>
      </w:r>
      <w:r>
        <w:t xml:space="preserve"> </w:t>
      </w:r>
      <w:r>
        <w:t xml:space="preserve">‘Sliding-Template’</w:t>
      </w:r>
      <w:r>
        <w:t xml:space="preserve"> </w:t>
      </w:r>
      <w:r>
        <w:t xml:space="preserve">Models for Indirect Vowel Normalization.”</w:t>
      </w:r>
      <w:r>
        <w:t xml:space="preserve"> </w:t>
      </w:r>
      <w:r>
        <w:rPr>
          <w:iCs/>
          <w:i/>
        </w:rPr>
        <w:t xml:space="preserve">Experimental Approaches to Phonology</w:t>
      </w:r>
      <w:r>
        <w:t xml:space="preserve"> </w:t>
      </w:r>
      <w:r>
        <w:t xml:space="preserve">246.</w:t>
      </w:r>
    </w:p>
    <w:bookmarkEnd w:id="93"/>
    <w:bookmarkStart w:id="94" w:name="ref-norris-mcqueen2008"/>
    <w:p>
      <w:pPr>
        <w:pStyle w:val="Bibliography"/>
      </w:pPr>
      <w:r>
        <w:t xml:space="preserve">Norris, Dennis, and James M McQueen. 2008.</w:t>
      </w:r>
      <w:r>
        <w:t xml:space="preserve"> </w:t>
      </w:r>
      <w:r>
        <w:t xml:space="preserve">“Shortlist b: A Bayesian Model of Continuous Speech Recognition.”</w:t>
      </w:r>
      <w:r>
        <w:t xml:space="preserve"> </w:t>
      </w:r>
      <w:r>
        <w:rPr>
          <w:iCs/>
          <w:i/>
        </w:rPr>
        <w:t xml:space="preserve">Psychological Review</w:t>
      </w:r>
      <w:r>
        <w:t xml:space="preserve"> </w:t>
      </w:r>
      <w:r>
        <w:t xml:space="preserve">115 (2): 357.</w:t>
      </w:r>
    </w:p>
    <w:bookmarkEnd w:id="94"/>
    <w:bookmarkStart w:id="95" w:name="ref-persson2024"/>
    <w:p>
      <w:pPr>
        <w:pStyle w:val="Bibliography"/>
      </w:pPr>
      <w:r>
        <w:t xml:space="preserve">Persson, Anna, Santiago Barreda, and T Florian Jaeger. 2024.</w:t>
      </w:r>
      <w:r>
        <w:t xml:space="preserve"> </w:t>
      </w:r>
      <w:r>
        <w:t xml:space="preserve">“Comparing Accounts of Formant Normalization Against US English Listeners’ Vowel Perception.”</w:t>
      </w:r>
      <w:r>
        <w:t xml:space="preserve"> </w:t>
      </w:r>
      <w:r>
        <w:rPr>
          <w:iCs/>
          <w:i/>
        </w:rPr>
        <w:t xml:space="preserve">Journal of the Acoustical Society of America</w:t>
      </w:r>
      <w:r>
        <w:t xml:space="preserve">.</w:t>
      </w:r>
    </w:p>
    <w:bookmarkEnd w:id="95"/>
    <w:bookmarkStart w:id="97" w:name="ref-pb52"/>
    <w:p>
      <w:pPr>
        <w:pStyle w:val="Bibliography"/>
      </w:pPr>
      <w:r>
        <w:t xml:space="preserve">Peterson, Gordon E., and Harold L. Barney. 1952.</w:t>
      </w:r>
      <w:r>
        <w:t xml:space="preserve"> </w:t>
      </w:r>
      <w:r>
        <w:t xml:space="preserve">“Control</w:t>
      </w:r>
      <w:r>
        <w:t xml:space="preserve"> </w:t>
      </w:r>
      <w:r>
        <w:t xml:space="preserve">Methods</w:t>
      </w:r>
      <w:r>
        <w:t xml:space="preserve"> </w:t>
      </w:r>
      <w:r>
        <w:t xml:space="preserve">Used</w:t>
      </w:r>
      <w:r>
        <w:t xml:space="preserve"> </w:t>
      </w:r>
      <w:r>
        <w:t xml:space="preserve">in a</w:t>
      </w:r>
      <w:r>
        <w:t xml:space="preserve"> </w:t>
      </w:r>
      <w:r>
        <w:t xml:space="preserve">Study</w:t>
      </w:r>
      <w:r>
        <w:t xml:space="preserve"> </w:t>
      </w:r>
      <w:r>
        <w:t xml:space="preserve">of the</w:t>
      </w:r>
      <w:r>
        <w:t xml:space="preserve"> </w:t>
      </w:r>
      <w:r>
        <w:t xml:space="preserve">Vowels</w:t>
      </w:r>
      <w:r>
        <w:t xml:space="preserve">.”</w:t>
      </w:r>
      <w:r>
        <w:t xml:space="preserve"> </w:t>
      </w:r>
      <w:r>
        <w:rPr>
          <w:iCs/>
          <w:i/>
        </w:rPr>
        <w:t xml:space="preserve">The Journal of the Acoustical Society of America</w:t>
      </w:r>
      <w:r>
        <w:t xml:space="preserve"> </w:t>
      </w:r>
      <w:r>
        <w:t xml:space="preserve">24 (2): 175–84.</w:t>
      </w:r>
      <w:r>
        <w:t xml:space="preserve"> </w:t>
      </w:r>
      <w:hyperlink r:id="rId96">
        <w:r>
          <w:rPr>
            <w:rStyle w:val="Hyperlink"/>
          </w:rPr>
          <w:t xml:space="preserve">https://doi.org/10.1121/1.1906875</w:t>
        </w:r>
      </w:hyperlink>
      <w:r>
        <w:t xml:space="preserve">.</w:t>
      </w:r>
    </w:p>
    <w:bookmarkEnd w:id="97"/>
    <w:bookmarkStart w:id="99" w:name="ref-R"/>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98">
        <w:r>
          <w:rPr>
            <w:rStyle w:val="Hyperlink"/>
          </w:rPr>
          <w:t xml:space="preserve">https://www.R-project.org/</w:t>
        </w:r>
      </w:hyperlink>
      <w:r>
        <w:t xml:space="preserve">.</w:t>
      </w:r>
    </w:p>
    <w:bookmarkEnd w:id="99"/>
    <w:bookmarkStart w:id="101" w:name="ref-richter2017"/>
    <w:p>
      <w:pPr>
        <w:pStyle w:val="Bibliography"/>
      </w:pPr>
      <w:r>
        <w:t xml:space="preserve">Richter, Caitlin, Naomi H. Feldman, Harini Salgado, and Aren Jansen. 2017.</w:t>
      </w:r>
      <w:r>
        <w:t xml:space="preserve"> </w:t>
      </w:r>
      <w:r>
        <w:t xml:space="preserve">“Evaluating Low-Level Speech Features Against Human Perceptual Data.”</w:t>
      </w:r>
      <w:r>
        <w:t xml:space="preserve"> </w:t>
      </w:r>
      <w:r>
        <w:rPr>
          <w:iCs/>
          <w:i/>
        </w:rPr>
        <w:t xml:space="preserve">Transactions of the Association for Computational Linguistics</w:t>
      </w:r>
      <w:r>
        <w:t xml:space="preserve"> </w:t>
      </w:r>
      <w:r>
        <w:t xml:space="preserve">5: 425–40.</w:t>
      </w:r>
      <w:r>
        <w:t xml:space="preserve"> </w:t>
      </w:r>
      <w:hyperlink r:id="rId100">
        <w:r>
          <w:rPr>
            <w:rStyle w:val="Hyperlink"/>
          </w:rPr>
          <w:t xml:space="preserve">https://doi.org/10.1162/tacl_a_00071</w:t>
        </w:r>
      </w:hyperlink>
      <w:r>
        <w:t xml:space="preserve">.</w:t>
      </w:r>
    </w:p>
    <w:bookmarkEnd w:id="101"/>
    <w:bookmarkStart w:id="103" w:name="ref-RStudio"/>
    <w:p>
      <w:pPr>
        <w:pStyle w:val="Bibliography"/>
      </w:pPr>
      <w:r>
        <w:t xml:space="preserve">RStudio Team. 2024.</w:t>
      </w:r>
      <w:r>
        <w:t xml:space="preserve"> </w:t>
      </w:r>
      <w:r>
        <w:rPr>
          <w:iCs/>
          <w:i/>
        </w:rPr>
        <w:t xml:space="preserve">RStudio: Integrated Development Environment for r</w:t>
      </w:r>
      <w:r>
        <w:t xml:space="preserve">. Boston, MA: RStudio, PBC.</w:t>
      </w:r>
      <w:r>
        <w:t xml:space="preserve"> </w:t>
      </w:r>
      <w:hyperlink r:id="rId102">
        <w:r>
          <w:rPr>
            <w:rStyle w:val="Hyperlink"/>
          </w:rPr>
          <w:t xml:space="preserve">http://www.rstudio.com/</w:t>
        </w:r>
      </w:hyperlink>
      <w:r>
        <w:t xml:space="preserve">.</w:t>
      </w:r>
    </w:p>
    <w:bookmarkEnd w:id="103"/>
    <w:bookmarkStart w:id="104" w:name="ref-sumner2011"/>
    <w:p>
      <w:pPr>
        <w:pStyle w:val="Bibliography"/>
      </w:pPr>
      <w:r>
        <w:t xml:space="preserve">Sumner, Meghan. 2011.</w:t>
      </w:r>
      <w:r>
        <w:t xml:space="preserve"> </w:t>
      </w:r>
      <w:r>
        <w:t xml:space="preserve">“The Role of Variation in the Perception of Accented Speech.”</w:t>
      </w:r>
      <w:r>
        <w:t xml:space="preserve"> </w:t>
      </w:r>
      <w:r>
        <w:rPr>
          <w:iCs/>
          <w:i/>
        </w:rPr>
        <w:t xml:space="preserve">Cognition</w:t>
      </w:r>
      <w:r>
        <w:t xml:space="preserve"> </w:t>
      </w:r>
      <w:r>
        <w:t xml:space="preserve">119 (1): 131–36.</w:t>
      </w:r>
    </w:p>
    <w:bookmarkEnd w:id="104"/>
    <w:bookmarkStart w:id="105" w:name="ref-xie2023"/>
    <w:p>
      <w:pPr>
        <w:pStyle w:val="Bibliography"/>
      </w:pPr>
      <w:r>
        <w:t xml:space="preserve">Xie, Xin, T Florian Jaeger, and Chigusa Kurumada. 2023.</w:t>
      </w:r>
      <w:r>
        <w:t xml:space="preserve"> </w:t>
      </w:r>
      <w:r>
        <w:t xml:space="preserve">“What We Do (Not) Know about the Mechanisms Underlying Adaptive Speech Perception: A Computational Framework and Review.”</w:t>
      </w:r>
      <w:r>
        <w:t xml:space="preserve"> </w:t>
      </w:r>
      <w:r>
        <w:rPr>
          <w:iCs/>
          <w:i/>
        </w:rPr>
        <w:t xml:space="preserve">Cortex</w:t>
      </w:r>
      <w:r>
        <w:t xml:space="preserve"> </w:t>
      </w:r>
      <w:r>
        <w:t xml:space="preserve">166: 377–424.</w:t>
      </w:r>
    </w:p>
    <w:bookmarkEnd w:id="105"/>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Nearey and Assmann (2007)</w:t>
      </w:r>
      <w:r>
        <w:t xml:space="preserve"> </w:t>
      </w:r>
      <w:r>
        <w:t xml:space="preserve">calculated a single shared covariance matrix across all vowel categories. Here, we use separate covariance matrices for each vowel category. The</w:t>
      </w:r>
      <w:r>
        <w:t xml:space="preserve"> </w:t>
      </w:r>
      <w:r>
        <w:rPr>
          <w:rStyle w:val="VerbatimChar"/>
        </w:rPr>
        <w:t xml:space="preserve">STM</w:t>
      </w:r>
      <w:r>
        <w:t xml:space="preserve"> </w:t>
      </w:r>
      <w:r>
        <w:t xml:space="preserve">library supports both options.</w:t>
      </w:r>
    </w:p>
  </w:footnote>
  <w:footnote w:id="46">
    <w:p>
      <w:pPr>
        <w:pStyle w:val="FootnoteText"/>
      </w:pPr>
      <w:r>
        <w:rPr>
          <w:rStyle w:val="FootnoteReference"/>
        </w:rPr>
        <w:footnoteRef/>
      </w:r>
      <w:r>
        <w:t xml:space="preserve"> </w:t>
      </w:r>
      <w:r>
        <w:t xml:space="preserve">Alternatively, researchers may use other data sources to replace or refine these estimates.</w:t>
      </w:r>
    </w:p>
  </w:footnote>
  <w:footnote w:id="53">
    <w:p>
      <w:pPr>
        <w:pStyle w:val="FootnoteText"/>
      </w:pPr>
      <w:r>
        <w:rPr>
          <w:rStyle w:val="FootnoteReference"/>
        </w:rPr>
        <w:footnoteRef/>
      </w:r>
      <w:r>
        <w:t xml:space="preserve"> </w:t>
      </w:r>
      <w:r>
        <w:t xml:space="preserve">Note that the database should have formant and</w:t>
      </w:r>
      <w:r>
        <w:t xml:space="preserve"> </w:t>
      </w:r>
      <m:oMath>
        <m:r>
          <m:t>f</m:t>
        </m:r>
        <m:r>
          <m:t>0</m:t>
        </m:r>
      </m:oMath>
      <w:r>
        <w:t xml:space="preserve"> </w:t>
      </w:r>
      <w:r>
        <w:t xml:space="preserve">measurements for all vowels, and should be balanced with equally many instances of each vowel both within and across recorded talkers. Otherwise the mean of the log-formants,</w:t>
      </w:r>
      <w:r>
        <w:t xml:space="preserve"> </w:t>
      </w:r>
      <m:oMath>
        <m:sSub>
          <m:e>
            <m:acc>
              <m:accPr>
                <m:chr m:val="‾"/>
              </m:accPr>
              <m:e>
                <m:r>
                  <m:t>G</m:t>
                </m:r>
              </m:e>
            </m:acc>
          </m:e>
          <m:sub>
            <m:r>
              <m:t>s</m:t>
            </m:r>
          </m:sub>
        </m:sSub>
      </m:oMath>
      <w:r>
        <w:t xml:space="preserve">, will be systematically biased by differences in the distribution of vowel instances across talkers.</w:t>
      </w:r>
    </w:p>
  </w:footnote>
  <w:footnote w:id="63">
    <w:p>
      <w:pPr>
        <w:pStyle w:val="FootnoteText"/>
      </w:pPr>
      <w:r>
        <w:rPr>
          <w:rStyle w:val="FootnoteReference"/>
        </w:rPr>
        <w:footnoteRef/>
      </w:r>
      <w:r>
        <w:t xml:space="preserve"> </w:t>
      </w:r>
      <w:r>
        <w:t xml:space="preserve">The data used to estimate vowel templates should be carefully chosen to reflect the sort of listener of interest to the researcher. For example, a template trained on a database of Canadian English will not be suitable to model the perception of an Irish English listener</w:t>
      </w:r>
      <w:r>
        <w:t xml:space="preserve"> </w:t>
      </w:r>
      <w:r>
        <w:t xml:space="preserve">(cf. discussion in Persson, Barreda, and Jaeger 2024)</w:t>
      </w:r>
      <w:r>
        <w:t xml:space="preserve">.</w:t>
      </w:r>
    </w:p>
  </w:footnote>
  <w:footnote w:id="64">
    <w:p>
      <w:pPr>
        <w:pStyle w:val="FootnoteText"/>
      </w:pPr>
      <w:r>
        <w:rPr>
          <w:rStyle w:val="FootnoteReference"/>
        </w:rPr>
        <w:footnoteRef/>
      </w:r>
      <w:r>
        <w:t xml:space="preserve"> </w:t>
      </w:r>
      <w:r>
        <w:t xml:space="preserve">It is an interesting questions whether category-specific covariance matrices, as in</w:t>
      </w:r>
      <w:r>
        <w:t xml:space="preserve"> </w:t>
      </w:r>
      <w:hyperlink w:anchor="eq-posterior-G">
        <w:r>
          <w:rPr>
            <w:rStyle w:val="Hyperlink"/>
          </w:rPr>
          <w:t xml:space="preserve">Equation 4</w:t>
        </w:r>
      </w:hyperlink>
      <w:r>
        <w:t xml:space="preserve">, provide a better fit to listener’s responses. The</w:t>
      </w:r>
      <w:r>
        <w:t xml:space="preserve"> </w:t>
      </w:r>
      <w:r>
        <w:rPr>
          <w:rStyle w:val="VerbatimChar"/>
        </w:rPr>
        <w:t xml:space="preserve">STM</w:t>
      </w:r>
      <w:r>
        <w:t xml:space="preserve"> </w:t>
      </w:r>
      <w:r>
        <w:t xml:space="preserve">package supports either option.</w:t>
      </w:r>
    </w:p>
  </w:footnote>
  <w:footnote w:id="70">
    <w:p>
      <w:pPr>
        <w:pStyle w:val="FootnoteText"/>
      </w:pPr>
      <w:r>
        <w:rPr>
          <w:rStyle w:val="FootnoteReference"/>
        </w:rPr>
        <w:footnoteRef/>
      </w:r>
      <w:r>
        <w:t xml:space="preserve"> </w:t>
      </w:r>
      <w:r>
        <w:t xml:space="preserve">This finding—that method 6 outperforms the classic approach in predicting listeners’ responses—differs from</w:t>
      </w:r>
      <w:r>
        <w:t xml:space="preserve"> </w:t>
      </w:r>
      <w:r>
        <w:t xml:space="preserve">Nearey and Assmann (2007)</w:t>
      </w:r>
      <w:r>
        <w:t xml:space="preserve">. In separate analyses not reported here, we confirmed that this difference in results is due to the goodness-of-fit metric employed by Nearey and Assman: the accuracy (under the criterion choice rule) of predicting listeners’ most common response to a stimulus. This metric is now understood to be problematic</w:t>
      </w:r>
      <w:r>
        <w:t xml:space="preserve"> </w:t>
      </w:r>
      <w:r>
        <w:t xml:space="preserve">(for discussion, Persson, Barreda, and Jaeger 2024)</w:t>
      </w:r>
      <w:r>
        <w:t xml:space="preserve">. By using a more adequate metric—the log-likelihood of listeners’ responses—we revise one of the more puzzling findings of</w:t>
      </w:r>
      <w:r>
        <w:t xml:space="preserve"> </w:t>
      </w:r>
      <w:r>
        <w:t xml:space="preserve">Nearey and Assmann (2007)</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23" Target="media/rId23.png" /><Relationship Type="http://schemas.openxmlformats.org/officeDocument/2006/relationships/hyperlink" Id="rId102" Target="http://www.rstudio.com/" TargetMode="External" /><Relationship Type="http://schemas.openxmlformats.org/officeDocument/2006/relationships/hyperlink" Id="rId96" Target="https://doi.org/10.1121/1.1906875" TargetMode="External" /><Relationship Type="http://schemas.openxmlformats.org/officeDocument/2006/relationships/hyperlink" Id="rId83" Target="https://doi.org/10.1121/1.413041" TargetMode="External" /><Relationship Type="http://schemas.openxmlformats.org/officeDocument/2006/relationships/hyperlink" Id="rId85" Target="https://doi.org/10.1121/1.424676" TargetMode="External" /><Relationship Type="http://schemas.openxmlformats.org/officeDocument/2006/relationships/hyperlink" Id="rId80" Target="https://doi.org/10.1121/1.5037614" TargetMode="External" /><Relationship Type="http://schemas.openxmlformats.org/officeDocument/2006/relationships/hyperlink" Id="rId100" Target="https://doi.org/10.1162/tacl_a_00071" TargetMode="External" /><Relationship Type="http://schemas.openxmlformats.org/officeDocument/2006/relationships/hyperlink" Id="rId9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02" Target="http://www.rstudio.com/" TargetMode="External" /><Relationship Type="http://schemas.openxmlformats.org/officeDocument/2006/relationships/hyperlink" Id="rId96" Target="https://doi.org/10.1121/1.1906875" TargetMode="External" /><Relationship Type="http://schemas.openxmlformats.org/officeDocument/2006/relationships/hyperlink" Id="rId83" Target="https://doi.org/10.1121/1.413041" TargetMode="External" /><Relationship Type="http://schemas.openxmlformats.org/officeDocument/2006/relationships/hyperlink" Id="rId85" Target="https://doi.org/10.1121/1.424676" TargetMode="External" /><Relationship Type="http://schemas.openxmlformats.org/officeDocument/2006/relationships/hyperlink" Id="rId80" Target="https://doi.org/10.1121/1.5037614" TargetMode="External" /><Relationship Type="http://schemas.openxmlformats.org/officeDocument/2006/relationships/hyperlink" Id="rId100" Target="https://doi.org/10.1162/tacl_a_00071" TargetMode="External" /><Relationship Type="http://schemas.openxmlformats.org/officeDocument/2006/relationships/hyperlink" Id="rId9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Re-introducing the probabilistic sliding template model of vowel perception</dc:title>
  <dc:creator>Santiago Barreda and T. Florian Jaeger</dc:creator>
  <cp:keywords/>
  <dcterms:created xsi:type="dcterms:W3CDTF">2024-11-23T01:28:15Z</dcterms:created>
  <dcterms:modified xsi:type="dcterms:W3CDTF">2024-11-23T01:28:15Z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introduce a fully Bayesian variant of the Probabilistic Sliding Template Model (PSTM) of vowel normalization and perception, first proposed in Nearey and Assmann (2007). Models of normalization typically assume that relevant speaker parameters are already ‘known’—e.g., because the researcher can estimate them from a fully balanced set of vowel recordings. Listeners, however, have to incrementally infer these parameters from the speech input. The PSTM describes this process by integrating social and linguistic inferences into a joint inference process. This allows for the empirical investigation of connections between speech perception, social knowledge, and the estimation of speaker indexical characteristics. A bootstrap analysis indicates that the PSTM explains listener behavior much better than traditional approaches to normalization. The models described here are implemented in the R package STM. This package allows researchers to apply the models described here to their own formant data and research questions.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th">
    <vt:lpwstr>True</vt:lpwstr>
  </property>
  <property fmtid="{D5CDD505-2E9C-101B-9397-08002B2CF9AE}" pid="12" name="toc-title">
    <vt:lpwstr>Table of contents</vt:lpwstr>
  </property>
</Properties>
</file>