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41.png" ContentType="image/png"/>
  <Override PartName="/word/media/rId48.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Re-introducing</w:t>
      </w:r>
      <w:r>
        <w:t xml:space="preserve"> </w:t>
      </w:r>
      <w:r>
        <w:t xml:space="preserve">and</w:t>
      </w:r>
      <w:r>
        <w:t xml:space="preserve"> </w:t>
      </w:r>
      <w:r>
        <w:t xml:space="preserve">testing</w:t>
      </w:r>
      <w:r>
        <w:t xml:space="preserve"> </w:t>
      </w:r>
      <w:r>
        <w:t xml:space="preserve">the</w:t>
      </w:r>
      <w:r>
        <w:t xml:space="preserve"> </w:t>
      </w:r>
      <w:r>
        <w:t xml:space="preserve">probabilistic</w:t>
      </w:r>
      <w:r>
        <w:t xml:space="preserve"> </w:t>
      </w:r>
      <w:r>
        <w:t xml:space="preserve">sliding</w:t>
      </w:r>
      <w:r>
        <w:t xml:space="preserve"> </w:t>
      </w:r>
      <w:r>
        <w:t xml:space="preserve">template</w:t>
      </w:r>
      <w:r>
        <w:t xml:space="preserve"> </w:t>
      </w:r>
      <w:r>
        <w:t xml:space="preserve">model</w:t>
      </w:r>
      <w:r>
        <w:t xml:space="preserve"> </w:t>
      </w:r>
      <w:r>
        <w:t xml:space="preserve">of</w:t>
      </w:r>
      <w:r>
        <w:t xml:space="preserve"> </w:t>
      </w:r>
      <w:r>
        <w:t xml:space="preserve">vowel</w:t>
      </w:r>
      <w:r>
        <w:t xml:space="preserve"> </w:t>
      </w:r>
      <w:r>
        <w:t xml:space="preserve">perception</w:t>
      </w:r>
    </w:p>
    <w:p>
      <w:pPr>
        <w:pStyle w:val="Author"/>
      </w:pPr>
      <w:r>
        <w:t xml:space="preserve">Santiago</w:t>
      </w:r>
      <w:r>
        <w:t xml:space="preserve"> </w:t>
      </w:r>
      <w:r>
        <w:t xml:space="preserve">Barreda</w:t>
      </w:r>
      <w:r>
        <w:t xml:space="preserve"> </w:t>
      </w:r>
      <w:r>
        <w:t xml:space="preserve">and</w:t>
      </w:r>
      <w:r>
        <w:t xml:space="preserve"> </w:t>
      </w:r>
      <w:r>
        <w:t xml:space="preserve">T.</w:t>
      </w:r>
      <w:r>
        <w:t xml:space="preserve"> </w:t>
      </w:r>
      <w:r>
        <w:t xml:space="preserve">Florian</w:t>
      </w:r>
      <w:r>
        <w:t xml:space="preserve"> </w:t>
      </w:r>
      <w:r>
        <w:t xml:space="preserve">Jaeger</w:t>
      </w:r>
    </w:p>
    <w:p>
      <w:pPr>
        <w:pStyle w:val="AbstractTitle"/>
      </w:pPr>
      <w:r>
        <w:t xml:space="preserve">Abstract</w:t>
      </w:r>
    </w:p>
    <w:p>
      <w:pPr>
        <w:pStyle w:val="Abstract"/>
      </w:pPr>
      <w:r>
        <w:t xml:space="preserve">Normalization</w:t>
      </w:r>
      <w:r>
        <w:t xml:space="preserve"> </w:t>
      </w:r>
      <w:r>
        <w:t xml:space="preserve">of</w:t>
      </w:r>
      <w:r>
        <w:t xml:space="preserve"> </w:t>
      </w:r>
      <w:r>
        <w:t xml:space="preserve">the</w:t>
      </w:r>
      <w:r>
        <w:t xml:space="preserve"> </w:t>
      </w:r>
      <w:r>
        <w:t xml:space="preserve">speech</w:t>
      </w:r>
      <w:r>
        <w:t xml:space="preserve"> </w:t>
      </w:r>
      <w:r>
        <w:t xml:space="preserve">signal</w:t>
      </w:r>
      <w:r>
        <w:t xml:space="preserve"> </w:t>
      </w:r>
      <w:r>
        <w:t xml:space="preserve">onto</w:t>
      </w:r>
      <w:r>
        <w:t xml:space="preserve"> </w:t>
      </w:r>
      <w:r>
        <w:t xml:space="preserve">comparatively</w:t>
      </w:r>
      <w:r>
        <w:t xml:space="preserve"> </w:t>
      </w:r>
      <w:r>
        <w:t xml:space="preserve">invariant</w:t>
      </w:r>
      <w:r>
        <w:t xml:space="preserve"> </w:t>
      </w:r>
      <w:r>
        <w:t xml:space="preserve">phonetic</w:t>
      </w:r>
      <w:r>
        <w:t xml:space="preserve"> </w:t>
      </w:r>
      <w:r>
        <w:t xml:space="preserve">representations</w:t>
      </w:r>
      <w:r>
        <w:t xml:space="preserve"> </w:t>
      </w:r>
      <w:r>
        <w:t xml:space="preserve">is</w:t>
      </w:r>
      <w:r>
        <w:t xml:space="preserve"> </w:t>
      </w:r>
      <w:r>
        <w:t xml:space="preserve">critical</w:t>
      </w:r>
      <w:r>
        <w:t xml:space="preserve"> </w:t>
      </w:r>
      <w:r>
        <w:t xml:space="preserve">to</w:t>
      </w:r>
      <w:r>
        <w:t xml:space="preserve"> </w:t>
      </w:r>
      <w:r>
        <w:t xml:space="preserve">speech</w:t>
      </w:r>
      <w:r>
        <w:t xml:space="preserve"> </w:t>
      </w:r>
      <w:r>
        <w:t xml:space="preserve">perception.</w:t>
      </w:r>
      <w:r>
        <w:t xml:space="preserve"> </w:t>
      </w:r>
      <w:r>
        <w:t xml:space="preserve">Assumptions</w:t>
      </w:r>
      <w:r>
        <w:t xml:space="preserve"> </w:t>
      </w:r>
      <w:r>
        <w:t xml:space="preserve">about</w:t>
      </w:r>
      <w:r>
        <w:t xml:space="preserve"> </w:t>
      </w:r>
      <w:r>
        <w:t xml:space="preserve">this</w:t>
      </w:r>
      <w:r>
        <w:t xml:space="preserve"> </w:t>
      </w:r>
      <w:r>
        <w:t xml:space="preserve">process</w:t>
      </w:r>
      <w:r>
        <w:t xml:space="preserve"> </w:t>
      </w:r>
      <w:r>
        <w:t xml:space="preserve">also</w:t>
      </w:r>
      <w:r>
        <w:t xml:space="preserve"> </w:t>
      </w:r>
      <w:r>
        <w:t xml:space="preserve">play</w:t>
      </w:r>
      <w:r>
        <w:t xml:space="preserve"> </w:t>
      </w:r>
      <w:r>
        <w:t xml:space="preserve">a</w:t>
      </w:r>
      <w:r>
        <w:t xml:space="preserve"> </w:t>
      </w:r>
      <w:r>
        <w:t xml:space="preserve">central</w:t>
      </w:r>
      <w:r>
        <w:t xml:space="preserve"> </w:t>
      </w:r>
      <w:r>
        <w:t xml:space="preserve">role</w:t>
      </w:r>
      <w:r>
        <w:t xml:space="preserve"> </w:t>
      </w:r>
      <w:r>
        <w:t xml:space="preserve">in</w:t>
      </w:r>
      <w:r>
        <w:t xml:space="preserve"> </w:t>
      </w:r>
      <w:r>
        <w:t xml:space="preserve">phonetics</w:t>
      </w:r>
      <w:r>
        <w:t xml:space="preserve"> </w:t>
      </w:r>
      <w:r>
        <w:t xml:space="preserve">and</w:t>
      </w:r>
      <w:r>
        <w:t xml:space="preserve"> </w:t>
      </w:r>
      <w:r>
        <w:t xml:space="preserve">phonology.</w:t>
      </w:r>
      <w:r>
        <w:t xml:space="preserve"> </w:t>
      </w:r>
      <w:r>
        <w:t xml:space="preserve">Yet,</w:t>
      </w:r>
      <w:r>
        <w:t xml:space="preserve"> </w:t>
      </w:r>
      <w:r>
        <w:t xml:space="preserve">despite</w:t>
      </w:r>
      <w:r>
        <w:t xml:space="preserve"> </w:t>
      </w:r>
      <w:r>
        <w:t xml:space="preserve">the</w:t>
      </w:r>
      <w:r>
        <w:t xml:space="preserve"> </w:t>
      </w:r>
      <w:r>
        <w:t xml:space="preserve">importance</w:t>
      </w:r>
      <w:r>
        <w:t xml:space="preserve"> </w:t>
      </w:r>
      <w:r>
        <w:t xml:space="preserve">of</w:t>
      </w:r>
      <w:r>
        <w:t xml:space="preserve"> </w:t>
      </w:r>
      <w:r>
        <w:t xml:space="preserve">these</w:t>
      </w:r>
      <w:r>
        <w:t xml:space="preserve"> </w:t>
      </w:r>
      <w:r>
        <w:t xml:space="preserve">assumptions,</w:t>
      </w:r>
      <w:r>
        <w:t xml:space="preserve"> </w:t>
      </w:r>
      <w:r>
        <w:t xml:space="preserve">popular</w:t>
      </w:r>
      <w:r>
        <w:t xml:space="preserve"> </w:t>
      </w:r>
      <w:r>
        <w:t xml:space="preserve">normalization</w:t>
      </w:r>
      <w:r>
        <w:t xml:space="preserve"> </w:t>
      </w:r>
      <w:r>
        <w:t xml:space="preserve">accounts</w:t>
      </w:r>
      <w:r>
        <w:t xml:space="preserve"> </w:t>
      </w:r>
      <w:r>
        <w:t xml:space="preserve">continue</w:t>
      </w:r>
      <w:r>
        <w:t xml:space="preserve"> </w:t>
      </w:r>
      <w:r>
        <w:t xml:space="preserve">to</w:t>
      </w:r>
      <w:r>
        <w:t xml:space="preserve"> </w:t>
      </w:r>
      <w:r>
        <w:t xml:space="preserve">incorrectly</w:t>
      </w:r>
      <w:r>
        <w:t xml:space="preserve"> </w:t>
      </w:r>
      <w:r>
        <w:t xml:space="preserve">assume</w:t>
      </w:r>
      <w:r>
        <w:t xml:space="preserve"> </w:t>
      </w:r>
      <w:r>
        <w:t xml:space="preserve">that</w:t>
      </w:r>
      <w:r>
        <w:t xml:space="preserve"> </w:t>
      </w:r>
      <w:r>
        <w:t xml:space="preserve">the</w:t>
      </w:r>
      <w:r>
        <w:t xml:space="preserve"> </w:t>
      </w:r>
      <w:r>
        <w:t xml:space="preserve">relevant</w:t>
      </w:r>
      <w:r>
        <w:t xml:space="preserve"> </w:t>
      </w:r>
      <w:r>
        <w:t xml:space="preserve">normalization</w:t>
      </w:r>
      <w:r>
        <w:t xml:space="preserve"> </w:t>
      </w:r>
      <w:r>
        <w:t xml:space="preserve">parameters</w:t>
      </w:r>
      <w:r>
        <w:t xml:space="preserve"> </w:t>
      </w:r>
      <w:r>
        <w:t xml:space="preserve">are</w:t>
      </w:r>
      <w:r>
        <w:t xml:space="preserve"> </w:t>
      </w:r>
      <w:r>
        <w:t xml:space="preserve">‘</w:t>
      </w:r>
      <w:r>
        <w:t xml:space="preserve">known</w:t>
      </w:r>
      <w:r>
        <w:t xml:space="preserve">’</w:t>
      </w:r>
      <w:r>
        <w:t xml:space="preserve">—e.g.,</w:t>
      </w:r>
      <w:r>
        <w:t xml:space="preserve"> </w:t>
      </w:r>
      <w:r>
        <w:t xml:space="preserve">because</w:t>
      </w:r>
      <w:r>
        <w:t xml:space="preserve"> </w:t>
      </w:r>
      <w:r>
        <w:t xml:space="preserve">the</w:t>
      </w:r>
      <w:r>
        <w:t xml:space="preserve"> </w:t>
      </w:r>
      <w:r>
        <w:t xml:space="preserve">researcher</w:t>
      </w:r>
      <w:r>
        <w:t xml:space="preserve"> </w:t>
      </w:r>
      <w:r>
        <w:t xml:space="preserve">can</w:t>
      </w:r>
      <w:r>
        <w:t xml:space="preserve"> </w:t>
      </w:r>
      <w:r>
        <w:t xml:space="preserve">estimate</w:t>
      </w:r>
      <w:r>
        <w:t xml:space="preserve"> </w:t>
      </w:r>
      <w:r>
        <w:t xml:space="preserve">them</w:t>
      </w:r>
      <w:r>
        <w:t xml:space="preserve"> </w:t>
      </w:r>
      <w:r>
        <w:t xml:space="preserve">from</w:t>
      </w:r>
      <w:r>
        <w:t xml:space="preserve"> </w:t>
      </w:r>
      <w:r>
        <w:t xml:space="preserve">a</w:t>
      </w:r>
      <w:r>
        <w:t xml:space="preserve"> </w:t>
      </w:r>
      <w:r>
        <w:t xml:space="preserve">fully</w:t>
      </w:r>
      <w:r>
        <w:t xml:space="preserve"> </w:t>
      </w:r>
      <w:r>
        <w:t xml:space="preserve">balanced</w:t>
      </w:r>
      <w:r>
        <w:t xml:space="preserve"> </w:t>
      </w:r>
      <w:r>
        <w:t xml:space="preserve">set</w:t>
      </w:r>
      <w:r>
        <w:t xml:space="preserve"> </w:t>
      </w:r>
      <w:r>
        <w:t xml:space="preserve">of</w:t>
      </w:r>
      <w:r>
        <w:t xml:space="preserve"> </w:t>
      </w:r>
      <w:r>
        <w:t xml:space="preserve">recordings.</w:t>
      </w:r>
      <w:r>
        <w:t xml:space="preserve"> </w:t>
      </w:r>
      <w:r>
        <w:t xml:space="preserve">Listeners,</w:t>
      </w:r>
      <w:r>
        <w:t xml:space="preserve"> </w:t>
      </w:r>
      <w:r>
        <w:t xml:space="preserve">however,</w:t>
      </w:r>
      <w:r>
        <w:t xml:space="preserve"> </w:t>
      </w:r>
      <w:r>
        <w:t xml:space="preserve">have</w:t>
      </w:r>
      <w:r>
        <w:t xml:space="preserve"> </w:t>
      </w:r>
      <w:r>
        <w:t xml:space="preserve">to</w:t>
      </w:r>
      <w:r>
        <w:t xml:space="preserve"> </w:t>
      </w:r>
      <w:r>
        <w:t xml:space="preserve">incrementally</w:t>
      </w:r>
      <w:r>
        <w:t xml:space="preserve"> </w:t>
      </w:r>
      <w:r>
        <w:rPr>
          <w:i/>
          <w:iCs/>
        </w:rPr>
        <w:t xml:space="preserve">infer</w:t>
      </w:r>
      <w:r>
        <w:t xml:space="preserve"> </w:t>
      </w:r>
      <w:r>
        <w:t xml:space="preserve">these</w:t>
      </w:r>
      <w:r>
        <w:t xml:space="preserve"> </w:t>
      </w:r>
      <w:r>
        <w:t xml:space="preserve">parameters</w:t>
      </w:r>
      <w:r>
        <w:t xml:space="preserve"> </w:t>
      </w:r>
      <w:r>
        <w:t xml:space="preserve">from</w:t>
      </w:r>
      <w:r>
        <w:t xml:space="preserve"> </w:t>
      </w:r>
      <w:r>
        <w:t xml:space="preserve">the</w:t>
      </w:r>
      <w:r>
        <w:t xml:space="preserve"> </w:t>
      </w:r>
      <w:r>
        <w:t xml:space="preserve">speech</w:t>
      </w:r>
      <w:r>
        <w:t xml:space="preserve"> </w:t>
      </w:r>
      <w:r>
        <w:t xml:space="preserve">input.</w:t>
      </w:r>
      <w:r>
        <w:t xml:space="preserve"> </w:t>
      </w:r>
      <w:r>
        <w:t xml:space="preserve">We</w:t>
      </w:r>
      <w:r>
        <w:t xml:space="preserve"> </w:t>
      </w:r>
      <w:r>
        <w:t xml:space="preserve">re-introduce</w:t>
      </w:r>
      <w:r>
        <w:t xml:space="preserve"> </w:t>
      </w:r>
      <w:r>
        <w:t xml:space="preserve">a</w:t>
      </w:r>
      <w:r>
        <w:t xml:space="preserve"> </w:t>
      </w:r>
      <w:r>
        <w:t xml:space="preserve">seminal,</w:t>
      </w:r>
      <w:r>
        <w:t xml:space="preserve"> </w:t>
      </w:r>
      <w:r>
        <w:t xml:space="preserve">but</w:t>
      </w:r>
      <w:r>
        <w:t xml:space="preserve"> </w:t>
      </w:r>
      <w:r>
        <w:t xml:space="preserve">still</w:t>
      </w:r>
      <w:r>
        <w:t xml:space="preserve"> </w:t>
      </w:r>
      <w:r>
        <w:t xml:space="preserve">underappreciated,</w:t>
      </w:r>
      <w:r>
        <w:t xml:space="preserve"> </w:t>
      </w:r>
      <w:r>
        <w:t xml:space="preserve">model</w:t>
      </w:r>
      <w:r>
        <w:t xml:space="preserve"> </w:t>
      </w:r>
      <w:r>
        <w:t xml:space="preserve">of</w:t>
      </w:r>
      <w:r>
        <w:t xml:space="preserve"> </w:t>
      </w:r>
      <w:r>
        <w:t xml:space="preserve">this</w:t>
      </w:r>
      <w:r>
        <w:t xml:space="preserve"> </w:t>
      </w:r>
      <w:r>
        <w:t xml:space="preserve">inference</w:t>
      </w:r>
      <w:r>
        <w:t xml:space="preserve"> </w:t>
      </w:r>
      <w:r>
        <w:t xml:space="preserve">process—the</w:t>
      </w:r>
      <w:r>
        <w:t xml:space="preserve"> </w:t>
      </w:r>
      <w:r>
        <w:t xml:space="preserve">Probabilistic</w:t>
      </w:r>
      <w:r>
        <w:t xml:space="preserve"> </w:t>
      </w:r>
      <w:r>
        <w:t xml:space="preserve">Sliding</w:t>
      </w:r>
      <w:r>
        <w:t xml:space="preserve"> </w:t>
      </w:r>
      <w:r>
        <w:t xml:space="preserve">Template</w:t>
      </w:r>
      <w:r>
        <w:t xml:space="preserve"> </w:t>
      </w:r>
      <w:r>
        <w:t xml:space="preserve">Model</w:t>
      </w:r>
      <w:r>
        <w:t xml:space="preserve"> </w:t>
      </w:r>
      <w:r>
        <w:t xml:space="preserve">of</w:t>
      </w:r>
      <w:r>
        <w:t xml:space="preserve"> </w:t>
      </w:r>
      <w:r>
        <w:t xml:space="preserve">vowel</w:t>
      </w:r>
      <w:r>
        <w:t xml:space="preserve"> </w:t>
      </w:r>
      <w:r>
        <w:t xml:space="preserve">normalization</w:t>
      </w:r>
      <w:r>
        <w:t xml:space="preserve"> </w:t>
      </w:r>
      <w:r>
        <w:t xml:space="preserve">and</w:t>
      </w:r>
      <w:r>
        <w:t xml:space="preserve"> </w:t>
      </w:r>
      <w:r>
        <w:t xml:space="preserve">perception</w:t>
      </w:r>
      <w:r>
        <w:t xml:space="preserve"> </w:t>
      </w:r>
      <w:r>
        <w:t xml:space="preserve">(PSTM,</w:t>
      </w:r>
      <w:r>
        <w:t xml:space="preserve"> </w:t>
      </w:r>
      <w:r>
        <w:t xml:space="preserve">Nearey</w:t>
      </w:r>
      <w:r>
        <w:t xml:space="preserve"> </w:t>
      </w:r>
      <w:r>
        <w:t xml:space="preserve">and</w:t>
      </w:r>
      <w:r>
        <w:t xml:space="preserve"> </w:t>
      </w:r>
      <w:r>
        <w:t xml:space="preserve">Assmann,</w:t>
      </w:r>
      <w:r>
        <w:t xml:space="preserve"> </w:t>
      </w:r>
      <w:r>
        <w:t xml:space="preserve">2007)—and</w:t>
      </w:r>
      <w:r>
        <w:t xml:space="preserve"> </w:t>
      </w:r>
      <w:r>
        <w:t xml:space="preserve">show</w:t>
      </w:r>
      <w:r>
        <w:t xml:space="preserve"> </w:t>
      </w:r>
      <w:r>
        <w:t xml:space="preserve">why</w:t>
      </w:r>
      <w:r>
        <w:t xml:space="preserve"> </w:t>
      </w:r>
      <w:r>
        <w:t xml:space="preserve">researchers</w:t>
      </w:r>
      <w:r>
        <w:t xml:space="preserve"> </w:t>
      </w:r>
      <w:r>
        <w:t xml:space="preserve">cannot</w:t>
      </w:r>
      <w:r>
        <w:t xml:space="preserve"> </w:t>
      </w:r>
      <w:r>
        <w:t xml:space="preserve">afford</w:t>
      </w:r>
      <w:r>
        <w:t xml:space="preserve"> </w:t>
      </w:r>
      <w:r>
        <w:t xml:space="preserve">to</w:t>
      </w:r>
      <w:r>
        <w:t xml:space="preserve"> </w:t>
      </w:r>
      <w:r>
        <w:t xml:space="preserve">ignore</w:t>
      </w:r>
      <w:r>
        <w:t xml:space="preserve"> </w:t>
      </w:r>
      <w:r>
        <w:t xml:space="preserve">it.</w:t>
      </w:r>
      <w:r>
        <w:t xml:space="preserve"> </w:t>
      </w:r>
      <w:r>
        <w:t xml:space="preserve">We</w:t>
      </w:r>
      <w:r>
        <w:t xml:space="preserve"> </w:t>
      </w:r>
      <w:r>
        <w:t xml:space="preserve">provide</w:t>
      </w:r>
      <w:r>
        <w:t xml:space="preserve"> </w:t>
      </w:r>
      <w:r>
        <w:t xml:space="preserve">the</w:t>
      </w:r>
      <w:r>
        <w:t xml:space="preserve"> </w:t>
      </w:r>
      <w:r>
        <w:t xml:space="preserve">R</w:t>
      </w:r>
      <w:r>
        <w:t xml:space="preserve"> </w:t>
      </w:r>
      <w:r>
        <w:t xml:space="preserve">package</w:t>
      </w:r>
      <w:r>
        <w:t xml:space="preserve"> </w:t>
      </w:r>
      <w:r>
        <w:t xml:space="preserve">STM,</w:t>
      </w:r>
      <w:r>
        <w:t xml:space="preserve"> </w:t>
      </w:r>
      <w:r>
        <w:t xml:space="preserve">which</w:t>
      </w:r>
      <w:r>
        <w:t xml:space="preserve"> </w:t>
      </w:r>
      <w:r>
        <w:t xml:space="preserve">makes</w:t>
      </w:r>
      <w:r>
        <w:t xml:space="preserve"> </w:t>
      </w:r>
      <w:r>
        <w:t xml:space="preserve">it</w:t>
      </w:r>
      <w:r>
        <w:t xml:space="preserve"> </w:t>
      </w:r>
      <w:r>
        <w:t xml:space="preserve">trivial</w:t>
      </w:r>
      <w:r>
        <w:t xml:space="preserve"> </w:t>
      </w:r>
      <w:r>
        <w:t xml:space="preserve">to</w:t>
      </w:r>
      <w:r>
        <w:t xml:space="preserve"> </w:t>
      </w:r>
      <w:r>
        <w:t xml:space="preserve">apply</w:t>
      </w:r>
      <w:r>
        <w:t xml:space="preserve"> </w:t>
      </w:r>
      <w:r>
        <w:t xml:space="preserve">the</w:t>
      </w:r>
      <w:r>
        <w:t xml:space="preserve"> </w:t>
      </w:r>
      <w:r>
        <w:t xml:space="preserve">PSTM</w:t>
      </w:r>
      <w:r>
        <w:t xml:space="preserve"> </w:t>
      </w:r>
      <w:r>
        <w:t xml:space="preserve">to</w:t>
      </w:r>
      <w:r>
        <w:t xml:space="preserve"> </w:t>
      </w:r>
      <w:r>
        <w:t xml:space="preserve">new</w:t>
      </w:r>
      <w:r>
        <w:t xml:space="preserve"> </w:t>
      </w:r>
      <w:r>
        <w:t xml:space="preserve">data.</w:t>
      </w:r>
      <w:r>
        <w:t xml:space="preserve"> </w:t>
      </w:r>
      <w:r>
        <w:t xml:space="preserve">We</w:t>
      </w:r>
      <w:r>
        <w:t xml:space="preserve"> </w:t>
      </w:r>
      <w:r>
        <w:t xml:space="preserve">present</w:t>
      </w:r>
      <w:r>
        <w:t xml:space="preserve"> </w:t>
      </w:r>
      <w:r>
        <w:t xml:space="preserve">the</w:t>
      </w:r>
      <w:r>
        <w:t xml:space="preserve"> </w:t>
      </w:r>
      <w:r>
        <w:t xml:space="preserve">first</w:t>
      </w:r>
      <w:r>
        <w:t xml:space="preserve"> </w:t>
      </w:r>
      <w:r>
        <w:t xml:space="preserve">quantitative</w:t>
      </w:r>
      <w:r>
        <w:t xml:space="preserve"> </w:t>
      </w:r>
      <w:r>
        <w:t xml:space="preserve">assessment</w:t>
      </w:r>
      <w:r>
        <w:t xml:space="preserve"> </w:t>
      </w:r>
      <w:r>
        <w:t xml:space="preserve">of</w:t>
      </w:r>
      <w:r>
        <w:t xml:space="preserve"> </w:t>
      </w:r>
      <w:r>
        <w:t xml:space="preserve">the</w:t>
      </w:r>
      <w:r>
        <w:t xml:space="preserve"> </w:t>
      </w:r>
      <w:r>
        <w:t xml:space="preserve">PSTM</w:t>
      </w:r>
      <w:r>
        <w:t xml:space="preserve"> </w:t>
      </w:r>
      <w:r>
        <w:t xml:space="preserve">against</w:t>
      </w:r>
      <w:r>
        <w:t xml:space="preserve"> </w:t>
      </w:r>
      <w:r>
        <w:t xml:space="preserve">human</w:t>
      </w:r>
      <w:r>
        <w:t xml:space="preserve"> </w:t>
      </w:r>
      <w:r>
        <w:t xml:space="preserve">perception.</w:t>
      </w:r>
      <w:r>
        <w:t xml:space="preserve"> </w:t>
      </w:r>
      <w:r>
        <w:t xml:space="preserve">We</w:t>
      </w:r>
      <w:r>
        <w:t xml:space="preserve"> </w:t>
      </w:r>
      <w:r>
        <w:t xml:space="preserve">show</w:t>
      </w:r>
      <w:r>
        <w:t xml:space="preserve"> </w:t>
      </w:r>
      <w:r>
        <w:t xml:space="preserve">that</w:t>
      </w:r>
      <w:r>
        <w:t xml:space="preserve"> </w:t>
      </w:r>
      <w:r>
        <w:t xml:space="preserve">the</w:t>
      </w:r>
      <w:r>
        <w:t xml:space="preserve"> </w:t>
      </w:r>
      <w:r>
        <w:t xml:space="preserve">model</w:t>
      </w:r>
      <w:r>
        <w:t xml:space="preserve"> </w:t>
      </w:r>
      <w:r>
        <w:t xml:space="preserve">excel</w:t>
      </w:r>
      <w:r>
        <w:t xml:space="preserve"> </w:t>
      </w:r>
      <w:r>
        <w:t xml:space="preserve">at</w:t>
      </w:r>
      <w:r>
        <w:t xml:space="preserve"> </w:t>
      </w:r>
      <w:r>
        <w:t xml:space="preserve">predicting</w:t>
      </w:r>
      <w:r>
        <w:t xml:space="preserve"> </w:t>
      </w:r>
      <w:r>
        <w:t xml:space="preserve">listeners’</w:t>
      </w:r>
      <w:r>
        <w:t xml:space="preserve"> </w:t>
      </w:r>
      <w:r>
        <w:t xml:space="preserve">vowel</w:t>
      </w:r>
      <w:r>
        <w:t xml:space="preserve"> </w:t>
      </w:r>
      <w:r>
        <w:t xml:space="preserve">categorization</w:t>
      </w:r>
      <w:r>
        <w:t xml:space="preserve"> </w:t>
      </w:r>
      <w:r>
        <w:t xml:space="preserve">behavior,</w:t>
      </w:r>
      <w:r>
        <w:t xml:space="preserve"> </w:t>
      </w:r>
      <w:r>
        <w:rPr>
          <w:i/>
          <w:iCs/>
        </w:rPr>
        <w:t xml:space="preserve">clearly</w:t>
      </w:r>
      <w:r>
        <w:t xml:space="preserve"> </w:t>
      </w:r>
      <w:r>
        <w:t xml:space="preserve">outperforming</w:t>
      </w:r>
      <w:r>
        <w:t xml:space="preserve"> </w:t>
      </w:r>
      <w:r>
        <w:t xml:space="preserve">the</w:t>
      </w:r>
      <w:r>
        <w:t xml:space="preserve"> </w:t>
      </w:r>
      <w:r>
        <w:t xml:space="preserve">popular</w:t>
      </w:r>
      <w:r>
        <w:t xml:space="preserve"> </w:t>
      </w:r>
      <w:r>
        <w:t xml:space="preserve">Lobanov</w:t>
      </w:r>
      <w:r>
        <w:t xml:space="preserve"> </w:t>
      </w:r>
      <w:r>
        <w:t xml:space="preserve">normalization.</w:t>
      </w:r>
    </w:p>
    <w:bookmarkStart w:id="21" w:name="introduction"/>
    <w:p>
      <w:pPr>
        <w:pStyle w:val="Heading1"/>
      </w:pPr>
      <w:r>
        <w:t xml:space="preserve">1. Introduction</w:t>
      </w:r>
    </w:p>
    <w:p>
      <w:pPr>
        <w:pStyle w:val="FirstParagraph"/>
      </w:pPr>
      <w:r>
        <w:t xml:space="preserve">Cross-talker variability poses a computational challenge for speech perception: since different talkers can realize the same phonetic information with different acoustics, robust perception across talkers can only be achieved by somehow adjusting to these differences. At the same time, cross-talker differences in pronunciation provide information about the language background and social identity of speakers. One way to approach these issues has been to describe both linguistic and social perception as inference over the joint distribution of auditory percepts (e.g., in the form of phonetic cues), linguistic, and social categories. This can be conceptualized as similarity-based inferences over exemplars</w:t>
      </w:r>
      <w:r>
        <w:t xml:space="preserve"> </w:t>
      </w:r>
      <w:r>
        <w:t xml:space="preserve">(Johnson 1997; Sumner 2011)</w:t>
      </w:r>
      <w:r>
        <w:t xml:space="preserve"> </w:t>
      </w:r>
      <w:r>
        <w:t xml:space="preserve">or as Bayesian inferences</w:t>
      </w:r>
      <w:r>
        <w:t xml:space="preserve"> </w:t>
      </w:r>
      <w:r>
        <w:t xml:space="preserve">(Kleinschmidt and Jaeger 2015; Kleinschmidt, Weatherholtz, and Jaeger 2018)</w:t>
      </w:r>
      <w:r>
        <w:t xml:space="preserve">. However, there is of yet no widely available model that implements these ideas and makes them testable. This motivates the present work.</w:t>
      </w:r>
    </w:p>
    <w:p>
      <w:pPr>
        <w:pStyle w:val="BodyText"/>
      </w:pPr>
      <w:r>
        <w:t xml:space="preserve">Here, we focus on vowel perception. We (re-)introduce the</w:t>
      </w:r>
      <w:r>
        <w:t xml:space="preserve"> </w:t>
      </w:r>
      <w:r>
        <w:rPr>
          <w:i/>
          <w:iCs/>
        </w:rPr>
        <w:t xml:space="preserve">Probabilistic Sliding Template Model (PSTM)</w:t>
      </w:r>
      <w:r>
        <w:t xml:space="preserve"> </w:t>
      </w:r>
      <w:r>
        <w:t xml:space="preserve">(Nearey and Assmann 2007)</w:t>
      </w:r>
      <w:r>
        <w:t xml:space="preserve"> </w:t>
      </w:r>
      <w:r>
        <w:t xml:space="preserve">and—for the first time—evaluate it quantitatively in terms of its ability to explain human behavior. The PSTM is a Bayesian model of</w:t>
      </w:r>
      <w:r>
        <w:t xml:space="preserve"> </w:t>
      </w:r>
      <w:r>
        <w:rPr>
          <w:i/>
          <w:iCs/>
        </w:rPr>
        <w:t xml:space="preserve">vowel normalization</w:t>
      </w:r>
      <w:r>
        <w:t xml:space="preserve">, the perceptual mapping from the acoustics of the speech signal to linguistic representation. The model is rooted in principled considerations about the biology of auditory perception in the mammalian brain, validated by cross-species comparisons. The formant normalization procedure proposed by (P)STM—</w:t>
      </w:r>
      <w:r>
        <w:rPr>
          <w:i/>
          <w:iCs/>
        </w:rPr>
        <w:t xml:space="preserve">uniform scaling</w:t>
      </w:r>
      <w:r>
        <w:t xml:space="preserve">, described in more detail below—is closely related to size variation due to the physics of acoustic resonators. Indeed, several animal species, such as koalas</w:t>
      </w:r>
      <w:r>
        <w:t xml:space="preserve"> </w:t>
      </w:r>
      <w:r>
        <w:t xml:space="preserve">(Charlton et al. 2012)</w:t>
      </w:r>
      <w:r>
        <w:t xml:space="preserve">, dogs</w:t>
      </w:r>
      <w:r>
        <w:t xml:space="preserve"> </w:t>
      </w:r>
      <w:r>
        <w:t xml:space="preserve">(Taylor, Reby, and McComb 2010)</w:t>
      </w:r>
      <w:r>
        <w:t xml:space="preserve">, and red deer</w:t>
      </w:r>
      <w:r>
        <w:t xml:space="preserve"> </w:t>
      </w:r>
      <w:r>
        <w:t xml:space="preserve">(Reby et al. 2005)</w:t>
      </w:r>
      <w:r>
        <w:t xml:space="preserve">, have been found to separate uniform scaling (size information) from the communicative information present in the signal</w:t>
      </w:r>
      <w:r>
        <w:t xml:space="preserve"> </w:t>
      </w:r>
      <w:r>
        <w:t xml:space="preserve">(for review, Barreda 2020)</w:t>
      </w:r>
      <w:r>
        <w:t xml:space="preserve">.</w:t>
      </w:r>
    </w:p>
    <w:p>
      <w:pPr>
        <w:pStyle w:val="BodyText"/>
      </w:pPr>
      <w:r>
        <w:t xml:space="preserve">A major appeal of the PSTM is that it integrates social and linguistic inferences into a joint inference process, simultaneously estimating speaker characteristics and categorizing vowels. This allows for the empirical investigation of the connection between speech perception, social knowledge, and the estimation of speaker indexical characteristics. Further, unlike most existing models of normalization, the PSTM infers the speaker characteristics required for normalization</w:t>
      </w:r>
      <w:r>
        <w:t xml:space="preserve"> </w:t>
      </w:r>
      <w:r>
        <w:rPr>
          <w:i/>
          <w:iCs/>
        </w:rPr>
        <w:t xml:space="preserve">incrementally</w:t>
      </w:r>
      <w:r>
        <w:t xml:space="preserve"> </w:t>
      </w:r>
      <w:r>
        <w:t xml:space="preserve">from the speech input (via one-shot inferences from a single vowel input). As we show below, it does so with high accuracy. This helps address the</w:t>
      </w:r>
      <w:r>
        <w:t xml:space="preserve"> </w:t>
      </w:r>
      <w:r>
        <w:t xml:space="preserve">‘</w:t>
      </w:r>
      <w:r>
        <w:t xml:space="preserve">bootstrap</w:t>
      </w:r>
      <w:r>
        <w:t xml:space="preserve">’</w:t>
      </w:r>
      <w:r>
        <w:t xml:space="preserve"> </w:t>
      </w:r>
      <w:r>
        <w:t xml:space="preserve">problem of speech normalization: listeners must know some speaker characteristics in order to normalize (and identify) speech but must accurately identify speech in order to accurately estimate the speaker characteristics required to normalize. Speaker characteristics and speech acoustics enter into the same many-to-many mapping relationship as the linguistic signal and speech acoustics. Consequently, determining both simultaneously from the speech signal is difficult, and the PSTM is one of the few models that addresses this problem in an empirically testable manner.</w:t>
      </w:r>
    </w:p>
    <w:p>
      <w:pPr>
        <w:pStyle w:val="BodyText"/>
      </w:pPr>
      <w:r>
        <w:t xml:space="preserve">The incremental inference mechanism described by the PSTM stands out even when compared to modern models of automatic speech recognition (ASR; e.g., HuBERT, Wav2vec, Whipser). These models have made tremendous progress in understanding human speech even under challenging conditions</w:t>
      </w:r>
      <w:r>
        <w:t xml:space="preserve"> </w:t>
      </w:r>
      <w:r>
        <w:t xml:space="preserve">(Kim et al. 2024)</w:t>
      </w:r>
      <w:r>
        <w:t xml:space="preserve">. Recent work further suggests that the perceptual representations learned by these ASR models capture some aspects of human speech perception</w:t>
      </w:r>
      <w:r>
        <w:t xml:space="preserve"> </w:t>
      </w:r>
      <w:r>
        <w:t xml:space="preserve">(Chernyak et al. 2024; Jin, Zhu, and Jaeger 2025)</w:t>
      </w:r>
      <w:r>
        <w:t xml:space="preserve">. Unlike the PSTM, however, none of these models exhibits the rapid, exposure-driven, incremental changes in perception that human listeners exhibit</w:t>
      </w:r>
      <w:r>
        <w:t xml:space="preserve"> </w:t>
      </w:r>
      <w:r>
        <w:t xml:space="preserve">(Magnuson and Nusbaum 2007; Barreda 2012; Persson, Barreda, and Jaeger 2025)</w:t>
      </w:r>
      <w:r>
        <w:t xml:space="preserve">.</w:t>
      </w:r>
    </w:p>
    <w:bookmarkStart w:id="20" w:name="Xbaa0dd2bde5af2f98a8be77ec1137deb262aec6"/>
    <w:p>
      <w:pPr>
        <w:pStyle w:val="Heading2"/>
      </w:pPr>
      <w:r>
        <w:t xml:space="preserve">1.1 Why we wrote this paper, and why you might want to read it</w:t>
      </w:r>
    </w:p>
    <w:p>
      <w:pPr>
        <w:pStyle w:val="FirstParagraph"/>
      </w:pPr>
      <w:r>
        <w:t xml:space="preserve">We believe that</w:t>
      </w:r>
      <w:r>
        <w:t xml:space="preserve"> </w:t>
      </w:r>
      <w:r>
        <w:t xml:space="preserve">Nearey and Assmann (2007)</w:t>
      </w:r>
      <w:r>
        <w:t xml:space="preserve"> </w:t>
      </w:r>
      <w:r>
        <w:t xml:space="preserve">is one of the most under-appreciated papers in speech perception. It has been cited less than 40 times over 17 years. During the same time, there have been over 17,000 research articles on vowel identification and formant normalization.</w:t>
      </w:r>
      <w:r>
        <w:t xml:space="preserve"> </w:t>
      </w:r>
      <w:r>
        <w:t xml:space="preserve"> </w:t>
      </w:r>
      <w:r>
        <w:t xml:space="preserve">Among the articles covering formant normalization, Lobanov normalization</w:t>
      </w:r>
      <w:r>
        <w:t xml:space="preserve"> </w:t>
      </w:r>
      <w:r>
        <w:t xml:space="preserve">(Lobanov 1971)</w:t>
      </w:r>
      <w:r>
        <w:t xml:space="preserve"> </w:t>
      </w:r>
      <w:r>
        <w:t xml:space="preserve">is cited</w:t>
      </w:r>
      <w:r>
        <w:t xml:space="preserve"> </w:t>
      </w:r>
      <w:r>
        <w:t xml:space="preserve"> </w:t>
      </w:r>
      <w:r>
        <w:t xml:space="preserve">about 100-times more often than the PSTM</w:t>
      </w:r>
      <w:r>
        <w:t xml:space="preserve"> </w:t>
      </w:r>
      <w:r>
        <w:t xml:space="preserve">(Nearey and Assmann 2007)</w:t>
      </w:r>
      <w:r>
        <w:t xml:space="preserve">—despite the fact that the latter is the only published model of the incremental inferences underlying vowel perception. So, here is a ground-breaking idea and promising candidate model of how humans perceive spectral information, with far-reaching consequences for research from typology to sociolinguistics to speech perception, … and few seem to know of it.</w:t>
      </w:r>
    </w:p>
    <w:p>
      <w:pPr>
        <w:pStyle w:val="BodyText"/>
      </w:pPr>
      <w:r>
        <w:t xml:space="preserve">We see two reasons for this. First, the PSTM has not previously been tested against human perception.</w:t>
      </w:r>
      <w:r>
        <w:t xml:space="preserve"> </w:t>
      </w:r>
      <w:r>
        <w:t xml:space="preserve">Nearey and Assmann (2007)</w:t>
      </w:r>
      <w:r>
        <w:t xml:space="preserve"> </w:t>
      </w:r>
      <w:r>
        <w:t xml:space="preserve">evaluated the PSTM in terms of its ability to recognize the vowel</w:t>
      </w:r>
      <w:r>
        <w:t xml:space="preserve"> </w:t>
      </w:r>
      <w:r>
        <w:rPr>
          <w:i/>
          <w:iCs/>
        </w:rPr>
        <w:t xml:space="preserve">intended by the talker</w:t>
      </w:r>
      <w:r>
        <w:t xml:space="preserve">. However, models of human speech perception should be evaluated in terms of their ability to predict</w:t>
      </w:r>
      <w:r>
        <w:t xml:space="preserve"> </w:t>
      </w:r>
      <w:r>
        <w:rPr>
          <w:i/>
          <w:iCs/>
        </w:rPr>
        <w:t xml:space="preserve">what listeners perceive</w:t>
      </w:r>
      <w:r>
        <w:t xml:space="preserve"> </w:t>
      </w:r>
      <w:r>
        <w:t xml:space="preserve">(see also Barreda 2020; Persson, Barreda, and Jaeger 2025)</w:t>
      </w:r>
      <w:r>
        <w:t xml:space="preserve">. We provide such a test below, and demonstrate that the PSTM is a by far superior model of human formant perception than the most-cited normalization account.</w:t>
      </w:r>
    </w:p>
    <w:p>
      <w:pPr>
        <w:pStyle w:val="BodyText"/>
      </w:pPr>
      <w:r>
        <w:t xml:space="preserve">Second, in an effort to make the PSTM more accessible, we re-introduce it along with helpful visualizations. Our supplementary information (SI) provides step-by-step derivations of the PSTM. We have also implemented the PSTM in the R package</w:t>
      </w:r>
      <w:r>
        <w:t xml:space="preserve"> </w:t>
      </w:r>
      <w:r>
        <w:rPr>
          <w:rStyle w:val="VerbatimChar"/>
        </w:rPr>
        <w:t xml:space="preserve">STM</w:t>
      </w:r>
      <w:r>
        <w:t xml:space="preserve">, which is designed to be user-friendly. The present article serves as a demonstration: it is written in Quarto markdown and uses the</w:t>
      </w:r>
      <w:r>
        <w:t xml:space="preserve"> </w:t>
      </w:r>
      <w:r>
        <w:rPr>
          <w:rStyle w:val="VerbatimChar"/>
        </w:rPr>
        <w:t xml:space="preserve">STM</w:t>
      </w:r>
      <w:r>
        <w:t xml:space="preserve"> </w:t>
      </w:r>
      <w:r>
        <w:t xml:space="preserve">package. Other researcher can download this markdown at https://osf.io/tpwmv/, and re-run our analyses with the press of a button in RStudio</w:t>
      </w:r>
      <w:r>
        <w:t xml:space="preserve"> </w:t>
      </w:r>
      <w:r>
        <w:t xml:space="preserve">(R Core Team 2023; RStudio Team 2024)</w:t>
      </w:r>
      <w:r>
        <w:t xml:space="preserve">, or apply similar analyses to their own data.</w:t>
      </w:r>
    </w:p>
    <w:bookmarkEnd w:id="20"/>
    <w:bookmarkEnd w:id="21"/>
    <w:bookmarkStart w:id="29" w:name="sec-uniform"/>
    <w:p>
      <w:pPr>
        <w:pStyle w:val="Heading1"/>
      </w:pPr>
      <w:r>
        <w:t xml:space="preserve">2. Perceptual normalization through uniform scaling</w:t>
      </w:r>
    </w:p>
    <w:p>
      <w:pPr>
        <w:pStyle w:val="FirstParagraph"/>
      </w:pPr>
      <w:r>
        <w:t xml:space="preserve">A core assumption of normalization accounts is that dialect-specific vowel representations are learned and represented in a</w:t>
      </w:r>
      <w:r>
        <w:t xml:space="preserve"> </w:t>
      </w:r>
      <w:r>
        <w:rPr>
          <w:i/>
          <w:iCs/>
        </w:rPr>
        <w:t xml:space="preserve">normalized</w:t>
      </w:r>
      <w:r>
        <w:t xml:space="preserve"> </w:t>
      </w:r>
      <w:r>
        <w:t xml:space="preserve">formant space. We start by motivating the normalized formant space assumed by the (P)STM.</w:t>
      </w:r>
    </w:p>
    <w:p>
      <w:pPr>
        <w:pStyle w:val="BodyText"/>
      </w:pPr>
      <w:r>
        <w:t xml:space="preserve">Formant inputs from different talkers tend to be perceived as phonetically similar if they differ only according to a single multiplicative scaling parameter</w:t>
      </w:r>
      <w:r>
        <w:t xml:space="preserve"> </w:t>
      </w:r>
      <w:r>
        <w:t xml:space="preserve">(for review, see Barreda 2020)</w:t>
      </w:r>
      <w:r>
        <w:t xml:space="preserve">. For example, in order to preserve phonetic similarity, a speaker who produces an F1 that is 10% higher for /a/ than another should also produce F2 and F3 that are 10% higher—i.e., all formants are</w:t>
      </w:r>
      <w:r>
        <w:t xml:space="preserve"> </w:t>
      </w:r>
      <w:r>
        <w:rPr>
          <w:i/>
          <w:iCs/>
        </w:rPr>
        <w:t xml:space="preserve">uniformly scaled</w:t>
      </w:r>
      <w:r>
        <w:t xml:space="preserve">. Consider a dialect-specific formant target</w:t>
      </w:r>
      <w:r>
        <w:t xml:space="preserve"> </w:t>
      </w:r>
      <m:oMath>
        <m:sSubSup>
          <m:e>
            <m:acc>
              <m:accPr>
                <m:chr m:val="⃗"/>
              </m:accPr>
              <m:e>
                <m:r>
                  <m:t>F</m:t>
                </m:r>
              </m:e>
            </m:acc>
          </m:e>
          <m:sub>
            <m:r>
              <m:rPr>
                <m:sty m:val="p"/>
              </m:rPr>
              <m:t>v</m:t>
            </m:r>
          </m:sub>
          <m:sup>
            <m:r>
              <m:rPr>
                <m:sty m:val="p"/>
              </m:rPr>
              <m:t>*</m:t>
            </m:r>
          </m:sup>
        </m:sSubSup>
        <m:box>
          <m:boxPr>
            <m:opEmu m:val="on"/>
          </m:boxPr>
          <m:e>
            <m:r>
              <m:rPr>
                <m:sty m:val="p"/>
              </m:rPr>
              <m:t>:=</m:t>
            </m:r>
          </m:e>
        </m:box>
        <m:d>
          <m:dPr>
            <m:begChr m:val="["/>
            <m:endChr m:val="]"/>
            <m:sepChr m:val=""/>
            <m:grow/>
          </m:dPr>
          <m:e>
            <m:r>
              <m:t>F</m:t>
            </m:r>
            <m:sSubSup>
              <m:e>
                <m:r>
                  <m:t>1</m:t>
                </m:r>
              </m:e>
              <m:sub>
                <m:r>
                  <m:rPr>
                    <m:sty m:val="p"/>
                  </m:rPr>
                  <m:t>v</m:t>
                </m:r>
              </m:sub>
              <m:sup>
                <m:r>
                  <m:rPr>
                    <m:sty m:val="p"/>
                  </m:rPr>
                  <m:t>*</m:t>
                </m:r>
              </m:sup>
            </m:sSubSup>
            <m:r>
              <m:rPr>
                <m:sty m:val="p"/>
              </m:rPr>
              <m:t>,</m:t>
            </m:r>
            <m:r>
              <m:t>F</m:t>
            </m:r>
            <m:sSubSup>
              <m:e>
                <m:r>
                  <m:t>2</m:t>
                </m:r>
              </m:e>
              <m:sub>
                <m:r>
                  <m:rPr>
                    <m:sty m:val="p"/>
                  </m:rPr>
                  <m:t>v</m:t>
                </m:r>
              </m:sub>
              <m:sup>
                <m:r>
                  <m:rPr>
                    <m:sty m:val="p"/>
                  </m:rPr>
                  <m:t>*</m:t>
                </m:r>
              </m:sup>
            </m:sSubSup>
            <m:r>
              <m:rPr>
                <m:sty m:val="p"/>
              </m:rPr>
              <m:t>,</m:t>
            </m:r>
            <m:r>
              <m:t>F</m:t>
            </m:r>
            <m:sSubSup>
              <m:e>
                <m:r>
                  <m:t>3</m:t>
                </m:r>
              </m:e>
              <m:sub>
                <m:r>
                  <m:rPr>
                    <m:sty m:val="p"/>
                  </m:rPr>
                  <m:t>v</m:t>
                </m:r>
              </m:sub>
              <m:sup>
                <m:r>
                  <m:rPr>
                    <m:sty m:val="p"/>
                  </m:rPr>
                  <m:t>*</m:t>
                </m:r>
              </m:sup>
            </m:sSubSup>
            <m:r>
              <m:rPr>
                <m:sty m:val="p"/>
              </m:rPr>
              <m:t>,</m:t>
            </m:r>
            <m:r>
              <m:rPr>
                <m:sty m:val="p"/>
              </m:rPr>
              <m:t>.</m:t>
            </m:r>
            <m:r>
              <m:rPr>
                <m:sty m:val="p"/>
              </m:rPr>
              <m:t>.</m:t>
            </m:r>
            <m:r>
              <m:rPr>
                <m:sty m:val="p"/>
              </m:rPr>
              <m:t>.</m:t>
            </m:r>
          </m:e>
        </m:d>
      </m:oMath>
      <w:r>
        <w:t xml:space="preserve"> </w:t>
      </w:r>
      <w:r>
        <w:t xml:space="preserve">for vowel v. A speaker</w:t>
      </w:r>
      <w:r>
        <w:t xml:space="preserve"> </w:t>
      </w:r>
      <m:oMath>
        <m:r>
          <m:t>s</m:t>
        </m:r>
      </m:oMath>
      <w:r>
        <w:t xml:space="preserve"> </w:t>
      </w:r>
      <w:r>
        <w:t xml:space="preserve">of that dialect, should target formants</w:t>
      </w:r>
      <w:r>
        <w:t xml:space="preserve"> </w:t>
      </w:r>
      <m:oMath>
        <m:sSubSup>
          <m:e>
            <m:acc>
              <m:accPr>
                <m:chr m:val="⃗"/>
              </m:accPr>
              <m:e>
                <m:r>
                  <m:t>F</m:t>
                </m:r>
              </m:e>
            </m:acc>
          </m:e>
          <m:sub>
            <m:r>
              <m:rPr>
                <m:sty m:val="p"/>
              </m:rPr>
              <m:t>v</m:t>
            </m:r>
          </m:sub>
          <m:sup>
            <m:r>
              <m:t>s</m:t>
            </m:r>
            <m:r>
              <m:rPr>
                <m:sty m:val="p"/>
              </m:rPr>
              <m:t>*</m:t>
            </m:r>
          </m:sup>
        </m:sSubSup>
        <m:box>
          <m:boxPr>
            <m:opEmu m:val="on"/>
          </m:boxPr>
          <m:e>
            <m:r>
              <m:rPr>
                <m:sty m:val="p"/>
              </m:rPr>
              <m:t>:=</m:t>
            </m:r>
          </m:e>
        </m:box>
        <m:d>
          <m:dPr>
            <m:begChr m:val="["/>
            <m:endChr m:val="]"/>
            <m:sepChr m:val=""/>
            <m:grow/>
          </m:dPr>
          <m:e>
            <m:r>
              <m:t>F</m:t>
            </m:r>
            <m:sSubSup>
              <m:e>
                <m:r>
                  <m:t>1</m:t>
                </m:r>
              </m:e>
              <m:sub>
                <m:r>
                  <m:rPr>
                    <m:sty m:val="p"/>
                  </m:rPr>
                  <m:t>v</m:t>
                </m:r>
              </m:sub>
              <m:sup>
                <m:r>
                  <m:t>s</m:t>
                </m:r>
                <m:r>
                  <m:rPr>
                    <m:sty m:val="p"/>
                  </m:rPr>
                  <m:t>*</m:t>
                </m:r>
              </m:sup>
            </m:sSubSup>
            <m:r>
              <m:rPr>
                <m:sty m:val="p"/>
              </m:rPr>
              <m:t>,</m:t>
            </m:r>
            <m:r>
              <m:t>F</m:t>
            </m:r>
            <m:sSubSup>
              <m:e>
                <m:r>
                  <m:t>2</m:t>
                </m:r>
              </m:e>
              <m:sub>
                <m:r>
                  <m:rPr>
                    <m:sty m:val="p"/>
                  </m:rPr>
                  <m:t>v</m:t>
                </m:r>
              </m:sub>
              <m:sup>
                <m:r>
                  <m:t>s</m:t>
                </m:r>
                <m:r>
                  <m:rPr>
                    <m:sty m:val="p"/>
                  </m:rPr>
                  <m:t>*</m:t>
                </m:r>
              </m:sup>
            </m:sSubSup>
            <m:r>
              <m:rPr>
                <m:sty m:val="p"/>
              </m:rPr>
              <m:t>,</m:t>
            </m:r>
            <m:r>
              <m:t>F</m:t>
            </m:r>
            <m:sSubSup>
              <m:e>
                <m:r>
                  <m:t>3</m:t>
                </m:r>
              </m:e>
              <m:sub>
                <m:r>
                  <m:rPr>
                    <m:sty m:val="p"/>
                  </m:rPr>
                  <m:t>v</m:t>
                </m:r>
              </m:sub>
              <m:sup>
                <m:r>
                  <m:t>s</m:t>
                </m:r>
                <m:r>
                  <m:rPr>
                    <m:sty m:val="p"/>
                  </m:rPr>
                  <m:t>*</m:t>
                </m:r>
              </m:sup>
            </m:sSubSup>
            <m:r>
              <m:rPr>
                <m:sty m:val="p"/>
              </m:rPr>
              <m:t>,</m:t>
            </m:r>
            <m:r>
              <m:rPr>
                <m:sty m:val="p"/>
              </m:rPr>
              <m:t>.</m:t>
            </m:r>
            <m:r>
              <m:rPr>
                <m:sty m:val="p"/>
              </m:rPr>
              <m:t>.</m:t>
            </m:r>
            <m:r>
              <m:rPr>
                <m:sty m:val="p"/>
              </m:rPr>
              <m:t>.</m:t>
            </m:r>
          </m:e>
        </m:d>
      </m:oMath>
      <w:r>
        <w:t xml:space="preserve"> </w:t>
      </w:r>
      <w:r>
        <w:t xml:space="preserve">that are</w:t>
      </w:r>
      <w:r>
        <w:t xml:space="preserve"> </w:t>
      </w:r>
      <w:r>
        <w:rPr>
          <w:i/>
          <w:iCs/>
        </w:rPr>
        <w:t xml:space="preserve">uniformly scaled</w:t>
      </w:r>
      <w:r>
        <w:t xml:space="preserve"> </w:t>
      </w:r>
      <w:r>
        <w:t xml:space="preserve">by a speaker-specific scaling parameter</w:t>
      </w:r>
      <w:r>
        <w:t xml:space="preserve"> </w:t>
      </w:r>
      <m:oMath>
        <m:sSub>
          <m:e>
            <m:r>
              <m:t>ρ</m:t>
            </m:r>
          </m:e>
          <m:sub>
            <m:r>
              <m:t>s</m:t>
            </m:r>
          </m:sub>
        </m:sSub>
      </m:oMath>
      <w:r>
        <w:t xml:space="preserve">, as in</w:t>
      </w:r>
      <w:r>
        <w:t xml:space="preserve"> </w:t>
      </w:r>
      <w:hyperlink w:anchor="eq-define-Fstar">
        <w:r>
          <w:rPr>
            <w:rStyle w:val="Hyperlink"/>
          </w:rPr>
          <w:t xml:space="preserve">Equation 1</w:t>
        </w:r>
      </w:hyperlink>
      <w:r>
        <w:t xml:space="preserve">.</w:t>
      </w:r>
    </w:p>
    <w:p>
      <w:pPr>
        <w:pStyle w:val="BodyText"/>
      </w:pPr>
      <w:bookmarkStart w:id="22" w:name="eq-define-Fstar"/>
      <m:oMathPara>
        <m:oMathParaPr>
          <m:jc m:val="center"/>
        </m:oMathParaPr>
        <m:oMath>
          <m:sSubSup>
            <m:e>
              <m:acc>
                <m:accPr>
                  <m:chr m:val="⃗"/>
                </m:accPr>
                <m:e>
                  <m:r>
                    <m:t>F</m:t>
                  </m:r>
                </m:e>
              </m:acc>
            </m:e>
            <m:sub>
              <m:r>
                <m:rPr>
                  <m:sty m:val="p"/>
                </m:rPr>
                <m:t>v</m:t>
              </m:r>
            </m:sub>
            <m:sup>
              <m:r>
                <m:t>s</m:t>
              </m:r>
              <m:r>
                <m:rPr>
                  <m:sty m:val="p"/>
                </m:rPr>
                <m:t>*</m:t>
              </m:r>
            </m:sup>
          </m:sSubSup>
          <m:box>
            <m:boxPr>
              <m:opEmu m:val="on"/>
            </m:boxPr>
            <m:e>
              <m:r>
                <m:rPr>
                  <m:sty m:val="p"/>
                </m:rPr>
                <m:t>:=</m:t>
              </m:r>
            </m:e>
          </m:box>
          <m:d>
            <m:dPr>
              <m:begChr m:val="["/>
              <m:endChr m:val="]"/>
              <m:sepChr m:val=""/>
              <m:grow/>
            </m:dPr>
            <m:e>
              <m:r>
                <m:t>F</m:t>
              </m:r>
              <m:sSubSup>
                <m:e>
                  <m:r>
                    <m:t>1</m:t>
                  </m:r>
                </m:e>
                <m:sub>
                  <m:r>
                    <m:rPr>
                      <m:sty m:val="p"/>
                    </m:rPr>
                    <m:t>v</m:t>
                  </m:r>
                </m:sub>
                <m:sup>
                  <m:r>
                    <m:t>s</m:t>
                  </m:r>
                  <m:r>
                    <m:rPr>
                      <m:sty m:val="p"/>
                    </m:rPr>
                    <m:t>*</m:t>
                  </m:r>
                </m:sup>
              </m:sSubSup>
              <m:r>
                <m:rPr>
                  <m:sty m:val="p"/>
                </m:rPr>
                <m:t>,</m:t>
              </m:r>
              <m:r>
                <m:t>F</m:t>
              </m:r>
              <m:sSubSup>
                <m:e>
                  <m:r>
                    <m:t>2</m:t>
                  </m:r>
                </m:e>
                <m:sub>
                  <m:r>
                    <m:rPr>
                      <m:sty m:val="p"/>
                    </m:rPr>
                    <m:t>v</m:t>
                  </m:r>
                </m:sub>
                <m:sup>
                  <m:r>
                    <m:t>s</m:t>
                  </m:r>
                  <m:r>
                    <m:rPr>
                      <m:sty m:val="p"/>
                    </m:rPr>
                    <m:t>*</m:t>
                  </m:r>
                </m:sup>
              </m:sSubSup>
              <m:r>
                <m:rPr>
                  <m:sty m:val="p"/>
                </m:rPr>
                <m:t>,</m:t>
              </m:r>
              <m:r>
                <m:t>F</m:t>
              </m:r>
              <m:sSubSup>
                <m:e>
                  <m:r>
                    <m:t>3</m:t>
                  </m:r>
                </m:e>
                <m:sub>
                  <m:r>
                    <m:rPr>
                      <m:sty m:val="p"/>
                    </m:rPr>
                    <m:t>v</m:t>
                  </m:r>
                </m:sub>
                <m:sup>
                  <m:r>
                    <m:t>s</m:t>
                  </m:r>
                  <m:r>
                    <m:rPr>
                      <m:sty m:val="p"/>
                    </m:rPr>
                    <m:t>*</m:t>
                  </m:r>
                </m:sup>
              </m:sSubSup>
              <m:r>
                <m:rPr>
                  <m:sty m:val="p"/>
                </m:rPr>
                <m:t>,</m:t>
              </m:r>
              <m:r>
                <m:rPr>
                  <m:sty m:val="p"/>
                </m:rPr>
                <m:t>.</m:t>
              </m:r>
              <m:r>
                <m:rPr>
                  <m:sty m:val="p"/>
                </m:rPr>
                <m:t>.</m:t>
              </m:r>
              <m:r>
                <m:rPr>
                  <m:sty m:val="p"/>
                </m:rPr>
                <m:t>.</m:t>
              </m:r>
            </m:e>
          </m:d>
          <m:r>
            <m:rPr>
              <m:sty m:val="p"/>
            </m:rPr>
            <m:t>=</m:t>
          </m:r>
          <m:d>
            <m:dPr>
              <m:begChr m:val="["/>
              <m:endChr m:val="]"/>
              <m:sepChr m:val=""/>
              <m:grow/>
            </m:dPr>
            <m:e>
              <m:r>
                <m:t>F</m:t>
              </m:r>
              <m:sSubSup>
                <m:e>
                  <m:r>
                    <m:t>1</m:t>
                  </m:r>
                </m:e>
                <m:sub>
                  <m:r>
                    <m:rPr>
                      <m:sty m:val="p"/>
                    </m:rPr>
                    <m:t>v</m:t>
                  </m:r>
                </m:sub>
                <m:sup>
                  <m:r>
                    <m:rPr>
                      <m:sty m:val="p"/>
                    </m:rPr>
                    <m:t>*</m:t>
                  </m:r>
                </m:sup>
              </m:sSubSup>
              <m:r>
                <m:rPr>
                  <m:sty m:val="p"/>
                </m:rPr>
                <m:t>,</m:t>
              </m:r>
              <m:r>
                <m:t>F</m:t>
              </m:r>
              <m:sSubSup>
                <m:e>
                  <m:r>
                    <m:t>2</m:t>
                  </m:r>
                </m:e>
                <m:sub>
                  <m:r>
                    <m:rPr>
                      <m:sty m:val="p"/>
                    </m:rPr>
                    <m:t>v</m:t>
                  </m:r>
                </m:sub>
                <m:sup>
                  <m:r>
                    <m:rPr>
                      <m:sty m:val="p"/>
                    </m:rPr>
                    <m:t>*</m:t>
                  </m:r>
                </m:sup>
              </m:sSubSup>
              <m:r>
                <m:rPr>
                  <m:sty m:val="p"/>
                </m:rPr>
                <m:t>,</m:t>
              </m:r>
              <m:r>
                <m:t>F</m:t>
              </m:r>
              <m:sSubSup>
                <m:e>
                  <m:r>
                    <m:t>3</m:t>
                  </m:r>
                </m:e>
                <m:sub>
                  <m:r>
                    <m:rPr>
                      <m:sty m:val="p"/>
                    </m:rPr>
                    <m:t>v</m:t>
                  </m:r>
                </m:sub>
                <m:sup>
                  <m:r>
                    <m:rPr>
                      <m:sty m:val="p"/>
                    </m:rPr>
                    <m:t>*</m:t>
                  </m:r>
                </m:sup>
              </m:sSubSup>
              <m:r>
                <m:rPr>
                  <m:sty m:val="p"/>
                </m:rPr>
                <m:t>,</m:t>
              </m:r>
              <m:r>
                <m:rPr>
                  <m:sty m:val="p"/>
                </m:rPr>
                <m:t>.</m:t>
              </m:r>
              <m:r>
                <m:rPr>
                  <m:sty m:val="p"/>
                </m:rPr>
                <m:t>.</m:t>
              </m:r>
              <m:r>
                <m:rPr>
                  <m:sty m:val="p"/>
                </m:rPr>
                <m:t>.</m:t>
              </m:r>
            </m:e>
          </m:d>
          <m:r>
            <m:rPr>
              <m:sty m:val="p"/>
            </m:rPr>
            <m:t>⋅</m:t>
          </m:r>
          <m:sSub>
            <m:e>
              <m:r>
                <m:t>ρ</m:t>
              </m:r>
            </m:e>
            <m:sub>
              <m:r>
                <m:t>s</m:t>
              </m:r>
            </m:sub>
          </m:sSub>
          <m:r>
            <m:t>  </m:t>
          </m:r>
          <m:d>
            <m:dPr>
              <m:begChr m:val="("/>
              <m:endChr m:val=")"/>
              <m:sepChr m:val=""/>
              <m:grow/>
            </m:dPr>
            <m:e>
              <m:r>
                <m:t>1</m:t>
              </m:r>
            </m:e>
          </m:d>
        </m:oMath>
      </m:oMathPara>
      <w:bookmarkEnd w:id="22"/>
    </w:p>
    <w:p>
      <w:pPr>
        <w:pStyle w:val="FirstParagraph"/>
      </w:pPr>
      <w:hyperlink w:anchor="eq-define-Fstar">
        <w:r>
          <w:rPr>
            <w:rStyle w:val="Hyperlink"/>
          </w:rPr>
          <w:t xml:space="preserve">Equation 1</w:t>
        </w:r>
      </w:hyperlink>
      <w:r>
        <w:t xml:space="preserve"> </w:t>
      </w:r>
      <w:r>
        <w:t xml:space="preserve">can be re-expressed as the sum of log-transformed formant targets</w:t>
      </w:r>
      <w:r>
        <w:t xml:space="preserve"> </w:t>
      </w:r>
      <m:oMath>
        <m:sSubSup>
          <m:e>
            <m:acc>
              <m:accPr>
                <m:chr m:val="⃗"/>
              </m:accPr>
              <m:e>
                <m:r>
                  <m:t>G</m:t>
                </m:r>
              </m:e>
            </m:acc>
          </m:e>
          <m:sub>
            <m:r>
              <m:rPr>
                <m:sty m:val="p"/>
              </m:rPr>
              <m:t>v</m:t>
            </m:r>
          </m:sub>
          <m:sup>
            <m:r>
              <m:rPr>
                <m:sty m:val="p"/>
              </m:rPr>
              <m:t>*</m:t>
            </m:r>
          </m:sup>
        </m:sSubSup>
        <m:box>
          <m:boxPr>
            <m:opEmu m:val="on"/>
          </m:boxPr>
          <m:e>
            <m:r>
              <m:rPr>
                <m:sty m:val="p"/>
              </m:rPr>
              <m:t>:=</m:t>
            </m:r>
          </m:e>
        </m:box>
        <m:d>
          <m:dPr>
            <m:begChr m:val="["/>
            <m:endChr m:val="]"/>
            <m:sepChr m:val=""/>
            <m:grow/>
          </m:dPr>
          <m:e>
            <m:r>
              <m:t>G</m:t>
            </m:r>
            <m:sSubSup>
              <m:e>
                <m:r>
                  <m:t>1</m:t>
                </m:r>
              </m:e>
              <m:sub>
                <m:r>
                  <m:rPr>
                    <m:sty m:val="p"/>
                  </m:rPr>
                  <m:t>v</m:t>
                </m:r>
              </m:sub>
              <m:sup>
                <m:r>
                  <m:rPr>
                    <m:sty m:val="p"/>
                  </m:rPr>
                  <m:t>*</m:t>
                </m:r>
              </m:sup>
            </m:sSubSup>
            <m:r>
              <m:rPr>
                <m:sty m:val="p"/>
              </m:rPr>
              <m:t>,</m:t>
            </m:r>
            <m:r>
              <m:t>G</m:t>
            </m:r>
            <m:sSubSup>
              <m:e>
                <m:r>
                  <m:t>2</m:t>
                </m:r>
              </m:e>
              <m:sub>
                <m:r>
                  <m:rPr>
                    <m:sty m:val="p"/>
                  </m:rPr>
                  <m:t>v</m:t>
                </m:r>
              </m:sub>
              <m:sup>
                <m:r>
                  <m:rPr>
                    <m:sty m:val="p"/>
                  </m:rPr>
                  <m:t>*</m:t>
                </m:r>
              </m:sup>
            </m:sSubSup>
            <m:r>
              <m:rPr>
                <m:sty m:val="p"/>
              </m:rPr>
              <m:t>,</m:t>
            </m:r>
            <m:r>
              <m:t>G</m:t>
            </m:r>
            <m:sSubSup>
              <m:e>
                <m:r>
                  <m:t>3</m:t>
                </m:r>
              </m:e>
              <m:sub>
                <m:r>
                  <m:rPr>
                    <m:sty m:val="p"/>
                  </m:rPr>
                  <m:t>v</m:t>
                </m:r>
              </m:sub>
              <m:sup>
                <m:r>
                  <m:rPr>
                    <m:sty m:val="p"/>
                  </m:rPr>
                  <m:t>*</m:t>
                </m:r>
              </m:sup>
            </m:sSubSup>
          </m:e>
        </m:d>
        <m:r>
          <m:rPr>
            <m:sty m:val="p"/>
          </m:rPr>
          <m:t>=</m:t>
        </m:r>
        <m:r>
          <m:rPr>
            <m:sty m:val="p"/>
          </m:rPr>
          <m:t>log</m:t>
        </m:r>
        <m:d>
          <m:dPr>
            <m:begChr m:val="("/>
            <m:endChr m:val=")"/>
            <m:sepChr m:val=""/>
            <m:grow/>
          </m:dPr>
          <m:e>
            <m:sSubSup>
              <m:e>
                <m:acc>
                  <m:accPr>
                    <m:chr m:val="⃗"/>
                  </m:accPr>
                  <m:e>
                    <m:r>
                      <m:t>F</m:t>
                    </m:r>
                  </m:e>
                </m:acc>
              </m:e>
              <m:sub>
                <m:r>
                  <m:rPr>
                    <m:sty m:val="p"/>
                  </m:rPr>
                  <m:t>v</m:t>
                </m:r>
              </m:sub>
              <m:sup>
                <m:r>
                  <m:rPr>
                    <m:sty m:val="p"/>
                  </m:rPr>
                  <m:t>*</m:t>
                </m:r>
              </m:sup>
            </m:sSubSup>
          </m:e>
        </m:d>
      </m:oMath>
      <w:r>
        <w:t xml:space="preserve">, where</w:t>
      </w:r>
      <w:r>
        <w:t xml:space="preserve"> </w:t>
      </w:r>
      <m:oMath>
        <m:sSub>
          <m:e>
            <m:r>
              <m:t>ψ</m:t>
            </m:r>
          </m:e>
          <m:sub>
            <m:r>
              <m:t>s</m:t>
            </m:r>
          </m:sub>
        </m:sSub>
        <m:r>
          <m:rPr>
            <m:sty m:val="p"/>
          </m:rPr>
          <m:t>=</m:t>
        </m:r>
        <m:r>
          <m:rPr>
            <m:sty m:val="p"/>
          </m:rPr>
          <m:t>log</m:t>
        </m:r>
        <m:d>
          <m:dPr>
            <m:begChr m:val="("/>
            <m:endChr m:val=")"/>
            <m:sepChr m:val=""/>
            <m:grow/>
          </m:dPr>
          <m:e>
            <m:sSub>
              <m:e>
                <m:r>
                  <m:t>ρ</m:t>
                </m:r>
              </m:e>
              <m:sub>
                <m:r>
                  <m:t>s</m:t>
                </m:r>
              </m:sub>
            </m:sSub>
          </m:e>
        </m:d>
      </m:oMath>
      <w:r>
        <w:t xml:space="preserve">, as in</w:t>
      </w:r>
      <w:r>
        <w:t xml:space="preserve"> </w:t>
      </w:r>
      <w:hyperlink w:anchor="eq-define-Gstar">
        <w:r>
          <w:rPr>
            <w:rStyle w:val="Hyperlink"/>
          </w:rPr>
          <w:t xml:space="preserve">Equation 2</w:t>
        </w:r>
      </w:hyperlink>
      <w:r>
        <w:t xml:space="preserve">. In log-transformed Hz, uniform scaling thus results in additive, rather than multiplicative, changes. This relation between multiplicative scaling in Hz and additive scaling in log-Hz is illustrated in</w:t>
      </w:r>
      <w:r>
        <w:t xml:space="preserve"> </w:t>
      </w:r>
      <w:hyperlink w:anchor="fig-uniform-scaling">
        <w:r>
          <w:rPr>
            <w:rStyle w:val="Hyperlink"/>
          </w:rPr>
          <w:t xml:space="preserve">Figure 1</w:t>
        </w:r>
      </w:hyperlink>
      <w:r>
        <w:t xml:space="preserve">.</w:t>
      </w:r>
    </w:p>
    <w:p>
      <w:pPr>
        <w:pStyle w:val="BodyText"/>
      </w:pPr>
      <w:bookmarkStart w:id="23" w:name="eq-define-Gstar"/>
      <m:oMathPara>
        <m:oMathParaPr>
          <m:jc m:val="center"/>
        </m:oMathParaPr>
        <m:oMath>
          <m:sSubSup>
            <m:e>
              <m:acc>
                <m:accPr>
                  <m:chr m:val="⃗"/>
                </m:accPr>
                <m:e>
                  <m:r>
                    <m:t>G</m:t>
                  </m:r>
                </m:e>
              </m:acc>
            </m:e>
            <m:sub>
              <m:r>
                <m:rPr>
                  <m:sty m:val="p"/>
                </m:rPr>
                <m:t>v</m:t>
              </m:r>
            </m:sub>
            <m:sup>
              <m:r>
                <m:t>s</m:t>
              </m:r>
              <m:r>
                <m:rPr>
                  <m:sty m:val="p"/>
                </m:rPr>
                <m:t>*</m:t>
              </m:r>
            </m:sup>
          </m:sSubSup>
          <m:box>
            <m:boxPr>
              <m:opEmu m:val="on"/>
            </m:boxPr>
            <m:e>
              <m:r>
                <m:rPr>
                  <m:sty m:val="p"/>
                </m:rPr>
                <m:t>:=</m:t>
              </m:r>
            </m:e>
          </m:box>
          <m:d>
            <m:dPr>
              <m:begChr m:val="["/>
              <m:endChr m:val="]"/>
              <m:sepChr m:val=""/>
              <m:grow/>
            </m:dPr>
            <m:e>
              <m:r>
                <m:t> </m:t>
              </m:r>
              <m:r>
                <m:t>G</m:t>
              </m:r>
              <m:sSubSup>
                <m:e>
                  <m:r>
                    <m:t>1</m:t>
                  </m:r>
                </m:e>
                <m:sub>
                  <m:r>
                    <m:rPr>
                      <m:sty m:val="p"/>
                    </m:rPr>
                    <m:t>v</m:t>
                  </m:r>
                </m:sub>
                <m:sup>
                  <m:r>
                    <m:t>s</m:t>
                  </m:r>
                  <m:r>
                    <m:rPr>
                      <m:sty m:val="p"/>
                    </m:rPr>
                    <m:t>*</m:t>
                  </m:r>
                </m:sup>
              </m:sSubSup>
              <m:r>
                <m:rPr>
                  <m:sty m:val="p"/>
                </m:rPr>
                <m:t>,</m:t>
              </m:r>
              <m:r>
                <m:t> </m:t>
              </m:r>
              <m:r>
                <m:t>G</m:t>
              </m:r>
              <m:sSubSup>
                <m:e>
                  <m:r>
                    <m:t>2</m:t>
                  </m:r>
                </m:e>
                <m:sub>
                  <m:r>
                    <m:rPr>
                      <m:sty m:val="p"/>
                    </m:rPr>
                    <m:t>v</m:t>
                  </m:r>
                </m:sub>
                <m:sup>
                  <m:r>
                    <m:t>s</m:t>
                  </m:r>
                  <m:r>
                    <m:rPr>
                      <m:sty m:val="p"/>
                    </m:rPr>
                    <m:t>*</m:t>
                  </m:r>
                </m:sup>
              </m:sSubSup>
              <m:r>
                <m:rPr>
                  <m:sty m:val="p"/>
                </m:rPr>
                <m:t>,</m:t>
              </m:r>
              <m:r>
                <m:t> </m:t>
              </m:r>
              <m:r>
                <m:t>G</m:t>
              </m:r>
              <m:sSubSup>
                <m:e>
                  <m:r>
                    <m:t>3</m:t>
                  </m:r>
                </m:e>
                <m:sub>
                  <m:r>
                    <m:rPr>
                      <m:sty m:val="p"/>
                    </m:rPr>
                    <m:t>v</m:t>
                  </m:r>
                </m:sub>
                <m:sup>
                  <m:r>
                    <m:t>s</m:t>
                  </m:r>
                  <m:r>
                    <m:rPr>
                      <m:sty m:val="p"/>
                    </m:rPr>
                    <m:t>*</m:t>
                  </m:r>
                </m:sup>
              </m:sSubSup>
              <m:r>
                <m:rPr>
                  <m:sty m:val="p"/>
                </m:rPr>
                <m:t>,</m:t>
              </m:r>
              <m:r>
                <m:rPr>
                  <m:sty m:val="p"/>
                </m:rPr>
                <m:t>.</m:t>
              </m:r>
              <m:r>
                <m:rPr>
                  <m:sty m:val="p"/>
                </m:rPr>
                <m:t>.</m:t>
              </m:r>
              <m:r>
                <m:rPr>
                  <m:sty m:val="p"/>
                </m:rPr>
                <m:t>.</m:t>
              </m:r>
            </m:e>
          </m:d>
          <m:r>
            <m:rPr>
              <m:sty m:val="p"/>
            </m:rPr>
            <m:t>=</m:t>
          </m:r>
          <m:d>
            <m:dPr>
              <m:begChr m:val="["/>
              <m:endChr m:val="]"/>
              <m:sepChr m:val=""/>
              <m:grow/>
            </m:dPr>
            <m:e>
              <m:r>
                <m:t> </m:t>
              </m:r>
              <m:r>
                <m:t>G</m:t>
              </m:r>
              <m:sSubSup>
                <m:e>
                  <m:r>
                    <m:t>1</m:t>
                  </m:r>
                </m:e>
                <m:sub>
                  <m:r>
                    <m:rPr>
                      <m:sty m:val="p"/>
                    </m:rPr>
                    <m:t>v</m:t>
                  </m:r>
                </m:sub>
                <m:sup>
                  <m:r>
                    <m:rPr>
                      <m:sty m:val="p"/>
                    </m:rPr>
                    <m:t>*</m:t>
                  </m:r>
                </m:sup>
              </m:sSubSup>
              <m:r>
                <m:rPr>
                  <m:sty m:val="p"/>
                </m:rPr>
                <m:t>,</m:t>
              </m:r>
              <m:r>
                <m:t> </m:t>
              </m:r>
              <m:r>
                <m:t>G</m:t>
              </m:r>
              <m:sSubSup>
                <m:e>
                  <m:r>
                    <m:t>2</m:t>
                  </m:r>
                </m:e>
                <m:sub>
                  <m:r>
                    <m:rPr>
                      <m:sty m:val="p"/>
                    </m:rPr>
                    <m:t>v</m:t>
                  </m:r>
                </m:sub>
                <m:sup>
                  <m:r>
                    <m:rPr>
                      <m:sty m:val="p"/>
                    </m:rPr>
                    <m:t>*</m:t>
                  </m:r>
                </m:sup>
              </m:sSubSup>
              <m:r>
                <m:rPr>
                  <m:sty m:val="p"/>
                </m:rPr>
                <m:t>,</m:t>
              </m:r>
              <m:r>
                <m:t> </m:t>
              </m:r>
              <m:r>
                <m:t>G</m:t>
              </m:r>
              <m:sSubSup>
                <m:e>
                  <m:r>
                    <m:t>3</m:t>
                  </m:r>
                </m:e>
                <m:sub>
                  <m:r>
                    <m:rPr>
                      <m:sty m:val="p"/>
                    </m:rPr>
                    <m:t>v</m:t>
                  </m:r>
                </m:sub>
                <m:sup>
                  <m:r>
                    <m:rPr>
                      <m:sty m:val="p"/>
                    </m:rPr>
                    <m:t>*</m:t>
                  </m:r>
                </m:sup>
              </m:sSubSup>
              <m:r>
                <m:rPr>
                  <m:sty m:val="p"/>
                </m:rPr>
                <m:t>,</m:t>
              </m:r>
              <m:r>
                <m:rPr>
                  <m:sty m:val="p"/>
                </m:rPr>
                <m:t>.</m:t>
              </m:r>
              <m:r>
                <m:rPr>
                  <m:sty m:val="p"/>
                </m:rPr>
                <m:t>.</m:t>
              </m:r>
              <m:r>
                <m:rPr>
                  <m:sty m:val="p"/>
                </m:rPr>
                <m:t>.</m:t>
              </m:r>
            </m:e>
          </m:d>
          <m:r>
            <m:rPr>
              <m:sty m:val="p"/>
            </m:rPr>
            <m:t>+</m:t>
          </m:r>
          <m:d>
            <m:dPr>
              <m:begChr m:val="["/>
              <m:endChr m:val="]"/>
              <m:sepChr m:val=""/>
              <m:grow/>
            </m:dPr>
            <m:e>
              <m:sSub>
                <m:e>
                  <m:r>
                    <m:t>ψ</m:t>
                  </m:r>
                </m:e>
                <m:sub>
                  <m:r>
                    <m:t>s</m:t>
                  </m:r>
                </m:sub>
              </m:sSub>
              <m:r>
                <m:rPr>
                  <m:sty m:val="p"/>
                </m:rPr>
                <m:t>,</m:t>
              </m:r>
              <m:sSub>
                <m:e>
                  <m:r>
                    <m:t>ψ</m:t>
                  </m:r>
                </m:e>
                <m:sub>
                  <m:r>
                    <m:t>s</m:t>
                  </m:r>
                </m:sub>
              </m:sSub>
              <m:r>
                <m:rPr>
                  <m:sty m:val="p"/>
                </m:rPr>
                <m:t>,</m:t>
              </m:r>
              <m:sSub>
                <m:e>
                  <m:r>
                    <m:t>ψ</m:t>
                  </m:r>
                </m:e>
                <m:sub>
                  <m:r>
                    <m:t>s</m:t>
                  </m:r>
                </m:sub>
              </m:sSub>
              <m:r>
                <m:rPr>
                  <m:sty m:val="p"/>
                </m:rPr>
                <m:t>,</m:t>
              </m:r>
              <m:r>
                <m:rPr>
                  <m:sty m:val="p"/>
                </m:rPr>
                <m:t>.</m:t>
              </m:r>
              <m:r>
                <m:rPr>
                  <m:sty m:val="p"/>
                </m:rPr>
                <m:t>.</m:t>
              </m:r>
              <m:r>
                <m:rPr>
                  <m:sty m:val="p"/>
                </m:rPr>
                <m:t>.</m:t>
              </m:r>
            </m:e>
          </m:d>
          <m:r>
            <m:t>  </m:t>
          </m:r>
          <m:d>
            <m:dPr>
              <m:begChr m:val="("/>
              <m:endChr m:val=")"/>
              <m:sepChr m:val=""/>
              <m:grow/>
            </m:dPr>
            <m:e>
              <m:r>
                <m:t>2</m:t>
              </m:r>
            </m:e>
          </m:d>
        </m:oMath>
      </m:oMathPara>
      <w:bookmarkEnd w:id="23"/>
    </w:p>
    <w:tbl>
      <w:tblPr>
        <w:tblStyle w:val="Table"/>
        <w:tblW w:type="pct" w:w="5000"/>
        <w:tblLayout w:type="fixed"/>
        <w:tblLook w:firstRow="0" w:lastRow="0" w:firstColumn="0" w:lastColumn="0" w:noHBand="0" w:noVBand="0" w:val="0000"/>
      </w:tblPr>
      <w:tblGrid>
        <w:gridCol w:w="7920"/>
      </w:tblGrid>
      <w:tr>
        <w:tc>
          <w:tcPr/>
          <w:bookmarkStart w:id="27" w:name="fig-uniform-scaling"/>
          <w:p>
            <w:pPr>
              <w:pStyle w:val="Compact"/>
              <w:jc w:val="center"/>
            </w:pPr>
            <w:r>
              <w:drawing>
                <wp:inline>
                  <wp:extent cx="5334000" cy="4267200"/>
                  <wp:effectExtent b="0" l="0" r="0" t="0"/>
                  <wp:docPr descr="" title="" id="25" name="Picture"/>
                  <a:graphic>
                    <a:graphicData uri="http://schemas.openxmlformats.org/drawingml/2006/picture">
                      <pic:pic>
                        <pic:nvPicPr>
                          <pic:cNvPr descr="Re_introducing_the_PSTM_files/figure-docx/fig-uniform-scaling-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A comparison of two vowel spaces (based on data in Hillenbrand et al., 1995) differing according to a single multiplicative scaling parameter (</w:t>
            </w:r>
            <m:oMath>
              <m:sSub>
                <m:e>
                  <m:r>
                    <m:t>ρ</m:t>
                  </m:r>
                </m:e>
                <m:sub>
                  <m:r>
                    <m:t>s</m:t>
                  </m:r>
                </m:sub>
              </m:sSub>
            </m:oMath>
            <w:r>
              <w:t xml:space="preserve">). Each IPA symbols shows a speaker’s vowel target</w:t>
            </w:r>
            <w:r>
              <w:t xml:space="preserve"> </w:t>
            </w:r>
            <m:oMath>
              <m:sSubSup>
                <m:e>
                  <m:acc>
                    <m:accPr>
                      <m:chr m:val="⃗"/>
                    </m:accPr>
                    <m:e>
                      <m:r>
                        <m:t>F</m:t>
                      </m:r>
                    </m:e>
                  </m:acc>
                </m:e>
                <m:sub>
                  <m:r>
                    <m:rPr>
                      <m:sty m:val="p"/>
                    </m:rPr>
                    <m:t>v</m:t>
                  </m:r>
                </m:sub>
                <m:sup>
                  <m:r>
                    <m:t>s</m:t>
                  </m:r>
                  <m:r>
                    <m:rPr>
                      <m:sty m:val="p"/>
                    </m:rPr>
                    <m:t>*</m:t>
                  </m:r>
                </m:sup>
              </m:sSubSup>
            </m:oMath>
            <w:r>
              <w:t xml:space="preserve"> </w:t>
            </w:r>
            <w:r>
              <w:t xml:space="preserve">in an F1-F2 space. The</w:t>
            </w:r>
            <w:r>
              <w:t xml:space="preserve"> </w:t>
            </w:r>
            <w:r>
              <w:t xml:space="preserve">“</w:t>
            </w:r>
            <w:r>
              <w:t xml:space="preserve">x</w:t>
            </w:r>
            <w:r>
              <w:t xml:space="preserve">”</w:t>
            </w:r>
            <w:r>
              <w:t xml:space="preserve"> </w:t>
            </w:r>
            <w:r>
              <w:t xml:space="preserve">marks an ambiguous vowel token whose interpretations depends on the assumed vowel space. (b) The outline of the same vowel spaces presented as polygons. Uniform scaling expands or shrinks the polygons but preserves their shape. (c) The same comparison expressed in log-transformed Hz. Each IPA symbols shows a speaker’s vowel target</w:t>
            </w:r>
            <w:r>
              <w:t xml:space="preserve"> </w:t>
            </w:r>
            <m:oMath>
              <m:sSubSup>
                <m:e>
                  <m:acc>
                    <m:accPr>
                      <m:chr m:val="⃗"/>
                    </m:accPr>
                    <m:e>
                      <m:r>
                        <m:t>G</m:t>
                      </m:r>
                    </m:e>
                  </m:acc>
                </m:e>
                <m:sub>
                  <m:r>
                    <m:rPr>
                      <m:sty m:val="p"/>
                    </m:rPr>
                    <m:t>v</m:t>
                  </m:r>
                </m:sub>
                <m:sup>
                  <m:r>
                    <m:t>s</m:t>
                  </m:r>
                  <m:r>
                    <m:rPr>
                      <m:sty m:val="p"/>
                    </m:rPr>
                    <m:t>*</m:t>
                  </m:r>
                </m:sup>
              </m:sSubSup>
            </m:oMath>
            <w:r>
              <w:t xml:space="preserve"> </w:t>
            </w:r>
            <w:r>
              <w:t xml:space="preserve">in a log-F1-F2 space. The two vowel systems now differ in</w:t>
            </w:r>
            <w:r>
              <w:t xml:space="preserve"> </w:t>
            </w:r>
            <m:oMath>
              <m:sSub>
                <m:e>
                  <m:r>
                    <m:t>ψ</m:t>
                  </m:r>
                </m:e>
                <m:sub>
                  <m:r>
                    <m:t>s</m:t>
                  </m:r>
                </m:sub>
              </m:sSub>
            </m:oMath>
            <w:r>
              <w:t xml:space="preserve">. (d) When expressed in log-Hz, uniform scaling results in shifts of the polygons without changing their shape and size.</w:t>
            </w:r>
          </w:p>
          <w:bookmarkEnd w:id="27"/>
        </w:tc>
      </w:tr>
    </w:tbl>
    <w:p>
      <w:pPr>
        <w:pStyle w:val="BodyText"/>
      </w:pPr>
      <w:r>
        <w:t xml:space="preserve">The interpretation of any formant input—e.g., the</w:t>
      </w:r>
      <w:r>
        <w:t xml:space="preserve"> </w:t>
      </w:r>
      <w:r>
        <w:t xml:space="preserve">“</w:t>
      </w:r>
      <w:r>
        <w:t xml:space="preserve">x</w:t>
      </w:r>
      <w:r>
        <w:t xml:space="preserve">”</w:t>
      </w:r>
      <w:r>
        <w:t xml:space="preserve"> </w:t>
      </w:r>
      <w:r>
        <w:t xml:space="preserve">in</w:t>
      </w:r>
      <w:r>
        <w:t xml:space="preserve"> </w:t>
      </w:r>
      <w:hyperlink w:anchor="fig-uniform-scaling">
        <w:r>
          <w:rPr>
            <w:rStyle w:val="Hyperlink"/>
          </w:rPr>
          <w:t xml:space="preserve">Figure 1</w:t>
        </w:r>
      </w:hyperlink>
      <w:r>
        <w:t xml:space="preserve"> </w:t>
      </w:r>
      <w:r>
        <w:t xml:space="preserve">—will thus depend on the scaling parameter</w:t>
      </w:r>
      <w:r>
        <w:t xml:space="preserve"> </w:t>
      </w:r>
      <m:oMath>
        <m:sSub>
          <m:e>
            <m:r>
              <m:t>ψ</m:t>
            </m:r>
          </m:e>
          <m:sub>
            <m:r>
              <m:t>s</m:t>
            </m:r>
          </m:sub>
        </m:sSub>
      </m:oMath>
      <w:r>
        <w:t xml:space="preserve">. Specifically, to transform a formant input</w:t>
      </w:r>
      <w:r>
        <w:t xml:space="preserve"> </w:t>
      </w:r>
      <m:oMath>
        <m:acc>
          <m:accPr>
            <m:chr m:val="⃗"/>
          </m:accPr>
          <m:e>
            <m:r>
              <m:t>F</m:t>
            </m:r>
          </m:e>
        </m:acc>
      </m:oMath>
      <w:r>
        <w:t xml:space="preserve"> </w:t>
      </w:r>
      <w:r>
        <w:t xml:space="preserve">into the uniformly scaled—i.e., normalized—dialect-specific formant space, listeners only need to subtract the speaker-specific scaling parameter</w:t>
      </w:r>
      <w:r>
        <w:t xml:space="preserve"> </w:t>
      </w:r>
      <m:oMath>
        <m:sSub>
          <m:e>
            <m:acc>
              <m:accPr>
                <m:chr m:val="⃗"/>
              </m:accPr>
              <m:e>
                <m:r>
                  <m:t>ψ</m:t>
                </m:r>
              </m:e>
            </m:acc>
          </m:e>
          <m:sub>
            <m:r>
              <m:t>s</m:t>
            </m:r>
          </m:sub>
        </m:sSub>
        <m:box>
          <m:boxPr>
            <m:opEmu m:val="on"/>
          </m:boxPr>
          <m:e>
            <m:r>
              <m:rPr>
                <m:sty m:val="p"/>
              </m:rPr>
              <m:t>:=</m:t>
            </m:r>
          </m:e>
        </m:box>
        <m:d>
          <m:dPr>
            <m:begChr m:val="["/>
            <m:endChr m:val="]"/>
            <m:sepChr m:val=""/>
            <m:grow/>
          </m:dPr>
          <m:e>
            <m:sSub>
              <m:e>
                <m:r>
                  <m:t>ψ</m:t>
                </m:r>
              </m:e>
              <m:sub>
                <m:r>
                  <m:t>s</m:t>
                </m:r>
              </m:sub>
            </m:sSub>
            <m:r>
              <m:rPr>
                <m:sty m:val="p"/>
              </m:rPr>
              <m:t>,</m:t>
            </m:r>
            <m:sSub>
              <m:e>
                <m:r>
                  <m:t>ψ</m:t>
                </m:r>
              </m:e>
              <m:sub>
                <m:r>
                  <m:t>s</m:t>
                </m:r>
              </m:sub>
            </m:sSub>
            <m:r>
              <m:rPr>
                <m:sty m:val="p"/>
              </m:rPr>
              <m:t>,</m:t>
            </m:r>
            <m:sSub>
              <m:e>
                <m:r>
                  <m:t>ψ</m:t>
                </m:r>
              </m:e>
              <m:sub>
                <m:r>
                  <m:t>s</m:t>
                </m:r>
              </m:sub>
            </m:sSub>
            <m:r>
              <m:rPr>
                <m:sty m:val="p"/>
              </m:rPr>
              <m:t>,</m:t>
            </m:r>
            <m:r>
              <m:rPr>
                <m:sty m:val="p"/>
              </m:rPr>
              <m:t>.</m:t>
            </m:r>
            <m:r>
              <m:rPr>
                <m:sty m:val="p"/>
              </m:rPr>
              <m:t>.</m:t>
            </m:r>
            <m:r>
              <m:rPr>
                <m:sty m:val="p"/>
              </m:rPr>
              <m:t>.</m:t>
            </m:r>
          </m:e>
        </m:d>
      </m:oMath>
      <w:r>
        <w:t xml:space="preserve"> </w:t>
      </w:r>
      <w:r>
        <w:t xml:space="preserve">from the log-transformed formant input</w:t>
      </w:r>
      <w:r>
        <w:t xml:space="preserve"> </w:t>
      </w:r>
      <m:oMath>
        <m:acc>
          <m:accPr>
            <m:chr m:val="⃗"/>
          </m:accPr>
          <m:e>
            <m:r>
              <m:t>G</m:t>
            </m:r>
          </m:e>
        </m:acc>
        <m:box>
          <m:boxPr>
            <m:opEmu m:val="on"/>
          </m:boxPr>
          <m:e>
            <m:r>
              <m:rPr>
                <m:sty m:val="p"/>
              </m:rPr>
              <m:t>:=</m:t>
            </m:r>
          </m:e>
        </m:box>
        <m:d>
          <m:dPr>
            <m:begChr m:val="["/>
            <m:endChr m:val="]"/>
            <m:sepChr m:val=""/>
            <m:grow/>
          </m:dPr>
          <m:e>
            <m:r>
              <m:t>G</m:t>
            </m:r>
            <m:r>
              <m:t>1</m:t>
            </m:r>
            <m:r>
              <m:rPr>
                <m:sty m:val="p"/>
              </m:rPr>
              <m:t>,</m:t>
            </m:r>
            <m:r>
              <m:t>G</m:t>
            </m:r>
            <m:r>
              <m:t>2</m:t>
            </m:r>
            <m:r>
              <m:rPr>
                <m:sty m:val="p"/>
              </m:rPr>
              <m:t>,</m:t>
            </m:r>
            <m:r>
              <m:t>G</m:t>
            </m:r>
            <m:r>
              <m:t>3</m:t>
            </m:r>
            <m:r>
              <m:rPr>
                <m:sty m:val="p"/>
              </m:rPr>
              <m:t>,</m:t>
            </m:r>
            <m:r>
              <m:rPr>
                <m:sty m:val="p"/>
              </m:rPr>
              <m:t>.</m:t>
            </m:r>
            <m:r>
              <m:rPr>
                <m:sty m:val="p"/>
              </m:rPr>
              <m:t>.</m:t>
            </m:r>
            <m:r>
              <m:rPr>
                <m:sty m:val="p"/>
              </m:rPr>
              <m:t>.</m:t>
            </m:r>
          </m:e>
        </m:d>
      </m:oMath>
      <w:r>
        <w:t xml:space="preserve"> </w:t>
      </w:r>
      <w:r>
        <w:t xml:space="preserve">as in</w:t>
      </w:r>
      <w:r>
        <w:t xml:space="preserve"> </w:t>
      </w:r>
      <w:hyperlink w:anchor="eq-define-N">
        <w:r>
          <w:rPr>
            <w:rStyle w:val="Hyperlink"/>
          </w:rPr>
          <w:t xml:space="preserve">Equation 3</w:t>
        </w:r>
      </w:hyperlink>
      <w:r>
        <w:t xml:space="preserve">. We refer to the resulting normalized formants as</w:t>
      </w:r>
      <w:r>
        <w:t xml:space="preserve"> </w:t>
      </w:r>
      <m:oMath>
        <m:acc>
          <m:accPr>
            <m:chr m:val="⃗"/>
          </m:accPr>
          <m:e>
            <m:r>
              <m:t>N</m:t>
            </m:r>
          </m:e>
        </m:acc>
      </m:oMath>
      <w:r>
        <w:t xml:space="preserve">:</w:t>
      </w:r>
    </w:p>
    <w:p>
      <w:pPr>
        <w:pStyle w:val="BodyText"/>
      </w:pPr>
      <w:bookmarkStart w:id="28" w:name="eq-define-N"/>
      <m:oMathPara>
        <m:oMathParaPr>
          <m:jc m:val="center"/>
        </m:oMathParaPr>
        <m:oMath>
          <m:acc>
            <m:accPr>
              <m:chr m:val="⃗"/>
            </m:accPr>
            <m:e>
              <m:r>
                <m:t>N</m:t>
              </m:r>
            </m:e>
          </m:acc>
          <m:box>
            <m:boxPr>
              <m:opEmu m:val="on"/>
            </m:boxPr>
            <m:e>
              <m:r>
                <m:rPr>
                  <m:sty m:val="p"/>
                </m:rPr>
                <m:t>:=</m:t>
              </m:r>
            </m:e>
          </m:box>
          <m:d>
            <m:dPr>
              <m:begChr m:val="["/>
              <m:endChr m:val="]"/>
              <m:sepChr m:val=""/>
              <m:grow/>
            </m:dPr>
            <m:e>
              <m:r>
                <m:t>N</m:t>
              </m:r>
              <m:r>
                <m:t>1</m:t>
              </m:r>
              <m:r>
                <m:rPr>
                  <m:sty m:val="p"/>
                </m:rPr>
                <m:t>,</m:t>
              </m:r>
              <m:r>
                <m:t> </m:t>
              </m:r>
              <m:r>
                <m:t>N</m:t>
              </m:r>
              <m:r>
                <m:t>2</m:t>
              </m:r>
              <m:r>
                <m:rPr>
                  <m:sty m:val="p"/>
                </m:rPr>
                <m:t>,</m:t>
              </m:r>
              <m:r>
                <m:t> </m:t>
              </m:r>
              <m:r>
                <m:t>N</m:t>
              </m:r>
              <m:r>
                <m:t>3</m:t>
              </m:r>
              <m:r>
                <m:rPr>
                  <m:sty m:val="p"/>
                </m:rPr>
                <m:t>,</m:t>
              </m:r>
              <m:r>
                <m:t> </m:t>
              </m:r>
              <m:r>
                <m:rPr>
                  <m:sty m:val="p"/>
                </m:rPr>
                <m:t>.</m:t>
              </m:r>
              <m:r>
                <m:rPr>
                  <m:sty m:val="p"/>
                </m:rPr>
                <m:t>.</m:t>
              </m:r>
              <m:r>
                <m:rPr>
                  <m:sty m:val="p"/>
                </m:rPr>
                <m:t>.</m:t>
              </m:r>
            </m:e>
          </m:d>
          <m:r>
            <m:rPr>
              <m:sty m:val="p"/>
            </m:rPr>
            <m:t>=</m:t>
          </m:r>
          <m:acc>
            <m:accPr>
              <m:chr m:val="⃗"/>
            </m:accPr>
            <m:e>
              <m:r>
                <m:t>G</m:t>
              </m:r>
            </m:e>
          </m:acc>
          <m:r>
            <m:rPr>
              <m:sty m:val="p"/>
            </m:rPr>
            <m:t>−</m:t>
          </m:r>
          <m:sSub>
            <m:e>
              <m:acc>
                <m:accPr>
                  <m:chr m:val="⃗"/>
                </m:accPr>
                <m:e>
                  <m:r>
                    <m:t>ψ</m:t>
                  </m:r>
                </m:e>
              </m:acc>
            </m:e>
            <m:sub>
              <m:r>
                <m:t>s</m:t>
              </m:r>
            </m:sub>
          </m:sSub>
          <m:r>
            <m:t>  </m:t>
          </m:r>
          <m:d>
            <m:dPr>
              <m:begChr m:val="("/>
              <m:endChr m:val=")"/>
              <m:sepChr m:val=""/>
              <m:grow/>
            </m:dPr>
            <m:e>
              <m:r>
                <m:t>3</m:t>
              </m:r>
            </m:e>
          </m:d>
        </m:oMath>
      </m:oMathPara>
      <w:bookmarkEnd w:id="28"/>
    </w:p>
    <w:p>
      <w:pPr>
        <w:pStyle w:val="FirstParagraph"/>
      </w:pPr>
      <w:r>
        <w:t xml:space="preserve">Such uniform scaling provides a comparatively parsimonious approach, assuming that listeners infer and store a single parameter. To put this into perspective, the perhaps the most commonly used normalization method in speech research—Lobanov normalization—assumes that listeners infer and store two parameters</w:t>
      </w:r>
      <w:r>
        <w:t xml:space="preserve"> </w:t>
      </w:r>
      <w:r>
        <w:rPr>
          <w:i/>
          <w:iCs/>
        </w:rPr>
        <w:t xml:space="preserve">per feature</w:t>
      </w:r>
      <w:r>
        <w:t xml:space="preserve">. For instances, to model normalization of F1-F3 at two time points in the vowel (as we do below), listeners would need to estimate twelve parameters. This additional complexity of Lobanov normalization is one of the reasons it might not be an adequate model for human speech perception</w:t>
      </w:r>
      <w:r>
        <w:t xml:space="preserve"> </w:t>
      </w:r>
      <w:r>
        <w:t xml:space="preserve">(see discussion in Barreda 2020, 2021; Persson, Barreda, and Jaeger 2025)</w:t>
      </w:r>
      <w:r>
        <w:t xml:space="preserve">.</w:t>
      </w:r>
    </w:p>
    <w:bookmarkEnd w:id="29"/>
    <w:bookmarkStart w:id="32" w:name="Xfe3d298593bd3424035fcc52f55d254e0fb9386"/>
    <w:p>
      <w:pPr>
        <w:pStyle w:val="Heading1"/>
      </w:pPr>
      <w:r>
        <w:t xml:space="preserve">3. The Probabilistic Sliding Template Model of vowel perception (PSTM)</w:t>
      </w:r>
    </w:p>
    <w:p>
      <w:pPr>
        <w:pStyle w:val="FirstParagraph"/>
      </w:pPr>
      <w:r>
        <w:t xml:space="preserve">Nearey and Assmann (2007)</w:t>
      </w:r>
      <w:r>
        <w:t xml:space="preserve"> </w:t>
      </w:r>
      <w:r>
        <w:t xml:space="preserve">referred to listeners’ dialect-specific implicit knowledge about each vowel’s formant distributions as</w:t>
      </w:r>
      <w:r>
        <w:t xml:space="preserve"> </w:t>
      </w:r>
      <w:r>
        <w:t xml:space="preserve">“</w:t>
      </w:r>
      <w:r>
        <w:t xml:space="preserve">probabilistic templates</w:t>
      </w:r>
      <w:r>
        <w:t xml:space="preserve">”</w:t>
      </w:r>
      <w:r>
        <w:t xml:space="preserve">. These templates could be represented, for instance, as exemplar clouds</w:t>
      </w:r>
      <w:r>
        <w:t xml:space="preserve"> </w:t>
      </w:r>
      <w:r>
        <w:t xml:space="preserve">(Johnson 1997)</w:t>
      </w:r>
      <w:r>
        <w:t xml:space="preserve"> </w:t>
      </w:r>
      <w:r>
        <w:t xml:space="preserve">or as parametric distributions</w:t>
      </w:r>
      <w:r>
        <w:t xml:space="preserve"> </w:t>
      </w:r>
      <w:r>
        <w:t xml:space="preserve">(Nearey and Assmann 2007)</w:t>
      </w:r>
      <w:r>
        <w:t xml:space="preserve">. For computational tractability, we follow the latter approach and represent vowel categories as multivariate Normal distributions over normalized formants, with mean vectors</w:t>
      </w:r>
      <w:r>
        <w:t xml:space="preserve"> </w:t>
      </w:r>
      <m:oMath>
        <m:sSub>
          <m:e>
            <m:acc>
              <m:accPr>
                <m:chr m:val="⃗"/>
              </m:accPr>
              <m:e>
                <m:r>
                  <m:t>μ</m:t>
                </m:r>
              </m:e>
            </m:acc>
          </m:e>
          <m:sub>
            <m:r>
              <m:rPr>
                <m:nor/>
                <m:sty m:val="p"/>
              </m:rPr>
              <m:t>v</m:t>
            </m:r>
          </m:sub>
        </m:sSub>
      </m:oMath>
      <w:r>
        <w:t xml:space="preserve"> </w:t>
      </w:r>
      <w:r>
        <w:t xml:space="preserve">and covariance matrices</w:t>
      </w:r>
      <w:r>
        <w:t xml:space="preserve"> </w:t>
      </w:r>
      <m:oMath>
        <m:sSub>
          <m:e>
            <m:acc>
              <m:accPr>
                <m:chr m:val="⃗"/>
              </m:accPr>
              <m:e>
                <m:r>
                  <m:t>Σ</m:t>
                </m:r>
              </m:e>
            </m:acc>
          </m:e>
          <m:sub>
            <m:r>
              <m:rPr>
                <m:nor/>
                <m:sty m:val="p"/>
              </m:rPr>
              <m:t>v</m:t>
            </m:r>
          </m:sub>
        </m:sSub>
      </m:oMath>
      <w:r>
        <w:t xml:space="preserve">. We may then use the multivariate normal density (MVN) of each vowel to calculate the likelihood of any observed log-transformed formant input</w:t>
      </w:r>
      <w:r>
        <w:t xml:space="preserve"> </w:t>
      </w:r>
      <m:oMath>
        <m:acc>
          <m:accPr>
            <m:chr m:val="⃗"/>
          </m:accPr>
          <m:e>
            <m:r>
              <m:t>G</m:t>
            </m:r>
          </m:e>
        </m:acc>
      </m:oMath>
      <w:r>
        <w:t xml:space="preserve"> </w:t>
      </w:r>
      <w:r>
        <w:t xml:space="preserve">given that vowel and the speaker-specific scaling parameter</w:t>
      </w:r>
      <w:r>
        <w:t xml:space="preserve"> </w:t>
      </w:r>
      <m:oMath>
        <m:sSub>
          <m:e>
            <m:r>
              <m:t>ψ</m:t>
            </m:r>
          </m:e>
          <m:sub>
            <m:r>
              <m:t>s</m:t>
            </m:r>
          </m:sub>
        </m:sSub>
      </m:oMath>
      <w:r>
        <w:t xml:space="preserve">. This can be done by either sliding the template as in</w:t>
      </w:r>
      <w:r>
        <w:t xml:space="preserve"> </w:t>
      </w:r>
      <w:hyperlink w:anchor="fig-uniform-scaling">
        <w:r>
          <w:rPr>
            <w:rStyle w:val="Hyperlink"/>
          </w:rPr>
          <w:t xml:space="preserve">Figure 1</w:t>
        </w:r>
      </w:hyperlink>
      <w:r>
        <w:t xml:space="preserve">(d) above or, equivalently, by scaling the formants into the normalized template space:</w:t>
      </w:r>
    </w:p>
    <w:p>
      <w:pPr>
        <w:pStyle w:val="BodyText"/>
      </w:pPr>
      <w:bookmarkStart w:id="30" w:name="eq-posterior-G"/>
      <m:oMathPara>
        <m:oMathParaPr>
          <m:jc m:val="center"/>
        </m:oMathParaPr>
        <m:oMath>
          <m:r>
            <m:t>P</m:t>
          </m:r>
          <m:d>
            <m:dPr>
              <m:begChr m:val="("/>
              <m:endChr m:val=")"/>
              <m:sepChr m:val=""/>
              <m:grow/>
            </m:dPr>
            <m:e>
              <m:acc>
                <m:accPr>
                  <m:chr m:val="⃗"/>
                </m:accPr>
                <m:e>
                  <m:r>
                    <m:t>G</m:t>
                  </m:r>
                </m:e>
              </m:acc>
              <m:r>
                <m:rPr>
                  <m:sty m:val="p"/>
                </m:rPr>
                <m:t>|</m:t>
              </m:r>
              <m:r>
                <m:rPr>
                  <m:sty m:val="p"/>
                </m:rPr>
                <m:t>v</m:t>
              </m:r>
              <m:r>
                <m:rPr>
                  <m:sty m:val="p"/>
                </m:rPr>
                <m:t>,</m:t>
              </m:r>
              <m:sSub>
                <m:e>
                  <m:r>
                    <m:t>ψ</m:t>
                  </m:r>
                </m:e>
                <m:sub>
                  <m:r>
                    <m:t>s</m:t>
                  </m:r>
                </m:sub>
              </m:sSub>
            </m:e>
          </m:d>
          <m:box>
            <m:boxPr>
              <m:opEmu m:val="on"/>
            </m:boxPr>
            <m:e>
              <m:r>
                <m:rPr>
                  <m:sty m:val="p"/>
                </m:rPr>
                <m:t>:=</m:t>
              </m:r>
            </m:e>
          </m:box>
          <m:r>
            <m:t>M</m:t>
          </m:r>
          <m:r>
            <m:t>V</m:t>
          </m:r>
          <m:r>
            <m:t>N</m:t>
          </m:r>
          <m:d>
            <m:dPr>
              <m:begChr m:val="("/>
              <m:endChr m:val=")"/>
              <m:sepChr m:val=""/>
              <m:grow/>
            </m:dPr>
            <m:e>
              <m:acc>
                <m:accPr>
                  <m:chr m:val="⃗"/>
                </m:accPr>
                <m:e>
                  <m:r>
                    <m:t>G</m:t>
                  </m:r>
                </m:e>
              </m:acc>
              <m:r>
                <m:rPr>
                  <m:sty m:val="p"/>
                </m:rPr>
                <m:t>|</m:t>
              </m:r>
              <m:sSub>
                <m:e>
                  <m:acc>
                    <m:accPr>
                      <m:chr m:val="⃗"/>
                    </m:accPr>
                    <m:e>
                      <m:r>
                        <m:t>μ</m:t>
                      </m:r>
                    </m:e>
                  </m:acc>
                </m:e>
                <m:sub>
                  <m:r>
                    <m:rPr>
                      <m:nor/>
                      <m:sty m:val="p"/>
                    </m:rPr>
                    <m:t>v</m:t>
                  </m:r>
                </m:sub>
              </m:sSub>
              <m:r>
                <m:rPr>
                  <m:sty m:val="p"/>
                </m:rPr>
                <m:t>+</m:t>
              </m:r>
              <m:sSub>
                <m:e>
                  <m:acc>
                    <m:accPr>
                      <m:chr m:val="⃗"/>
                    </m:accPr>
                    <m:e>
                      <m:r>
                        <m:t>ψ</m:t>
                      </m:r>
                    </m:e>
                  </m:acc>
                </m:e>
                <m:sub>
                  <m:r>
                    <m:t>s</m:t>
                  </m:r>
                </m:sub>
              </m:sSub>
              <m:r>
                <m:rPr>
                  <m:sty m:val="p"/>
                </m:rPr>
                <m:t>,</m:t>
              </m:r>
              <m:sSub>
                <m:e>
                  <m:acc>
                    <m:accPr>
                      <m:chr m:val="⃗"/>
                    </m:accPr>
                    <m:e>
                      <m:r>
                        <m:t>Σ</m:t>
                      </m:r>
                    </m:e>
                  </m:acc>
                </m:e>
                <m:sub>
                  <m:r>
                    <m:rPr>
                      <m:nor/>
                      <m:sty m:val="p"/>
                    </m:rPr>
                    <m:t>v</m:t>
                  </m:r>
                </m:sub>
              </m:sSub>
            </m:e>
          </m:d>
          <m:r>
            <m:rPr>
              <m:sty m:val="p"/>
            </m:rPr>
            <m:t>=</m:t>
          </m:r>
          <m:r>
            <m:t>M</m:t>
          </m:r>
          <m:r>
            <m:t>V</m:t>
          </m:r>
          <m:r>
            <m:t>N</m:t>
          </m:r>
          <m:d>
            <m:dPr>
              <m:begChr m:val="("/>
              <m:endChr m:val=")"/>
              <m:sepChr m:val=""/>
              <m:grow/>
            </m:dPr>
            <m:e>
              <m:acc>
                <m:accPr>
                  <m:chr m:val="⃗"/>
                </m:accPr>
                <m:e>
                  <m:r>
                    <m:t>G</m:t>
                  </m:r>
                </m:e>
              </m:acc>
              <m:r>
                <m:rPr>
                  <m:sty m:val="p"/>
                </m:rPr>
                <m:t>−</m:t>
              </m:r>
              <m:sSub>
                <m:e>
                  <m:acc>
                    <m:accPr>
                      <m:chr m:val="⃗"/>
                    </m:accPr>
                    <m:e>
                      <m:r>
                        <m:t>ψ</m:t>
                      </m:r>
                    </m:e>
                  </m:acc>
                </m:e>
                <m:sub>
                  <m:r>
                    <m:t>s</m:t>
                  </m:r>
                </m:sub>
              </m:sSub>
              <m:r>
                <m:rPr>
                  <m:sty m:val="p"/>
                </m:rPr>
                <m:t>|</m:t>
              </m:r>
              <m:sSub>
                <m:e>
                  <m:acc>
                    <m:accPr>
                      <m:chr m:val="⃗"/>
                    </m:accPr>
                    <m:e>
                      <m:r>
                        <m:t>μ</m:t>
                      </m:r>
                    </m:e>
                  </m:acc>
                </m:e>
                <m:sub>
                  <m:r>
                    <m:rPr>
                      <m:nor/>
                      <m:sty m:val="p"/>
                    </m:rPr>
                    <m:t>v</m:t>
                  </m:r>
                </m:sub>
              </m:sSub>
              <m:r>
                <m:rPr>
                  <m:sty m:val="p"/>
                </m:rPr>
                <m:t>,</m:t>
              </m:r>
              <m:sSub>
                <m:e>
                  <m:acc>
                    <m:accPr>
                      <m:chr m:val="⃗"/>
                    </m:accPr>
                    <m:e>
                      <m:r>
                        <m:t>Σ</m:t>
                      </m:r>
                    </m:e>
                  </m:acc>
                </m:e>
                <m:sub>
                  <m:r>
                    <m:rPr>
                      <m:nor/>
                      <m:sty m:val="p"/>
                    </m:rPr>
                    <m:t>v</m:t>
                  </m:r>
                </m:sub>
              </m:sSub>
            </m:e>
          </m:d>
          <m:r>
            <m:rPr>
              <m:sty m:val="p"/>
            </m:rPr>
            <m:t>=</m:t>
          </m:r>
          <m:r>
            <m:t>M</m:t>
          </m:r>
          <m:r>
            <m:t>V</m:t>
          </m:r>
          <m:r>
            <m:t>N</m:t>
          </m:r>
          <m:d>
            <m:dPr>
              <m:begChr m:val="("/>
              <m:endChr m:val=")"/>
              <m:sepChr m:val=""/>
              <m:grow/>
            </m:dPr>
            <m:e>
              <m:acc>
                <m:accPr>
                  <m:chr m:val="⃗"/>
                </m:accPr>
                <m:e>
                  <m:r>
                    <m:t>N</m:t>
                  </m:r>
                </m:e>
              </m:acc>
              <m:r>
                <m:rPr>
                  <m:sty m:val="p"/>
                </m:rPr>
                <m:t>|</m:t>
              </m:r>
              <m:sSub>
                <m:e>
                  <m:acc>
                    <m:accPr>
                      <m:chr m:val="⃗"/>
                    </m:accPr>
                    <m:e>
                      <m:r>
                        <m:t>μ</m:t>
                      </m:r>
                    </m:e>
                  </m:acc>
                </m:e>
                <m:sub>
                  <m:r>
                    <m:rPr>
                      <m:nor/>
                      <m:sty m:val="p"/>
                    </m:rPr>
                    <m:t>v</m:t>
                  </m:r>
                </m:sub>
              </m:sSub>
              <m:r>
                <m:rPr>
                  <m:sty m:val="p"/>
                </m:rPr>
                <m:t>,</m:t>
              </m:r>
              <m:sSub>
                <m:e>
                  <m:acc>
                    <m:accPr>
                      <m:chr m:val="⃗"/>
                    </m:accPr>
                    <m:e>
                      <m:r>
                        <m:t>Σ</m:t>
                      </m:r>
                    </m:e>
                  </m:acc>
                </m:e>
                <m:sub>
                  <m:r>
                    <m:rPr>
                      <m:nor/>
                      <m:sty m:val="p"/>
                    </m:rPr>
                    <m:t>v</m:t>
                  </m:r>
                </m:sub>
              </m:sSub>
            </m:e>
          </m:d>
          <m:r>
            <m:t>  </m:t>
          </m:r>
          <m:d>
            <m:dPr>
              <m:begChr m:val="("/>
              <m:endChr m:val=")"/>
              <m:sepChr m:val=""/>
              <m:grow/>
            </m:dPr>
            <m:e>
              <m:r>
                <m:t>4</m:t>
              </m:r>
            </m:e>
          </m:d>
        </m:oMath>
      </m:oMathPara>
      <w:bookmarkEnd w:id="30"/>
    </w:p>
    <w:p>
      <w:pPr>
        <w:pStyle w:val="FirstParagraph"/>
      </w:pPr>
      <w:r>
        <w:t xml:space="preserve">The likelihoods in</w:t>
      </w:r>
      <w:r>
        <w:t xml:space="preserve"> </w:t>
      </w:r>
      <w:hyperlink w:anchor="eq-posterior-G">
        <w:r>
          <w:rPr>
            <w:rStyle w:val="Hyperlink"/>
          </w:rPr>
          <w:t xml:space="preserve">Equation 4</w:t>
        </w:r>
      </w:hyperlink>
      <w:r>
        <w:t xml:space="preserve"> </w:t>
      </w:r>
      <w:r>
        <w:t xml:space="preserve">can be combined with the prior probability of each vowel category in the current context to find the</w:t>
      </w:r>
      <w:r>
        <w:t xml:space="preserve"> </w:t>
      </w:r>
      <w:r>
        <w:rPr>
          <w:i/>
          <w:iCs/>
        </w:rPr>
        <w:t xml:space="preserve">posterior probability</w:t>
      </w:r>
      <w:r>
        <w:t xml:space="preserve"> </w:t>
      </w:r>
      <w:r>
        <w:t xml:space="preserve">of each vowel category</w:t>
      </w:r>
      <w:r>
        <w:t xml:space="preserve"> </w:t>
      </w:r>
      <m:oMath>
        <m:sSub>
          <m:e>
            <m:r>
              <m:rPr>
                <m:sty m:val="p"/>
              </m:rPr>
              <m:t>v</m:t>
            </m:r>
          </m:e>
          <m:sub>
            <m:r>
              <m:t>i</m:t>
            </m:r>
          </m:sub>
        </m:sSub>
      </m:oMath>
      <w:r>
        <w:t xml:space="preserve">, as in</w:t>
      </w:r>
      <w:r>
        <w:t xml:space="preserve"> </w:t>
      </w:r>
      <w:hyperlink w:anchor="eq-e10">
        <w:r>
          <w:rPr>
            <w:rStyle w:val="Hyperlink"/>
          </w:rPr>
          <w:t xml:space="preserve">Equation 5</w:t>
        </w:r>
      </w:hyperlink>
      <w:r>
        <w:t xml:space="preserve"> </w:t>
      </w:r>
      <w:r>
        <w:t xml:space="preserve">(</w:t>
      </w:r>
      <m:oMath>
        <m:r>
          <m:t>V</m:t>
        </m:r>
      </m:oMath>
      <w:r>
        <w:t xml:space="preserve"> </w:t>
      </w:r>
      <w:r>
        <w:t xml:space="preserve">is the number of unique vowel categories).</w:t>
      </w:r>
    </w:p>
    <w:p>
      <w:pPr>
        <w:pStyle w:val="BodyText"/>
      </w:pPr>
      <w:bookmarkStart w:id="31" w:name="eq-e10"/>
      <m:oMathPara>
        <m:oMathParaPr>
          <m:jc m:val="center"/>
        </m:oMathParaPr>
        <m:oMath>
          <m:r>
            <m:t>P</m:t>
          </m:r>
          <m:d>
            <m:dPr>
              <m:begChr m:val="("/>
              <m:endChr m:val=")"/>
              <m:sepChr m:val=""/>
              <m:grow/>
            </m:dPr>
            <m:e>
              <m:sSub>
                <m:e>
                  <m:r>
                    <m:rPr>
                      <m:sty m:val="p"/>
                    </m:rPr>
                    <m:t>v</m:t>
                  </m:r>
                </m:e>
                <m:sub>
                  <m:r>
                    <m:t>i</m:t>
                  </m:r>
                </m:sub>
              </m:sSub>
              <m:r>
                <m:rPr>
                  <m:sty m:val="p"/>
                </m:rPr>
                <m:t>|</m:t>
              </m:r>
              <m:acc>
                <m:accPr>
                  <m:chr m:val="⃗"/>
                </m:accPr>
                <m:e>
                  <m:r>
                    <m:t>G</m:t>
                  </m:r>
                </m:e>
              </m:acc>
              <m:r>
                <m:rPr>
                  <m:sty m:val="p"/>
                </m:rPr>
                <m:t>,</m:t>
              </m:r>
              <m:sSub>
                <m:e>
                  <m:r>
                    <m:t>ψ</m:t>
                  </m:r>
                </m:e>
                <m:sub>
                  <m:r>
                    <m:t>s</m:t>
                  </m:r>
                </m:sub>
              </m:sSub>
            </m:e>
          </m:d>
          <m:r>
            <m:rPr>
              <m:sty m:val="p"/>
            </m:rPr>
            <m:t>=</m:t>
          </m:r>
          <m:f>
            <m:fPr>
              <m:type m:val="bar"/>
            </m:fPr>
            <m:num>
              <m:r>
                <m:t>P</m:t>
              </m:r>
              <m:d>
                <m:dPr>
                  <m:begChr m:val="("/>
                  <m:endChr m:val=")"/>
                  <m:sepChr m:val=""/>
                  <m:grow/>
                </m:dPr>
                <m:e>
                  <m:acc>
                    <m:accPr>
                      <m:chr m:val="⃗"/>
                    </m:accPr>
                    <m:e>
                      <m:r>
                        <m:t>G</m:t>
                      </m:r>
                    </m:e>
                  </m:acc>
                  <m:r>
                    <m:rPr>
                      <m:sty m:val="p"/>
                    </m:rPr>
                    <m:t>|</m:t>
                  </m:r>
                  <m:sSub>
                    <m:e>
                      <m:r>
                        <m:rPr>
                          <m:nor/>
                          <m:sty m:val="p"/>
                        </m:rPr>
                        <m:t>v</m:t>
                      </m:r>
                    </m:e>
                    <m:sub>
                      <m:r>
                        <m:t>i</m:t>
                      </m:r>
                    </m:sub>
                  </m:sSub>
                  <m:r>
                    <m:rPr>
                      <m:sty m:val="p"/>
                    </m:rPr>
                    <m:t>,</m:t>
                  </m:r>
                  <m:sSub>
                    <m:e>
                      <m:r>
                        <m:t>ψ</m:t>
                      </m:r>
                    </m:e>
                    <m:sub>
                      <m:r>
                        <m:t>s</m:t>
                      </m:r>
                    </m:sub>
                  </m:sSub>
                </m:e>
              </m:d>
              <m:r>
                <m:rPr>
                  <m:sty m:val="p"/>
                </m:rPr>
                <m:t>⋅</m:t>
              </m:r>
              <m:r>
                <m:t>P</m:t>
              </m:r>
              <m:d>
                <m:dPr>
                  <m:begChr m:val="("/>
                  <m:endChr m:val=")"/>
                  <m:sepChr m:val=""/>
                  <m:grow/>
                </m:dPr>
                <m:e>
                  <m:sSub>
                    <m:e>
                      <m:r>
                        <m:rPr>
                          <m:nor/>
                          <m:sty m:val="p"/>
                        </m:rPr>
                        <m:t>v</m:t>
                      </m:r>
                    </m:e>
                    <m:sub>
                      <m:r>
                        <m:t>i</m:t>
                      </m:r>
                    </m:sub>
                  </m:sSub>
                </m:e>
              </m:d>
            </m:num>
            <m:den>
              <m:nary>
                <m:naryPr>
                  <m:chr m:val="∑"/>
                  <m:limLoc m:val="undOvr"/>
                  <m:subHide m:val="off"/>
                  <m:supHide m:val="off"/>
                </m:naryPr>
                <m:sub>
                  <m:r>
                    <m:t>j</m:t>
                  </m:r>
                  <m:r>
                    <m:rPr>
                      <m:sty m:val="p"/>
                    </m:rPr>
                    <m:t>=</m:t>
                  </m:r>
                  <m:r>
                    <m:t>1</m:t>
                  </m:r>
                </m:sub>
                <m:sup>
                  <m:r>
                    <m:t>V</m:t>
                  </m:r>
                </m:sup>
                <m:e>
                  <m:r>
                    <m:t>P</m:t>
                  </m:r>
                  <m:d>
                    <m:dPr>
                      <m:begChr m:val="("/>
                      <m:endChr m:val=")"/>
                      <m:sepChr m:val=""/>
                      <m:grow/>
                    </m:dPr>
                    <m:e>
                      <m:acc>
                        <m:accPr>
                          <m:chr m:val="⃗"/>
                        </m:accPr>
                        <m:e>
                          <m:r>
                            <m:t>G</m:t>
                          </m:r>
                        </m:e>
                      </m:acc>
                      <m:r>
                        <m:rPr>
                          <m:sty m:val="p"/>
                        </m:rPr>
                        <m:t>|</m:t>
                      </m:r>
                      <m:sSub>
                        <m:e>
                          <m:r>
                            <m:rPr>
                              <m:nor/>
                              <m:sty m:val="p"/>
                            </m:rPr>
                            <m:t>v</m:t>
                          </m:r>
                        </m:e>
                        <m:sub>
                          <m:r>
                            <m:t>j</m:t>
                          </m:r>
                        </m:sub>
                      </m:sSub>
                      <m:r>
                        <m:rPr>
                          <m:sty m:val="p"/>
                        </m:rPr>
                        <m:t>,</m:t>
                      </m:r>
                      <m:sSub>
                        <m:e>
                          <m:r>
                            <m:t>ψ</m:t>
                          </m:r>
                        </m:e>
                        <m:sub>
                          <m:r>
                            <m:t>s</m:t>
                          </m:r>
                        </m:sub>
                      </m:sSub>
                    </m:e>
                  </m:d>
                  <m:r>
                    <m:rPr>
                      <m:sty m:val="p"/>
                    </m:rPr>
                    <m:t>⋅</m:t>
                  </m:r>
                  <m:r>
                    <m:t>P</m:t>
                  </m:r>
                  <m:d>
                    <m:dPr>
                      <m:begChr m:val="("/>
                      <m:endChr m:val=")"/>
                      <m:sepChr m:val=""/>
                      <m:grow/>
                    </m:dPr>
                    <m:e>
                      <m:sSub>
                        <m:e>
                          <m:r>
                            <m:rPr>
                              <m:nor/>
                              <m:sty m:val="p"/>
                            </m:rPr>
                            <m:t>v</m:t>
                          </m:r>
                        </m:e>
                        <m:sub>
                          <m:r>
                            <m:t>j</m:t>
                          </m:r>
                        </m:sub>
                      </m:sSub>
                    </m:e>
                  </m:d>
                </m:e>
              </m:nary>
            </m:den>
          </m:f>
          <m:r>
            <m:t>  </m:t>
          </m:r>
          <m:d>
            <m:dPr>
              <m:begChr m:val="("/>
              <m:endChr m:val=")"/>
              <m:sepChr m:val=""/>
              <m:grow/>
            </m:dPr>
            <m:e>
              <m:r>
                <m:t>5</m:t>
              </m:r>
            </m:e>
          </m:d>
        </m:oMath>
      </m:oMathPara>
      <w:bookmarkEnd w:id="31"/>
    </w:p>
    <w:p>
      <w:pPr>
        <w:pStyle w:val="FirstParagraph"/>
      </w:pPr>
      <w:r>
        <w:t xml:space="preserve">This posterior probability provides a gradient measure of category membership</w:t>
      </w:r>
      <w:r>
        <w:t xml:space="preserve"> </w:t>
      </w:r>
      <w:r>
        <w:t xml:space="preserve">(Nearey and Assmann 2007; Luce and Pisoni 1998; Norris and McQueen 2008; Xie, Jaeger, and Kurumada 2023)</w:t>
      </w:r>
      <w:r>
        <w:t xml:space="preserve">—conceptually paralleling the gradient activation of categories in connectionist or exemplar models. Listeners’ responses in an</w:t>
      </w:r>
      <w:r>
        <w:t xml:space="preserve"> </w:t>
      </w:r>
      <m:oMath>
        <m:r>
          <m:t>n</m:t>
        </m:r>
      </m:oMath>
      <w:r>
        <w:t xml:space="preserve">-alternative forced-choice categorization task can be modeled via decision rules based on the posterior probability. For instance, listener might always respond with the vowel that has the highest posterior probability</w:t>
      </w:r>
      <w:r>
        <w:t xml:space="preserve"> </w:t>
      </w:r>
      <w:r>
        <w:t xml:space="preserve">(as assumed in Nearey and Assmann 2007)</w:t>
      </w:r>
      <w:r>
        <w:t xml:space="preserve"> </w:t>
      </w:r>
      <w:r>
        <w:t xml:space="preserve">or respond by sampling from the posterior</w:t>
      </w:r>
      <w:r>
        <w:t xml:space="preserve"> </w:t>
      </w:r>
      <w:r>
        <w:t xml:space="preserve">(Luce’s choice rule, Massaro and Friedman 1990)</w:t>
      </w:r>
      <w:r>
        <w:t xml:space="preserve">.</w:t>
      </w:r>
    </w:p>
    <w:p>
      <w:pPr>
        <w:pStyle w:val="BodyText"/>
      </w:pPr>
      <w:r>
        <w:t xml:space="preserve">Given an estimate of the speaker-specific scaling parameter</w:t>
      </w:r>
      <w:r>
        <w:t xml:space="preserve"> </w:t>
      </w:r>
      <m:oMath>
        <m:sSub>
          <m:e>
            <m:r>
              <m:t>ψ</m:t>
            </m:r>
          </m:e>
          <m:sub>
            <m:r>
              <m:t>s</m:t>
            </m:r>
          </m:sub>
        </m:sSub>
      </m:oMath>
      <w:r>
        <w:t xml:space="preserve">, listeners can thus categorize formant inputs under any dialect-specific template. Similarly, researchers can use speaker-specific</w:t>
      </w:r>
      <w:r>
        <w:t xml:space="preserve"> </w:t>
      </w:r>
      <m:oMath>
        <m:sSub>
          <m:e>
            <m:r>
              <m:t>ψ</m:t>
            </m:r>
          </m:e>
          <m:sub>
            <m:r>
              <m:t>s</m:t>
            </m:r>
          </m:sub>
        </m:sSub>
      </m:oMath>
      <w:r>
        <w:t xml:space="preserve"> </w:t>
      </w:r>
      <w:r>
        <w:t xml:space="preserve">estimates to project formant data from various talkers into a common normalized space. This can be useful when comparing vowel productions across different types of speakers—for instance, to assess effects of social identity, language background, or to compare clinical and neurotypical populations. However, a speaker’s</w:t>
      </w:r>
      <w:r>
        <w:t xml:space="preserve"> </w:t>
      </w:r>
      <m:oMath>
        <m:sSub>
          <m:e>
            <m:r>
              <m:t>ψ</m:t>
            </m:r>
          </m:e>
          <m:sub>
            <m:r>
              <m:t>s</m:t>
            </m:r>
          </m:sub>
        </m:sSub>
      </m:oMath>
      <w:r>
        <w:t xml:space="preserve"> </w:t>
      </w:r>
      <w:r>
        <w:t xml:space="preserve">is a latent variable not directly present in their speech. As a result, both researchers and listeners must</w:t>
      </w:r>
      <w:r>
        <w:t xml:space="preserve"> </w:t>
      </w:r>
      <w:r>
        <w:rPr>
          <w:i/>
          <w:iCs/>
        </w:rPr>
        <w:t xml:space="preserve">estimate</w:t>
      </w:r>
      <w:r>
        <w:t xml:space="preserve"> </w:t>
      </w:r>
      <m:oMath>
        <m:sSub>
          <m:e>
            <m:r>
              <m:t>ψ</m:t>
            </m:r>
          </m:e>
          <m:sub>
            <m:r>
              <m:t>s</m:t>
            </m:r>
          </m:sub>
        </m:sSub>
      </m:oMath>
      <w:r>
        <w:t xml:space="preserve">, as we describe next.</w:t>
      </w:r>
    </w:p>
    <w:bookmarkEnd w:id="32"/>
    <w:bookmarkStart w:id="59" w:name="sec-methods"/>
    <w:p>
      <w:pPr>
        <w:pStyle w:val="Heading1"/>
      </w:pPr>
      <w:r>
        <w:t xml:space="preserve">4. Probabilistic estimation of</w:t>
      </w:r>
      <w:r>
        <w:t xml:space="preserve"> </w:t>
      </w:r>
      <m:oMath>
        <m:sSub>
          <m:e>
            <m:r>
              <m:t>ψ</m:t>
            </m:r>
          </m:e>
          <m:sub>
            <m:r>
              <m:t>s</m:t>
            </m:r>
          </m:sub>
        </m:sSub>
      </m:oMath>
    </w:p>
    <w:p>
      <w:pPr>
        <w:pStyle w:val="FirstParagraph"/>
      </w:pPr>
      <w:r>
        <w:t xml:space="preserve">Researchers interested in projecting formant estimates</w:t>
      </w:r>
      <w:r>
        <w:t xml:space="preserve"> </w:t>
      </w:r>
      <m:oMath>
        <m:acc>
          <m:accPr>
            <m:chr m:val="⃗"/>
          </m:accPr>
          <m:e>
            <m:r>
              <m:t>F</m:t>
            </m:r>
          </m:e>
        </m:acc>
      </m:oMath>
      <w:r>
        <w:t xml:space="preserve"> </w:t>
      </w:r>
      <w:r>
        <w:t xml:space="preserve">from different talkers into a common normalized space might be tempted to employ a seemingly straightforward approach to estimate of the speaker-specific</w:t>
      </w:r>
      <w:r>
        <w:t xml:space="preserve"> </w:t>
      </w:r>
      <m:oMath>
        <m:sSub>
          <m:e>
            <m:acc>
              <m:accPr>
                <m:chr m:val="̂"/>
              </m:accPr>
              <m:e>
                <m:r>
                  <m:t>ψ</m:t>
                </m:r>
              </m:e>
            </m:acc>
          </m:e>
          <m:sub>
            <m:r>
              <m:t>s</m:t>
            </m:r>
          </m:sub>
        </m:sSub>
      </m:oMath>
      <w:r>
        <w:t xml:space="preserve">—simply average all log-transformed formant inputs</w:t>
      </w:r>
      <w:r>
        <w:t xml:space="preserve"> </w:t>
      </w:r>
      <m:oMath>
        <m:acc>
          <m:accPr>
            <m:chr m:val="⃗"/>
          </m:accPr>
          <m:e>
            <m:r>
              <m:t>G</m:t>
            </m:r>
          </m:e>
        </m:acc>
      </m:oMath>
      <w:r>
        <w:t xml:space="preserve"> </w:t>
      </w:r>
      <w:r>
        <w:t xml:space="preserve">from the speaker</w:t>
      </w:r>
      <w:r>
        <w:t xml:space="preserve"> </w:t>
      </w:r>
      <w:r>
        <w:t xml:space="preserve">(method 1 from Nearey and Assmann 2007)</w:t>
      </w:r>
      <w:r>
        <w:t xml:space="preserve">:</w:t>
      </w:r>
    </w:p>
    <w:p>
      <w:pPr>
        <w:pStyle w:val="BodyText"/>
      </w:pPr>
      <w:bookmarkStart w:id="33" w:name="eq-method-naive"/>
      <m:oMathPara>
        <m:oMathParaPr>
          <m:jc m:val="center"/>
        </m:oMathParaPr>
        <m:oMath>
          <m:sSub>
            <m:e>
              <m:acc>
                <m:accPr>
                  <m:chr m:val="̂"/>
                </m:accPr>
                <m:e>
                  <m:r>
                    <m:t>ψ</m:t>
                  </m:r>
                </m:e>
              </m:acc>
            </m:e>
            <m:sub>
              <m:r>
                <m:t>s</m:t>
              </m:r>
            </m:sub>
          </m:sSub>
          <m:box>
            <m:boxPr>
              <m:opEmu m:val="on"/>
            </m:boxPr>
            <m:e>
              <m:r>
                <m:rPr>
                  <m:sty m:val="p"/>
                </m:rPr>
                <m:t>:=</m:t>
              </m:r>
            </m:e>
          </m:box>
          <m:acc>
            <m:accPr>
              <m:chr m:val="‾"/>
            </m:accPr>
            <m:e>
              <m:r>
                <m:t>G</m:t>
              </m:r>
            </m:e>
          </m:acc>
          <m:r>
            <m:rPr>
              <m:sty m:val="p"/>
            </m:rPr>
            <m:t>=</m:t>
          </m:r>
          <m:f>
            <m:fPr>
              <m:type m:val="bar"/>
            </m:fPr>
            <m:num>
              <m:r>
                <m:t>1</m:t>
              </m:r>
            </m:num>
            <m:den>
              <m:d>
                <m:dPr>
                  <m:begChr m:val="("/>
                  <m:endChr m:val=")"/>
                  <m:sepChr m:val=""/>
                  <m:grow/>
                </m:dPr>
                <m:e>
                  <m:r>
                    <m:t>K</m:t>
                  </m:r>
                  <m:r>
                    <m:rPr>
                      <m:sty m:val="p"/>
                    </m:rPr>
                    <m:t>⋅</m:t>
                  </m:r>
                  <m:r>
                    <m:t>N</m:t>
                  </m:r>
                </m:e>
              </m:d>
            </m:den>
          </m:f>
          <m:nary>
            <m:naryPr>
              <m:chr m:val="∑"/>
              <m:limLoc m:val="undOvr"/>
              <m:subHide m:val="off"/>
              <m:supHide m:val="off"/>
            </m:naryPr>
            <m:sub>
              <m:r>
                <m:t>j</m:t>
              </m:r>
              <m:r>
                <m:rPr>
                  <m:sty m:val="p"/>
                </m:rPr>
                <m:t>=</m:t>
              </m:r>
              <m:r>
                <m:t>1</m:t>
              </m:r>
            </m:sub>
            <m:sup>
              <m:r>
                <m:t>N</m:t>
              </m:r>
            </m:sup>
            <m:e>
              <m:nary>
                <m:naryPr>
                  <m:chr m:val="∑"/>
                  <m:limLoc m:val="undOvr"/>
                  <m:subHide m:val="off"/>
                  <m:supHide m:val="off"/>
                </m:naryPr>
                <m:sub>
                  <m:r>
                    <m:t>k</m:t>
                  </m:r>
                  <m:r>
                    <m:rPr>
                      <m:sty m:val="p"/>
                    </m:rPr>
                    <m:t>=</m:t>
                  </m:r>
                  <m:r>
                    <m:t>1</m:t>
                  </m:r>
                </m:sub>
                <m:sup>
                  <m:r>
                    <m:t>K</m:t>
                  </m:r>
                </m:sup>
                <m:e>
                  <m:sSub>
                    <m:e>
                      <m:r>
                        <m:t>G</m:t>
                      </m:r>
                    </m:e>
                    <m:sub>
                      <m:r>
                        <m:t>j</m:t>
                      </m:r>
                      <m:r>
                        <m:rPr>
                          <m:sty m:val="p"/>
                        </m:rPr>
                        <m:t>,</m:t>
                      </m:r>
                      <m:r>
                        <m:t>k</m:t>
                      </m:r>
                      <m:r>
                        <m:rPr>
                          <m:sty m:val="p"/>
                        </m:rPr>
                        <m:t>,</m:t>
                      </m:r>
                      <m:r>
                        <m:t>s</m:t>
                      </m:r>
                    </m:sub>
                  </m:sSub>
                </m:e>
              </m:nary>
            </m:e>
          </m:nary>
          <m:r>
            <m:t>  </m:t>
          </m:r>
          <m:d>
            <m:dPr>
              <m:begChr m:val="("/>
              <m:endChr m:val=")"/>
              <m:sepChr m:val=""/>
              <m:grow/>
            </m:dPr>
            <m:e>
              <m:r>
                <m:t>6</m:t>
              </m:r>
            </m:e>
          </m:d>
        </m:oMath>
      </m:oMathPara>
      <w:bookmarkEnd w:id="33"/>
    </w:p>
    <w:p>
      <w:pPr>
        <w:pStyle w:val="FirstParagraph"/>
      </w:pPr>
      <w:r>
        <w:t xml:space="preserve">where</w:t>
      </w:r>
      <w:r>
        <w:t xml:space="preserve"> </w:t>
      </w:r>
      <m:oMath>
        <m:r>
          <m:t>N</m:t>
        </m:r>
      </m:oMath>
      <w:r>
        <w:t xml:space="preserve"> </w:t>
      </w:r>
      <w:r>
        <w:t xml:space="preserve">is the number of observations per talker,</w:t>
      </w:r>
      <w:r>
        <w:t xml:space="preserve"> </w:t>
      </w:r>
      <m:oMath>
        <m:r>
          <m:t>K</m:t>
        </m:r>
      </m:oMath>
      <w:r>
        <w:t xml:space="preserve"> </w:t>
      </w:r>
      <w:r>
        <w:t xml:space="preserve">is the number of formants per input (e.g. </w:t>
      </w:r>
      <m:oMath>
        <m:r>
          <m:t>K</m:t>
        </m:r>
        <m:r>
          <m:rPr>
            <m:sty m:val="p"/>
          </m:rPr>
          <m:t>=</m:t>
        </m:r>
        <m:r>
          <m:t>2</m:t>
        </m:r>
      </m:oMath>
      <w:r>
        <w:t xml:space="preserve"> </w:t>
      </w:r>
      <w:r>
        <w:t xml:space="preserve">if only F1 and F2 are considered), and</w:t>
      </w:r>
      <w:r>
        <w:t xml:space="preserve"> </w:t>
      </w:r>
      <m:oMath>
        <m:sSub>
          <m:e>
            <m:r>
              <m:t>G</m:t>
            </m:r>
          </m:e>
          <m:sub>
            <m:r>
              <m:t>j</m:t>
            </m:r>
            <m:r>
              <m:rPr>
                <m:sty m:val="p"/>
              </m:rPr>
              <m:t>,</m:t>
            </m:r>
            <m:r>
              <m:t>k</m:t>
            </m:r>
            <m:r>
              <m:rPr>
                <m:sty m:val="p"/>
              </m:rPr>
              <m:t>,</m:t>
            </m:r>
            <m:r>
              <m:t>s</m:t>
            </m:r>
          </m:sub>
        </m:sSub>
      </m:oMath>
      <w:r>
        <w:t xml:space="preserve"> </w:t>
      </w:r>
      <w:r>
        <w:t xml:space="preserve">is the</w:t>
      </w:r>
      <w:r>
        <w:t xml:space="preserve"> </w:t>
      </w:r>
      <m:oMath>
        <m:r>
          <m:t>k</m:t>
        </m:r>
      </m:oMath>
      <w:r>
        <w:t xml:space="preserve">th formant of the</w:t>
      </w:r>
      <w:r>
        <w:t xml:space="preserve"> </w:t>
      </w:r>
      <m:oMath>
        <m:r>
          <m:t>j</m:t>
        </m:r>
      </m:oMath>
      <w:r>
        <w:t xml:space="preserve"> </w:t>
      </w:r>
      <w:r>
        <w:t xml:space="preserve">vowel observation of speaker</w:t>
      </w:r>
      <w:r>
        <w:t xml:space="preserve"> </w:t>
      </w:r>
      <m:oMath>
        <m:r>
          <m:t>s</m:t>
        </m:r>
      </m:oMath>
      <w:r>
        <w:t xml:space="preserve">. Under this formulation, uniform scaling is a form of extrinsic normalization, relying on information that is collected across observations.</w:t>
      </w:r>
    </w:p>
    <w:p>
      <w:pPr>
        <w:pStyle w:val="BodyText"/>
      </w:pPr>
      <w:r>
        <w:t xml:space="preserve">However, this approach quickly becomes unfeasible even for researchers. First, estimates based on</w:t>
      </w:r>
      <w:r>
        <w:t xml:space="preserve"> </w:t>
      </w:r>
      <w:hyperlink w:anchor="eq-method-naive">
        <w:r>
          <w:rPr>
            <w:rStyle w:val="Hyperlink"/>
          </w:rPr>
          <w:t xml:space="preserve">Equation 6</w:t>
        </w:r>
      </w:hyperlink>
      <w:r>
        <w:t xml:space="preserve"> </w:t>
      </w:r>
      <w:r>
        <w:t xml:space="preserve">can be highly sensitive to formant measurement errors when the number of recordings per vowel is small. Second, even for large data sets, the approach in</w:t>
      </w:r>
      <w:r>
        <w:t xml:space="preserve"> </w:t>
      </w:r>
      <w:hyperlink w:anchor="eq-method-naive">
        <w:r>
          <w:rPr>
            <w:rStyle w:val="Hyperlink"/>
          </w:rPr>
          <w:t xml:space="preserve">Equation 6</w:t>
        </w:r>
      </w:hyperlink>
      <w:r>
        <w:t xml:space="preserve"> </w:t>
      </w:r>
      <w:r>
        <w:t xml:space="preserve">runs into substantial problems when comparing within or across data sets with different numbers of observations per vowel and talker</w:t>
      </w:r>
      <w:r>
        <w:t xml:space="preserve"> </w:t>
      </w:r>
      <w:r>
        <w:t xml:space="preserve">(for discussion, Barreda and Nearey 2018; Nearey and Assmann 2007; Xie, Jaeger, and Kurumada 2023, SI 2.1)</w:t>
      </w:r>
      <w:r>
        <w:t xml:space="preserve">. This problem arises for the same reasons that make formants relevant to vowel perception in the first place: the distribution of formants—and thus their mean—differs between vowels. This means that</w:t>
      </w:r>
      <w:r>
        <w:t xml:space="preserve"> </w:t>
      </w:r>
      <w:hyperlink w:anchor="eq-method-naive">
        <w:r>
          <w:rPr>
            <w:rStyle w:val="Hyperlink"/>
          </w:rPr>
          <w:t xml:space="preserve">Equation 6</w:t>
        </w:r>
      </w:hyperlink>
      <w:r>
        <w:t xml:space="preserve"> </w:t>
      </w:r>
      <w:r>
        <w:t xml:space="preserve">will yield systematically different estimates</w:t>
      </w:r>
      <w:r>
        <w:t xml:space="preserve"> </w:t>
      </w:r>
      <m:oMath>
        <m:sSub>
          <m:e>
            <m:acc>
              <m:accPr>
                <m:chr m:val="̂"/>
              </m:accPr>
              <m:e>
                <m:r>
                  <m:t>ψ</m:t>
                </m:r>
              </m:e>
            </m:acc>
          </m:e>
          <m:sub>
            <m:r>
              <m:t>s</m:t>
            </m:r>
          </m:sub>
        </m:sSub>
      </m:oMath>
      <w:r>
        <w:t xml:space="preserve">, even for the same speaker with the same underlying</w:t>
      </w:r>
      <w:r>
        <w:t xml:space="preserve"> </w:t>
      </w:r>
      <m:oMath>
        <m:sSub>
          <m:e>
            <m:r>
              <m:t>ψ</m:t>
            </m:r>
          </m:e>
          <m:sub>
            <m:r>
              <m:t>s</m:t>
            </m:r>
          </m:sub>
        </m:sSub>
      </m:oMath>
      <w:r>
        <w:t xml:space="preserve">, depending on the specific set of vowel instances over which</w:t>
      </w:r>
      <w:r>
        <w:t xml:space="preserve"> </w:t>
      </w:r>
      <m:oMath>
        <m:sSub>
          <m:e>
            <m:r>
              <m:t>ψ</m:t>
            </m:r>
          </m:e>
          <m:sub>
            <m:r>
              <m:t>s</m:t>
            </m:r>
          </m:sub>
        </m:sSub>
      </m:oMath>
      <w:r>
        <w:t xml:space="preserve"> </w:t>
      </w:r>
      <w:r>
        <w:t xml:space="preserve">is estimated.</w:t>
      </w:r>
    </w:p>
    <w:p>
      <w:pPr>
        <w:pStyle w:val="BodyText"/>
      </w:pPr>
      <w:r>
        <w:t xml:space="preserve">The same considerations make the approach in</w:t>
      </w:r>
      <w:r>
        <w:t xml:space="preserve"> </w:t>
      </w:r>
      <w:hyperlink w:anchor="eq-method-naive">
        <w:r>
          <w:rPr>
            <w:rStyle w:val="Hyperlink"/>
          </w:rPr>
          <w:t xml:space="preserve">Equation 6</w:t>
        </w:r>
      </w:hyperlink>
      <w:r>
        <w:t xml:space="preserve"> </w:t>
      </w:r>
      <w:r>
        <w:t xml:space="preserve">unsuitable for</w:t>
      </w:r>
      <w:r>
        <w:t xml:space="preserve"> </w:t>
      </w:r>
      <w:r>
        <w:rPr>
          <w:i/>
          <w:iCs/>
        </w:rPr>
        <w:t xml:space="preserve">listeners</w:t>
      </w:r>
      <w:r>
        <w:t xml:space="preserve">. And, unlike researchers, listeners who encounter an unfamiliar talker do not have the luxury of waiting until they have observed a large amount of formant inputs from that talker: if normalization via uniform scaling is to aid robust speech perception, listeners must quickly arrive at adequate estimates of</w:t>
      </w:r>
      <w:r>
        <w:t xml:space="preserve"> </w:t>
      </w:r>
      <m:oMath>
        <m:sSub>
          <m:e>
            <m:r>
              <m:t>ψ</m:t>
            </m:r>
          </m:e>
          <m:sub>
            <m:r>
              <m:t>s</m:t>
            </m:r>
          </m:sub>
        </m:sSub>
      </m:oMath>
      <w:r>
        <w:t xml:space="preserve">—ideally within the very first instance of a vowel that they heard from the unfamiliar talker. If listeners were using something like</w:t>
      </w:r>
      <w:r>
        <w:t xml:space="preserve"> </w:t>
      </w:r>
      <w:hyperlink w:anchor="eq-method-naive">
        <w:r>
          <w:rPr>
            <w:rStyle w:val="Hyperlink"/>
          </w:rPr>
          <w:t xml:space="preserve">Equation 6</w:t>
        </w:r>
      </w:hyperlink>
      <w:r>
        <w:t xml:space="preserve"> </w:t>
      </w:r>
      <w:r>
        <w:t xml:space="preserve">to estimate</w:t>
      </w:r>
      <w:r>
        <w:t xml:space="preserve"> </w:t>
      </w:r>
      <m:oMath>
        <m:sSub>
          <m:e>
            <m:r>
              <m:t>ψ</m:t>
            </m:r>
          </m:e>
          <m:sub>
            <m:r>
              <m:t>s</m:t>
            </m:r>
          </m:sub>
        </m:sSub>
      </m:oMath>
      <w:r>
        <w:t xml:space="preserve"> </w:t>
      </w:r>
      <w:r>
        <w:t xml:space="preserve">for individual vowel tokens, their estimates of</w:t>
      </w:r>
      <w:r>
        <w:t xml:space="preserve"> </w:t>
      </w:r>
      <m:oMath>
        <m:sSub>
          <m:e>
            <m:r>
              <m:t>ψ</m:t>
            </m:r>
          </m:e>
          <m:sub>
            <m:r>
              <m:t>s</m:t>
            </m:r>
          </m:sub>
        </m:sSub>
      </m:oMath>
      <w:r>
        <w:t xml:space="preserve"> </w:t>
      </w:r>
      <w:r>
        <w:t xml:space="preserve">would vary substantially from trial to trial—depending also on which vowels the talker has produced. This would result in both highly inaccurate speech perception and very large changes to inferred speaker characteristics that themselves depend on</w:t>
      </w:r>
      <w:r>
        <w:t xml:space="preserve"> </w:t>
      </w:r>
      <m:oMath>
        <m:sSub>
          <m:e>
            <m:r>
              <m:t>ψ</m:t>
            </m:r>
          </m:e>
          <m:sub>
            <m:r>
              <m:t>s</m:t>
            </m:r>
          </m:sub>
        </m:sSub>
      </m:oMath>
      <w:r>
        <w:t xml:space="preserve"> </w:t>
      </w:r>
      <w:r>
        <w:t xml:space="preserve">(e.g., size and gender). Neither of these outcomes are observed in the literature.</w:t>
      </w:r>
    </w:p>
    <w:p>
      <w:pPr>
        <w:pStyle w:val="BodyText"/>
      </w:pPr>
      <w:r>
        <w:t xml:space="preserve">Nearey and Assmann (2007)</w:t>
      </w:r>
      <w:r>
        <w:t xml:space="preserve"> </w:t>
      </w:r>
      <w:r>
        <w:t xml:space="preserve">addressed this issue by proposing several probabilistic approaches to</w:t>
      </w:r>
      <w:r>
        <w:t xml:space="preserve"> </w:t>
      </w:r>
      <m:oMath>
        <m:sSub>
          <m:e>
            <m:r>
              <m:t>ψ</m:t>
            </m:r>
          </m:e>
          <m:sub>
            <m:r>
              <m:t>s</m:t>
            </m:r>
          </m:sub>
        </m:sSub>
      </m:oMath>
      <w:r>
        <w:t xml:space="preserve"> </w:t>
      </w:r>
      <w:r>
        <w:t xml:space="preserve">estimation that do not rely on a balanced sample of the speaker’s entire vowel system. These models share two key methodological insights. First, they constrain estimates of</w:t>
      </w:r>
      <w:r>
        <w:t xml:space="preserve"> </w:t>
      </w:r>
      <m:oMath>
        <m:sSub>
          <m:e>
            <m:r>
              <m:t>ψ</m:t>
            </m:r>
          </m:e>
          <m:sub>
            <m:r>
              <m:t>s</m:t>
            </m:r>
          </m:sub>
        </m:sSub>
      </m:oMath>
      <w:r>
        <w:t xml:space="preserve"> </w:t>
      </w:r>
      <w:r>
        <w:t xml:space="preserve">given the listener’s assumed phonological knowledge (i.e. the template). Second, listeners are assumed to have prior expectations about the distribution of</w:t>
      </w:r>
      <w:r>
        <w:t xml:space="preserve"> </w:t>
      </w:r>
      <m:oMath>
        <m:sSub>
          <m:e>
            <m:r>
              <m:t>ψ</m:t>
            </m:r>
          </m:e>
          <m:sub>
            <m:r>
              <m:t>s</m:t>
            </m:r>
          </m:sub>
        </m:sSub>
      </m:oMath>
      <w:r>
        <w:t xml:space="preserve"> </w:t>
      </w:r>
      <w:r>
        <w:t xml:space="preserve">depending on the acoustic and indexical characteristics of the talker. Here, we focus on three of the methods proposed by Nearey and Assmann (methods 2, 3, and 6). These methods differ only in their assumptions about listeners’ prior expectations about</w:t>
      </w:r>
      <w:r>
        <w:t xml:space="preserve"> </w:t>
      </w:r>
      <m:oMath>
        <m:sSub>
          <m:e>
            <m:r>
              <m:t>ψ</m:t>
            </m:r>
          </m:e>
          <m:sub>
            <m:r>
              <m:t>s</m:t>
            </m:r>
          </m:sub>
        </m:sSub>
      </m:oMath>
      <w:r>
        <w:t xml:space="preserve">. Specifically, the three methods make increasingly stronger assumptions about the implicit knowledge that listeners have learned and stored about the distribution of</w:t>
      </w:r>
      <w:r>
        <w:t xml:space="preserve"> </w:t>
      </w:r>
      <m:oMath>
        <m:sSub>
          <m:e>
            <m:r>
              <m:t>ψ</m:t>
            </m:r>
          </m:e>
          <m:sub>
            <m:r>
              <m:t>s</m:t>
            </m:r>
          </m:sub>
        </m:sSub>
      </m:oMath>
      <w:r>
        <w:t xml:space="preserve">. By comparing how well these methods fit listeners’ behavior, one can therefore test hypotheses about the type of implicit knowledge listeners have. Before we turn to the differences between the three methods, we describe their shared characteristics.</w:t>
      </w:r>
    </w:p>
    <w:bookmarkStart w:id="39" w:name="sec-shared"/>
    <w:p>
      <w:pPr>
        <w:pStyle w:val="Heading2"/>
      </w:pPr>
      <w:r>
        <w:t xml:space="preserve">4.1 Estimating</w:t>
      </w:r>
      <w:r>
        <w:t xml:space="preserve"> </w:t>
      </w:r>
      <m:oMath>
        <m:sSub>
          <m:e>
            <m:r>
              <m:t>ψ</m:t>
            </m:r>
          </m:e>
          <m:sub>
            <m:r>
              <m:t>s</m:t>
            </m:r>
          </m:sub>
        </m:sSub>
      </m:oMath>
      <w:r>
        <w:t xml:space="preserve"> </w:t>
      </w:r>
      <w:r>
        <w:t xml:space="preserve">using prior expectations about vowel templates and</w:t>
      </w:r>
      <w:r>
        <w:t xml:space="preserve"> </w:t>
      </w:r>
      <m:oMath>
        <m:sSub>
          <m:e>
            <m:r>
              <m:t>ψ</m:t>
            </m:r>
          </m:e>
          <m:sub>
            <m:r>
              <m:t>s</m:t>
            </m:r>
          </m:sub>
        </m:sSub>
      </m:oMath>
    </w:p>
    <w:p>
      <w:pPr>
        <w:pStyle w:val="FirstParagraph"/>
      </w:pPr>
      <w:r>
        <w:t xml:space="preserve">Methods 2, 3, and 6 share that they estimate the</w:t>
      </w:r>
      <w:r>
        <w:t xml:space="preserve"> </w:t>
      </w:r>
      <w:r>
        <w:rPr>
          <w:i/>
          <w:iCs/>
        </w:rPr>
        <w:t xml:space="preserve">maximum a posteriori</w:t>
      </w:r>
      <w:r>
        <w:t xml:space="preserve"> </w:t>
      </w:r>
      <w:r>
        <w:t xml:space="preserve">(MAP) value of</w:t>
      </w:r>
      <w:r>
        <w:t xml:space="preserve"> </w:t>
      </w:r>
      <m:oMath>
        <m:sSub>
          <m:e>
            <m:r>
              <m:t>ψ</m:t>
            </m:r>
          </m:e>
          <m:sub>
            <m:r>
              <m:t>s</m:t>
            </m:r>
          </m:sub>
        </m:sSub>
      </m:oMath>
      <w:r>
        <w:t xml:space="preserve">, as shown below in (</w:t>
      </w:r>
      <w:hyperlink w:anchor="eq-criterion-psi-and-vowel">
        <w:r>
          <w:rPr>
            <w:rStyle w:val="Hyperlink"/>
          </w:rPr>
          <w:t xml:space="preserve">Equation 10</w:t>
        </w:r>
      </w:hyperlink>
      <w:r>
        <w:t xml:space="preserve">). Since</w:t>
      </w:r>
      <w:r>
        <w:t xml:space="preserve"> </w:t>
      </w:r>
      <w:r>
        <w:t xml:space="preserve">Nearey and Assmann (2007)</w:t>
      </w:r>
      <w:r>
        <w:t xml:space="preserve"> </w:t>
      </w:r>
      <w:r>
        <w:t xml:space="preserve">did not provide the derivation of these MAP estimates, we briefly summarize the core insights. We start by using Bayes theorem to calculate the posterior distribution of</w:t>
      </w:r>
      <w:r>
        <w:t xml:space="preserve"> </w:t>
      </w:r>
      <m:oMath>
        <m:sSub>
          <m:e>
            <m:r>
              <m:t>ψ</m:t>
            </m:r>
          </m:e>
          <m:sub>
            <m:r>
              <m:t>s</m:t>
            </m:r>
          </m:sub>
        </m:sSub>
      </m:oMath>
      <w:r>
        <w:t xml:space="preserve"> </w:t>
      </w:r>
      <w:r>
        <w:t xml:space="preserve">given the observed formant pattern, the vowel category, and the listener’s prior expectations about the distributions of</w:t>
      </w:r>
      <w:r>
        <w:t xml:space="preserve"> </w:t>
      </w:r>
      <m:oMath>
        <m:sSub>
          <m:e>
            <m:r>
              <m:t>ψ</m:t>
            </m:r>
          </m:e>
          <m:sub>
            <m:r>
              <m:t>s</m:t>
            </m:r>
          </m:sub>
        </m:sSub>
      </m:oMath>
      <w:r>
        <w:t xml:space="preserve"> </w:t>
      </w:r>
      <w:r>
        <w:t xml:space="preserve">and vowel categories:</w:t>
      </w:r>
      <w:r>
        <w:rPr>
          <w:rStyle w:val="FootnoteReference"/>
        </w:rPr>
        <w:footnoteReference w:id="34"/>
      </w:r>
    </w:p>
    <w:p>
      <w:pPr>
        <w:pStyle w:val="BodyText"/>
      </w:pPr>
      <w:bookmarkStart w:id="35" w:name="eq-posterior-psi"/>
      <m:oMathPara>
        <m:oMathParaPr>
          <m:jc m:val="center"/>
        </m:oMathParaPr>
        <m:oMath>
          <m:r>
            <m:t>P</m:t>
          </m:r>
          <m:d>
            <m:dPr>
              <m:begChr m:val="("/>
              <m:endChr m:val=")"/>
              <m:sepChr m:val=""/>
              <m:grow/>
            </m:dPr>
            <m:e>
              <m:sSub>
                <m:e>
                  <m:r>
                    <m:t>ψ</m:t>
                  </m:r>
                </m:e>
                <m:sub>
                  <m:r>
                    <m:t>s</m:t>
                  </m:r>
                </m:sub>
              </m:sSub>
              <m:r>
                <m:rPr>
                  <m:sty m:val="p"/>
                </m:rPr>
                <m:t>|</m:t>
              </m:r>
              <m:acc>
                <m:accPr>
                  <m:chr m:val="⃗"/>
                </m:accPr>
                <m:e>
                  <m:r>
                    <m:t>G</m:t>
                  </m:r>
                </m:e>
              </m:acc>
              <m:r>
                <m:rPr>
                  <m:sty m:val="p"/>
                </m:rPr>
                <m:t>,</m:t>
              </m:r>
              <m:sSub>
                <m:e>
                  <m:r>
                    <m:rPr>
                      <m:nor/>
                      <m:sty m:val="p"/>
                    </m:rPr>
                    <m:t>v</m:t>
                  </m:r>
                </m:e>
                <m:sub>
                  <m:r>
                    <m:t>j</m:t>
                  </m:r>
                </m:sub>
              </m:sSub>
            </m:e>
          </m:d>
          <m:r>
            <m:rPr>
              <m:sty m:val="p"/>
            </m:rPr>
            <m:t>=</m:t>
          </m:r>
          <m:f>
            <m:fPr>
              <m:type m:val="bar"/>
            </m:fPr>
            <m:num>
              <m:r>
                <m:t>P</m:t>
              </m:r>
              <m:d>
                <m:dPr>
                  <m:begChr m:val="("/>
                  <m:endChr m:val=")"/>
                  <m:sepChr m:val=""/>
                  <m:grow/>
                </m:dPr>
                <m:e>
                  <m:acc>
                    <m:accPr>
                      <m:chr m:val="⃗"/>
                    </m:accPr>
                    <m:e>
                      <m:r>
                        <m:t>G</m:t>
                      </m:r>
                    </m:e>
                  </m:acc>
                  <m:r>
                    <m:rPr>
                      <m:sty m:val="p"/>
                    </m:rPr>
                    <m:t>|</m:t>
                  </m:r>
                  <m:sSub>
                    <m:e>
                      <m:r>
                        <m:rPr>
                          <m:nor/>
                          <m:sty m:val="p"/>
                        </m:rPr>
                        <m:t>v</m:t>
                      </m:r>
                    </m:e>
                    <m:sub>
                      <m:r>
                        <m:t>j</m:t>
                      </m:r>
                    </m:sub>
                  </m:sSub>
                  <m:r>
                    <m:rPr>
                      <m:sty m:val="p"/>
                    </m:rPr>
                    <m:t>,</m:t>
                  </m:r>
                  <m:sSub>
                    <m:e>
                      <m:r>
                        <m:t>ψ</m:t>
                      </m:r>
                    </m:e>
                    <m:sub>
                      <m:r>
                        <m:t>s</m:t>
                      </m:r>
                    </m:sub>
                  </m:sSub>
                </m:e>
              </m:d>
              <m:r>
                <m:rPr>
                  <m:sty m:val="p"/>
                </m:rPr>
                <m:t>⋅</m:t>
              </m:r>
              <m:r>
                <m:t>P</m:t>
              </m:r>
              <m:d>
                <m:dPr>
                  <m:begChr m:val="("/>
                  <m:endChr m:val=")"/>
                  <m:sepChr m:val=""/>
                  <m:grow/>
                </m:dPr>
                <m:e>
                  <m:sSub>
                    <m:e>
                      <m:r>
                        <m:t>ψ</m:t>
                      </m:r>
                    </m:e>
                    <m:sub>
                      <m:r>
                        <m:t>s</m:t>
                      </m:r>
                    </m:sub>
                  </m:sSub>
                </m:e>
              </m:d>
              <m:r>
                <m:rPr>
                  <m:sty m:val="p"/>
                </m:rPr>
                <m:t>⋅</m:t>
              </m:r>
              <m:r>
                <m:t>P</m:t>
              </m:r>
              <m:sSub>
                <m:e>
                  <m:d>
                    <m:dPr>
                      <m:begChr m:val="("/>
                      <m:endChr m:val=")"/>
                      <m:sepChr m:val=""/>
                      <m:grow/>
                    </m:dPr>
                    <m:e>
                      <m:r>
                        <m:rPr>
                          <m:nor/>
                          <m:sty m:val="p"/>
                        </m:rPr>
                        <m:t>v</m:t>
                      </m:r>
                    </m:e>
                  </m:d>
                </m:e>
                <m:sub>
                  <m:r>
                    <m:t>j</m:t>
                  </m:r>
                </m:sub>
              </m:sSub>
            </m:num>
            <m:den>
              <m:nary>
                <m:naryPr>
                  <m:chr m:val="∑"/>
                  <m:limLoc m:val="undOvr"/>
                  <m:subHide m:val="off"/>
                  <m:supHide m:val="off"/>
                </m:naryPr>
                <m:sub>
                  <m:r>
                    <m:t>i</m:t>
                  </m:r>
                  <m:r>
                    <m:rPr>
                      <m:sty m:val="p"/>
                    </m:rPr>
                    <m:t>=</m:t>
                  </m:r>
                  <m:r>
                    <m:t>1</m:t>
                  </m:r>
                </m:sub>
                <m:sup>
                  <m:r>
                    <m:t>V</m:t>
                  </m:r>
                </m:sup>
                <m:e>
                  <m:r>
                    <m:t>P</m:t>
                  </m:r>
                </m:e>
              </m:nary>
              <m:d>
                <m:dPr>
                  <m:begChr m:val="("/>
                  <m:endChr m:val=")"/>
                  <m:sepChr m:val=""/>
                  <m:grow/>
                </m:dPr>
                <m:e>
                  <m:acc>
                    <m:accPr>
                      <m:chr m:val="⃗"/>
                    </m:accPr>
                    <m:e>
                      <m:r>
                        <m:t>G</m:t>
                      </m:r>
                    </m:e>
                  </m:acc>
                  <m:r>
                    <m:rPr>
                      <m:sty m:val="p"/>
                    </m:rPr>
                    <m:t>|</m:t>
                  </m:r>
                  <m:sSub>
                    <m:e>
                      <m:r>
                        <m:rPr>
                          <m:nor/>
                          <m:sty m:val="p"/>
                        </m:rPr>
                        <m:t>v</m:t>
                      </m:r>
                    </m:e>
                    <m:sub>
                      <m:r>
                        <m:t>i</m:t>
                      </m:r>
                    </m:sub>
                  </m:sSub>
                  <m:r>
                    <m:rPr>
                      <m:sty m:val="p"/>
                    </m:rPr>
                    <m:t>,</m:t>
                  </m:r>
                  <m:sSub>
                    <m:e>
                      <m:r>
                        <m:t>ψ</m:t>
                      </m:r>
                    </m:e>
                    <m:sub>
                      <m:r>
                        <m:t>s</m:t>
                      </m:r>
                    </m:sub>
                  </m:sSub>
                </m:e>
              </m:d>
              <m:r>
                <m:rPr>
                  <m:sty m:val="p"/>
                </m:rPr>
                <m:t>⋅</m:t>
              </m:r>
              <m:r>
                <m:t>P</m:t>
              </m:r>
              <m:d>
                <m:dPr>
                  <m:begChr m:val="("/>
                  <m:endChr m:val=")"/>
                  <m:sepChr m:val=""/>
                  <m:grow/>
                </m:dPr>
                <m:e>
                  <m:sSub>
                    <m:e>
                      <m:r>
                        <m:t>ψ</m:t>
                      </m:r>
                    </m:e>
                    <m:sub>
                      <m:r>
                        <m:t>s</m:t>
                      </m:r>
                    </m:sub>
                  </m:sSub>
                </m:e>
              </m:d>
              <m:r>
                <m:rPr>
                  <m:sty m:val="p"/>
                </m:rPr>
                <m:t>⋅</m:t>
              </m:r>
              <m:r>
                <m:t>P</m:t>
              </m:r>
              <m:d>
                <m:dPr>
                  <m:begChr m:val="("/>
                  <m:endChr m:val=")"/>
                  <m:sepChr m:val=""/>
                  <m:grow/>
                </m:dPr>
                <m:e>
                  <m:sSub>
                    <m:e>
                      <m:r>
                        <m:rPr>
                          <m:nor/>
                          <m:sty m:val="p"/>
                        </m:rPr>
                        <m:t>v</m:t>
                      </m:r>
                    </m:e>
                    <m:sub>
                      <m:r>
                        <m:t>i</m:t>
                      </m:r>
                    </m:sub>
                  </m:sSub>
                </m:e>
              </m:d>
            </m:den>
          </m:f>
          <m:r>
            <m:t>  </m:t>
          </m:r>
          <m:d>
            <m:dPr>
              <m:begChr m:val="("/>
              <m:endChr m:val=")"/>
              <m:sepChr m:val=""/>
              <m:grow/>
            </m:dPr>
            <m:e>
              <m:r>
                <m:t>7</m:t>
              </m:r>
            </m:e>
          </m:d>
        </m:oMath>
      </m:oMathPara>
      <w:bookmarkEnd w:id="35"/>
    </w:p>
    <w:p>
      <w:pPr>
        <w:pStyle w:val="FirstParagraph"/>
      </w:pPr>
      <w:r>
        <w:t xml:space="preserve">As per</w:t>
      </w:r>
      <w:r>
        <w:t xml:space="preserve"> </w:t>
      </w:r>
      <w:hyperlink w:anchor="eq-posterior-G">
        <w:r>
          <w:rPr>
            <w:rStyle w:val="Hyperlink"/>
          </w:rPr>
          <w:t xml:space="preserve">Equation 4</w:t>
        </w:r>
      </w:hyperlink>
      <w:r>
        <w:t xml:space="preserve">, the likelihood</w:t>
      </w:r>
      <w:r>
        <w:t xml:space="preserve"> </w:t>
      </w:r>
      <m:oMath>
        <m:r>
          <m:t>P</m:t>
        </m:r>
        <m:d>
          <m:dPr>
            <m:begChr m:val="("/>
            <m:endChr m:val=")"/>
            <m:sepChr m:val=""/>
            <m:grow/>
          </m:dPr>
          <m:e>
            <m:acc>
              <m:accPr>
                <m:chr m:val="⃗"/>
              </m:accPr>
              <m:e>
                <m:r>
                  <m:t>G</m:t>
                </m:r>
              </m:e>
            </m:acc>
            <m:r>
              <m:rPr>
                <m:sty m:val="p"/>
              </m:rPr>
              <m:t>|</m:t>
            </m:r>
            <m:r>
              <m:rPr>
                <m:nor/>
                <m:sty m:val="p"/>
              </m:rPr>
              <m:t>v</m:t>
            </m:r>
            <m:r>
              <m:rPr>
                <m:sty m:val="p"/>
              </m:rPr>
              <m:t>,</m:t>
            </m:r>
            <m:sSub>
              <m:e>
                <m:r>
                  <m:t>ψ</m:t>
                </m:r>
              </m:e>
              <m:sub>
                <m:r>
                  <m:t>s</m:t>
                </m:r>
              </m:sub>
            </m:sSub>
          </m:e>
        </m:d>
      </m:oMath>
      <w:r>
        <w:t xml:space="preserve"> </w:t>
      </w:r>
      <w:r>
        <w:t xml:space="preserve">given the vowel category and</w:t>
      </w:r>
      <w:r>
        <w:t xml:space="preserve"> </w:t>
      </w:r>
      <m:oMath>
        <m:sSub>
          <m:e>
            <m:r>
              <m:t>ψ</m:t>
            </m:r>
          </m:e>
          <m:sub>
            <m:r>
              <m:t>s</m:t>
            </m:r>
          </m:sub>
        </m:sSub>
      </m:oMath>
      <w:r>
        <w:t xml:space="preserve"> </w:t>
      </w:r>
      <w:r>
        <w:t xml:space="preserve">is assumed to be a multivariate normal distribution. Researchers can estimate the mean</w:t>
      </w:r>
      <w:r>
        <w:t xml:space="preserve"> </w:t>
      </w:r>
      <m:oMath>
        <m:sSub>
          <m:e>
            <m:acc>
              <m:accPr>
                <m:chr m:val="⃗"/>
              </m:accPr>
              <m:e>
                <m:r>
                  <m:t>μ</m:t>
                </m:r>
              </m:e>
            </m:acc>
          </m:e>
          <m:sub>
            <m:r>
              <m:t>v</m:t>
            </m:r>
          </m:sub>
        </m:sSub>
      </m:oMath>
      <w:r>
        <w:t xml:space="preserve"> </w:t>
      </w:r>
      <w:r>
        <w:t xml:space="preserve">and covariance matrix</w:t>
      </w:r>
      <w:r>
        <w:t xml:space="preserve"> </w:t>
      </w:r>
      <m:oMath>
        <m:sSub>
          <m:e>
            <m:acc>
              <m:accPr>
                <m:chr m:val="⃗"/>
              </m:accPr>
              <m:e>
                <m:r>
                  <m:t>Σ</m:t>
                </m:r>
              </m:e>
            </m:acc>
          </m:e>
          <m:sub>
            <m:r>
              <m:t>v</m:t>
            </m:r>
          </m:sub>
        </m:sSub>
      </m:oMath>
      <w:r>
        <w:t xml:space="preserve"> </w:t>
      </w:r>
      <w:r>
        <w:t xml:space="preserve">for each vowel category based on any reasonably sized database of vowel formants from the dialect(s) that the listener is assumed to have learned their template(s) from.</w:t>
      </w:r>
      <w:r>
        <w:t xml:space="preserve"> </w:t>
      </w:r>
      <w:r>
        <w:t xml:space="preserve"> </w:t>
      </w:r>
      <w:r>
        <w:t xml:space="preserve">Similarly,</w:t>
      </w:r>
      <w:r>
        <w:t xml:space="preserve"> </w:t>
      </w:r>
      <m:oMath>
        <m:r>
          <m:t>P</m:t>
        </m:r>
        <m:d>
          <m:dPr>
            <m:begChr m:val="("/>
            <m:endChr m:val=")"/>
            <m:sepChr m:val=""/>
            <m:grow/>
          </m:dPr>
          <m:e>
            <m:r>
              <m:rPr>
                <m:nor/>
                <m:sty m:val="p"/>
              </m:rPr>
              <m:t>v</m:t>
            </m:r>
          </m:e>
        </m:d>
      </m:oMath>
      <w:r>
        <w:t xml:space="preserve">, can be calculated from relevant speech corpora or, for many experimental contexts, assumed to be equal across all categories and ignored in the calculation.</w:t>
      </w:r>
    </w:p>
    <w:p>
      <w:pPr>
        <w:pStyle w:val="BodyText"/>
      </w:pPr>
      <w:r>
        <w:t xml:space="preserve">The posterior distribution in</w:t>
      </w:r>
      <w:r>
        <w:t xml:space="preserve"> </w:t>
      </w:r>
      <w:hyperlink w:anchor="eq-posterior-psi">
        <w:r>
          <w:rPr>
            <w:rStyle w:val="Hyperlink"/>
          </w:rPr>
          <w:t xml:space="preserve">Equation 7</w:t>
        </w:r>
      </w:hyperlink>
      <w:r>
        <w:t xml:space="preserve"> </w:t>
      </w:r>
      <w:r>
        <w:t xml:space="preserve">can be used to obtain separate MAP estimates of</w:t>
      </w:r>
      <w:r>
        <w:t xml:space="preserve"> </w:t>
      </w:r>
      <m:oMath>
        <m:sSub>
          <m:e>
            <m:r>
              <m:t>ψ</m:t>
            </m:r>
          </m:e>
          <m:sub>
            <m:r>
              <m:t>s</m:t>
            </m:r>
          </m:sub>
        </m:sSub>
      </m:oMath>
      <w:r>
        <w:t xml:space="preserve"> </w:t>
      </w:r>
      <w:r>
        <w:t xml:space="preserve">for each vowel category,</w:t>
      </w:r>
      <w:r>
        <w:t xml:space="preserve"> </w:t>
      </w:r>
      <m:oMath>
        <m:sSub>
          <m:e>
            <m:acc>
              <m:accPr>
                <m:chr m:val="̂"/>
              </m:accPr>
              <m:e>
                <m:r>
                  <m:t>ψ</m:t>
                </m:r>
              </m:e>
            </m:acc>
          </m:e>
          <m:sub>
            <m:r>
              <m:t>s</m:t>
            </m:r>
            <m:r>
              <m:rPr>
                <m:sty m:val="p"/>
              </m:rPr>
              <m:t>,</m:t>
            </m:r>
            <m:r>
              <m:rPr>
                <m:nor/>
                <m:sty m:val="p"/>
              </m:rPr>
              <m:t>v</m:t>
            </m:r>
          </m:sub>
        </m:sSub>
      </m:oMath>
      <w:r>
        <w:t xml:space="preserve">. A vowel system with</w:t>
      </w:r>
      <w:r>
        <w:t xml:space="preserve"> </w:t>
      </w:r>
      <m:oMath>
        <m:r>
          <m:t>V</m:t>
        </m:r>
      </m:oMath>
      <w:r>
        <w:t xml:space="preserve"> </w:t>
      </w:r>
      <w:r>
        <w:t xml:space="preserve">vowels would result in</w:t>
      </w:r>
      <w:r>
        <w:t xml:space="preserve"> </w:t>
      </w:r>
      <m:oMath>
        <m:r>
          <m:t>V</m:t>
        </m:r>
      </m:oMath>
      <w:r>
        <w:t xml:space="preserve"> </w:t>
      </w:r>
      <w:r>
        <w:t xml:space="preserve">MAP estimates</w:t>
      </w:r>
      <w:r>
        <w:t xml:space="preserve"> </w:t>
      </w:r>
      <m:oMath>
        <m:sSub>
          <m:e>
            <m:acc>
              <m:accPr>
                <m:chr m:val="̂"/>
              </m:accPr>
              <m:e>
                <m:r>
                  <m:t>ψ</m:t>
                </m:r>
              </m:e>
            </m:acc>
          </m:e>
          <m:sub>
            <m:r>
              <m:t>s</m:t>
            </m:r>
            <m:r>
              <m:rPr>
                <m:sty m:val="p"/>
              </m:rPr>
              <m:t>,</m:t>
            </m:r>
            <m:r>
              <m:rPr>
                <m:nor/>
                <m:sty m:val="p"/>
              </m:rPr>
              <m:t>v</m:t>
            </m:r>
          </m:sub>
        </m:sSub>
      </m:oMath>
      <w:r>
        <w:t xml:space="preserve">:</w:t>
      </w:r>
    </w:p>
    <w:p>
      <w:pPr>
        <w:pStyle w:val="BodyText"/>
      </w:pPr>
      <w:bookmarkStart w:id="36" w:name="eq-MAP-vowel-specific"/>
      <m:oMathPara>
        <m:oMathParaPr>
          <m:jc m:val="center"/>
        </m:oMathParaPr>
        <m:oMath>
          <m:m>
            <m:mPr>
              <m:baseJc m:val="center"/>
              <m:plcHide m:val="on"/>
              <m:mcs>
                <m:mc>
                  <m:mcPr>
                    <m:mcJc m:val="right"/>
                    <m:count m:val="1"/>
                  </m:mcPr>
                </m:mc>
              </m:mcs>
            </m:mPr>
            <m:mr>
              <m:e>
                <m:sSub>
                  <m:e>
                    <m:acc>
                      <m:accPr>
                        <m:chr m:val="̂"/>
                      </m:accPr>
                      <m:e>
                        <m:r>
                          <m:t>ψ</m:t>
                        </m:r>
                      </m:e>
                    </m:acc>
                  </m:e>
                  <m:sub>
                    <m:r>
                      <m:t>s</m:t>
                    </m:r>
                    <m:r>
                      <m:rPr>
                        <m:sty m:val="p"/>
                      </m:rPr>
                      <m:t>,</m:t>
                    </m:r>
                    <m:r>
                      <m:rPr>
                        <m:nor/>
                        <m:sty m:val="p"/>
                      </m:rPr>
                      <m:t>v=1</m:t>
                    </m:r>
                  </m:sub>
                </m:sSub>
                <m:box>
                  <m:boxPr>
                    <m:opEmu m:val="on"/>
                  </m:boxPr>
                  <m:e>
                    <m:r>
                      <m:rPr>
                        <m:sty m:val="p"/>
                      </m:rPr>
                      <m:t>:=</m:t>
                    </m:r>
                  </m:e>
                </m:box>
                <m:limLow>
                  <m:e>
                    <m:r>
                      <m:rPr>
                        <m:sty m:val="p"/>
                      </m:rPr>
                      <m:t>arg</m:t>
                    </m:r>
                    <m:r>
                      <m:rPr>
                        <m:sty m:val="p"/>
                      </m:rPr>
                      <m:t>max</m:t>
                    </m:r>
                  </m:e>
                  <m:lim>
                    <m:sSub>
                      <m:e>
                        <m:r>
                          <m:t>ψ</m:t>
                        </m:r>
                      </m:e>
                      <m:sub>
                        <m:r>
                          <m:t>s</m:t>
                        </m:r>
                      </m:sub>
                    </m:sSub>
                  </m:lim>
                </m:limLow>
                <m:d>
                  <m:dPr>
                    <m:begChr m:val="["/>
                    <m:endChr m:val="]"/>
                    <m:sepChr m:val=""/>
                    <m:grow/>
                  </m:dPr>
                  <m:e>
                    <m:r>
                      <m:t>P</m:t>
                    </m:r>
                    <m:d>
                      <m:dPr>
                        <m:begChr m:val="("/>
                        <m:endChr m:val=")"/>
                        <m:sepChr m:val=""/>
                        <m:grow/>
                      </m:dPr>
                      <m:e>
                        <m:acc>
                          <m:accPr>
                            <m:chr m:val="⃗"/>
                          </m:accPr>
                          <m:e>
                            <m:r>
                              <m:t>G</m:t>
                            </m:r>
                          </m:e>
                        </m:acc>
                        <m:r>
                          <m:rPr>
                            <m:sty m:val="p"/>
                          </m:rPr>
                          <m:t>|</m:t>
                        </m:r>
                        <m:r>
                          <m:rPr>
                            <m:nor/>
                            <m:sty m:val="p"/>
                          </m:rPr>
                          <m:t>v=1</m:t>
                        </m:r>
                        <m:r>
                          <m:rPr>
                            <m:sty m:val="p"/>
                          </m:rPr>
                          <m:t>,</m:t>
                        </m:r>
                        <m:sSub>
                          <m:e>
                            <m:r>
                              <m:t>ψ</m:t>
                            </m:r>
                          </m:e>
                          <m:sub>
                            <m:r>
                              <m:t>s</m:t>
                            </m:r>
                          </m:sub>
                        </m:sSub>
                      </m:e>
                    </m:d>
                    <m:r>
                      <m:rPr>
                        <m:sty m:val="p"/>
                      </m:rPr>
                      <m:t>⋅</m:t>
                    </m:r>
                    <m:r>
                      <m:t>P</m:t>
                    </m:r>
                    <m:d>
                      <m:dPr>
                        <m:begChr m:val="("/>
                        <m:endChr m:val=")"/>
                        <m:sepChr m:val=""/>
                        <m:grow/>
                      </m:dPr>
                      <m:e>
                        <m:sSub>
                          <m:e>
                            <m:r>
                              <m:t>ψ</m:t>
                            </m:r>
                          </m:e>
                          <m:sub>
                            <m:r>
                              <m:t>s</m:t>
                            </m:r>
                          </m:sub>
                        </m:sSub>
                      </m:e>
                    </m:d>
                    <m:r>
                      <m:rPr>
                        <m:sty m:val="p"/>
                      </m:rPr>
                      <m:t>⋅</m:t>
                    </m:r>
                    <m:r>
                      <m:t>P</m:t>
                    </m:r>
                    <m:d>
                      <m:dPr>
                        <m:begChr m:val="("/>
                        <m:endChr m:val=")"/>
                        <m:sepChr m:val=""/>
                        <m:grow/>
                      </m:dPr>
                      <m:e>
                        <m:r>
                          <m:rPr>
                            <m:nor/>
                            <m:sty m:val="p"/>
                          </m:rPr>
                          <m:t>v</m:t>
                        </m:r>
                        <m:r>
                          <m:rPr>
                            <m:sty m:val="p"/>
                          </m:rPr>
                          <m:t>=</m:t>
                        </m:r>
                        <m:r>
                          <m:t>1</m:t>
                        </m:r>
                      </m:e>
                    </m:d>
                  </m:e>
                </m:d>
              </m:e>
            </m:mr>
            <m:mr>
              <m:e>
                <m:sSub>
                  <m:e>
                    <m:acc>
                      <m:accPr>
                        <m:chr m:val="̂"/>
                      </m:accPr>
                      <m:e>
                        <m:r>
                          <m:t>ψ</m:t>
                        </m:r>
                      </m:e>
                    </m:acc>
                  </m:e>
                  <m:sub>
                    <m:r>
                      <m:t>s</m:t>
                    </m:r>
                    <m:r>
                      <m:rPr>
                        <m:sty m:val="p"/>
                      </m:rPr>
                      <m:t>,</m:t>
                    </m:r>
                    <m:r>
                      <m:rPr>
                        <m:nor/>
                        <m:sty m:val="p"/>
                      </m:rPr>
                      <m:t>v=2</m:t>
                    </m:r>
                  </m:sub>
                </m:sSub>
                <m:box>
                  <m:boxPr>
                    <m:opEmu m:val="on"/>
                  </m:boxPr>
                  <m:e>
                    <m:r>
                      <m:rPr>
                        <m:sty m:val="p"/>
                      </m:rPr>
                      <m:t>:=</m:t>
                    </m:r>
                  </m:e>
                </m:box>
                <m:limLow>
                  <m:e>
                    <m:r>
                      <m:rPr>
                        <m:sty m:val="p"/>
                      </m:rPr>
                      <m:t>arg</m:t>
                    </m:r>
                    <m:r>
                      <m:rPr>
                        <m:sty m:val="p"/>
                      </m:rPr>
                      <m:t>max</m:t>
                    </m:r>
                  </m:e>
                  <m:lim>
                    <m:sSub>
                      <m:e>
                        <m:r>
                          <m:t>ψ</m:t>
                        </m:r>
                      </m:e>
                      <m:sub>
                        <m:r>
                          <m:t>s</m:t>
                        </m:r>
                      </m:sub>
                    </m:sSub>
                  </m:lim>
                </m:limLow>
                <m:d>
                  <m:dPr>
                    <m:begChr m:val="["/>
                    <m:endChr m:val="]"/>
                    <m:sepChr m:val=""/>
                    <m:grow/>
                  </m:dPr>
                  <m:e>
                    <m:r>
                      <m:t>P</m:t>
                    </m:r>
                    <m:d>
                      <m:dPr>
                        <m:begChr m:val="("/>
                        <m:endChr m:val=")"/>
                        <m:sepChr m:val=""/>
                        <m:grow/>
                      </m:dPr>
                      <m:e>
                        <m:acc>
                          <m:accPr>
                            <m:chr m:val="⃗"/>
                          </m:accPr>
                          <m:e>
                            <m:r>
                              <m:t>G</m:t>
                            </m:r>
                          </m:e>
                        </m:acc>
                        <m:r>
                          <m:rPr>
                            <m:sty m:val="p"/>
                          </m:rPr>
                          <m:t>|</m:t>
                        </m:r>
                        <m:r>
                          <m:rPr>
                            <m:nor/>
                            <m:sty m:val="p"/>
                          </m:rPr>
                          <m:t>v=2</m:t>
                        </m:r>
                        <m:r>
                          <m:rPr>
                            <m:sty m:val="p"/>
                          </m:rPr>
                          <m:t>,</m:t>
                        </m:r>
                        <m:sSub>
                          <m:e>
                            <m:r>
                              <m:t>ψ</m:t>
                            </m:r>
                          </m:e>
                          <m:sub>
                            <m:r>
                              <m:t>s</m:t>
                            </m:r>
                          </m:sub>
                        </m:sSub>
                      </m:e>
                    </m:d>
                    <m:r>
                      <m:rPr>
                        <m:sty m:val="p"/>
                      </m:rPr>
                      <m:t>⋅</m:t>
                    </m:r>
                    <m:r>
                      <m:t>P</m:t>
                    </m:r>
                    <m:d>
                      <m:dPr>
                        <m:begChr m:val="("/>
                        <m:endChr m:val=")"/>
                        <m:sepChr m:val=""/>
                        <m:grow/>
                      </m:dPr>
                      <m:e>
                        <m:sSub>
                          <m:e>
                            <m:r>
                              <m:t>ψ</m:t>
                            </m:r>
                          </m:e>
                          <m:sub>
                            <m:r>
                              <m:t>s</m:t>
                            </m:r>
                          </m:sub>
                        </m:sSub>
                      </m:e>
                    </m:d>
                    <m:r>
                      <m:rPr>
                        <m:sty m:val="p"/>
                      </m:rPr>
                      <m:t>⋅</m:t>
                    </m:r>
                    <m:r>
                      <m:t>P</m:t>
                    </m:r>
                    <m:d>
                      <m:dPr>
                        <m:begChr m:val="("/>
                        <m:endChr m:val=")"/>
                        <m:sepChr m:val=""/>
                        <m:grow/>
                      </m:dPr>
                      <m:e>
                        <m:r>
                          <m:rPr>
                            <m:nor/>
                            <m:sty m:val="p"/>
                          </m:rPr>
                          <m:t>v</m:t>
                        </m:r>
                        <m:r>
                          <m:rPr>
                            <m:sty m:val="p"/>
                          </m:rPr>
                          <m:t>=</m:t>
                        </m:r>
                        <m:r>
                          <m:t>2</m:t>
                        </m:r>
                      </m:e>
                    </m:d>
                  </m:e>
                </m:d>
              </m:e>
            </m:mr>
            <m:mr>
              <m:e>
                <m:r>
                  <m:rPr>
                    <m:sty m:val="p"/>
                  </m:rPr>
                  <m:t>⋮</m:t>
                </m:r>
              </m:e>
            </m:mr>
            <m:mr>
              <m:e>
                <m:sSub>
                  <m:e>
                    <m:acc>
                      <m:accPr>
                        <m:chr m:val="̂"/>
                      </m:accPr>
                      <m:e>
                        <m:r>
                          <m:t>ψ</m:t>
                        </m:r>
                      </m:e>
                    </m:acc>
                  </m:e>
                  <m:sub>
                    <m:r>
                      <m:t>s</m:t>
                    </m:r>
                    <m:r>
                      <m:rPr>
                        <m:sty m:val="p"/>
                      </m:rPr>
                      <m:t>,</m:t>
                    </m:r>
                    <m:r>
                      <m:rPr>
                        <m:nor/>
                        <m:sty m:val="p"/>
                      </m:rPr>
                      <m:t>v=V</m:t>
                    </m:r>
                  </m:sub>
                </m:sSub>
                <m:box>
                  <m:boxPr>
                    <m:opEmu m:val="on"/>
                  </m:boxPr>
                  <m:e>
                    <m:r>
                      <m:rPr>
                        <m:sty m:val="p"/>
                      </m:rPr>
                      <m:t>:=</m:t>
                    </m:r>
                  </m:e>
                </m:box>
                <m:limLow>
                  <m:e>
                    <m:r>
                      <m:rPr>
                        <m:sty m:val="p"/>
                      </m:rPr>
                      <m:t>arg</m:t>
                    </m:r>
                    <m:r>
                      <m:rPr>
                        <m:sty m:val="p"/>
                      </m:rPr>
                      <m:t>max</m:t>
                    </m:r>
                  </m:e>
                  <m:lim>
                    <m:sSub>
                      <m:e>
                        <m:r>
                          <m:t>ψ</m:t>
                        </m:r>
                      </m:e>
                      <m:sub>
                        <m:r>
                          <m:t>s</m:t>
                        </m:r>
                      </m:sub>
                    </m:sSub>
                  </m:lim>
                </m:limLow>
                <m:d>
                  <m:dPr>
                    <m:begChr m:val="["/>
                    <m:endChr m:val="]"/>
                    <m:sepChr m:val=""/>
                    <m:grow/>
                  </m:dPr>
                  <m:e>
                    <m:r>
                      <m:t>P</m:t>
                    </m:r>
                    <m:d>
                      <m:dPr>
                        <m:begChr m:val="("/>
                        <m:endChr m:val=")"/>
                        <m:sepChr m:val=""/>
                        <m:grow/>
                      </m:dPr>
                      <m:e>
                        <m:acc>
                          <m:accPr>
                            <m:chr m:val="⃗"/>
                          </m:accPr>
                          <m:e>
                            <m:r>
                              <m:t>G</m:t>
                            </m:r>
                          </m:e>
                        </m:acc>
                        <m:r>
                          <m:rPr>
                            <m:sty m:val="p"/>
                          </m:rPr>
                          <m:t>|</m:t>
                        </m:r>
                        <m:r>
                          <m:rPr>
                            <m:nor/>
                            <m:sty m:val="p"/>
                          </m:rPr>
                          <m:t>v=V</m:t>
                        </m:r>
                        <m:r>
                          <m:rPr>
                            <m:sty m:val="p"/>
                          </m:rPr>
                          <m:t>,</m:t>
                        </m:r>
                        <m:sSub>
                          <m:e>
                            <m:r>
                              <m:t>ψ</m:t>
                            </m:r>
                          </m:e>
                          <m:sub>
                            <m:r>
                              <m:t>s</m:t>
                            </m:r>
                          </m:sub>
                        </m:sSub>
                      </m:e>
                    </m:d>
                    <m:r>
                      <m:rPr>
                        <m:sty m:val="p"/>
                      </m:rPr>
                      <m:t>⋅</m:t>
                    </m:r>
                    <m:r>
                      <m:t>P</m:t>
                    </m:r>
                    <m:d>
                      <m:dPr>
                        <m:begChr m:val="("/>
                        <m:endChr m:val=")"/>
                        <m:sepChr m:val=""/>
                        <m:grow/>
                      </m:dPr>
                      <m:e>
                        <m:sSub>
                          <m:e>
                            <m:r>
                              <m:t>ψ</m:t>
                            </m:r>
                          </m:e>
                          <m:sub>
                            <m:r>
                              <m:t>s</m:t>
                            </m:r>
                          </m:sub>
                        </m:sSub>
                      </m:e>
                    </m:d>
                    <m:r>
                      <m:rPr>
                        <m:sty m:val="p"/>
                      </m:rPr>
                      <m:t>⋅</m:t>
                    </m:r>
                    <m:r>
                      <m:t>P</m:t>
                    </m:r>
                    <m:d>
                      <m:dPr>
                        <m:begChr m:val="("/>
                        <m:endChr m:val=")"/>
                        <m:sepChr m:val=""/>
                        <m:grow/>
                      </m:dPr>
                      <m:e>
                        <m:r>
                          <m:rPr>
                            <m:nor/>
                            <m:sty m:val="p"/>
                          </m:rPr>
                          <m:t>v</m:t>
                        </m:r>
                        <m:r>
                          <m:rPr>
                            <m:sty m:val="p"/>
                          </m:rPr>
                          <m:t>=</m:t>
                        </m:r>
                        <m:r>
                          <m:t>V</m:t>
                        </m:r>
                      </m:e>
                    </m:d>
                  </m:e>
                </m:d>
              </m:e>
            </m:mr>
          </m:m>
          <m:r>
            <m:t>  </m:t>
          </m:r>
          <m:d>
            <m:dPr>
              <m:begChr m:val="("/>
              <m:endChr m:val=")"/>
              <m:sepChr m:val=""/>
              <m:grow/>
            </m:dPr>
            <m:e>
              <m:r>
                <m:t>8</m:t>
              </m:r>
            </m:e>
          </m:d>
        </m:oMath>
      </m:oMathPara>
      <w:bookmarkEnd w:id="36"/>
    </w:p>
    <w:p>
      <w:pPr>
        <w:pStyle w:val="FirstParagraph"/>
      </w:pPr>
      <w:r>
        <w:t xml:space="preserve">Nearey and Assmann (2007)</w:t>
      </w:r>
      <w:r>
        <w:t xml:space="preserve"> </w:t>
      </w:r>
      <w:r>
        <w:t xml:space="preserve">use the best</w:t>
      </w:r>
      <w:r>
        <w:t xml:space="preserve"> </w:t>
      </w:r>
      <m:oMath>
        <m:sSub>
          <m:e>
            <m:acc>
              <m:accPr>
                <m:chr m:val="̂"/>
              </m:accPr>
              <m:e>
                <m:r>
                  <m:t>ψ</m:t>
                </m:r>
              </m:e>
            </m:acc>
          </m:e>
          <m:sub>
            <m:r>
              <m:t>s</m:t>
            </m:r>
            <m:r>
              <m:rPr>
                <m:sty m:val="p"/>
              </m:rPr>
              <m:t>,</m:t>
            </m:r>
            <m:r>
              <m:rPr>
                <m:nor/>
                <m:sty m:val="p"/>
              </m:rPr>
              <m:t>v</m:t>
            </m:r>
          </m:sub>
        </m:sSub>
      </m:oMath>
      <w:r>
        <w:t xml:space="preserve"> </w:t>
      </w:r>
      <w:r>
        <w:t xml:space="preserve">for each vowel to calculate the posterior probability of each category given the formant input, as in</w:t>
      </w:r>
      <w:r>
        <w:t xml:space="preserve"> </w:t>
      </w:r>
      <w:hyperlink w:anchor="eq-posterior-vowel">
        <w:r>
          <w:rPr>
            <w:rStyle w:val="Hyperlink"/>
          </w:rPr>
          <w:t xml:space="preserve">Equation 9</w:t>
        </w:r>
      </w:hyperlink>
      <w:r>
        <w:t xml:space="preserve">. Note that this is an update of</w:t>
      </w:r>
      <w:r>
        <w:t xml:space="preserve"> </w:t>
      </w:r>
      <w:hyperlink w:anchor="eq-e10">
        <w:r>
          <w:rPr>
            <w:rStyle w:val="Hyperlink"/>
          </w:rPr>
          <w:t xml:space="preserve">Equation 5</w:t>
        </w:r>
      </w:hyperlink>
      <w:r>
        <w:t xml:space="preserve"> </w:t>
      </w:r>
      <w:r>
        <w:t xml:space="preserve">using vowel-specific estimates of</w:t>
      </w:r>
      <w:r>
        <w:t xml:space="preserve"> </w:t>
      </w:r>
      <m:oMath>
        <m:sSub>
          <m:e>
            <m:r>
              <m:t>ψ</m:t>
            </m:r>
          </m:e>
          <m:sub>
            <m:r>
              <m:t>s</m:t>
            </m:r>
          </m:sub>
        </m:sSub>
      </m:oMath>
      <w:r>
        <w:t xml:space="preserve">, and the prior probability of that estimate.</w:t>
      </w:r>
    </w:p>
    <w:p>
      <w:pPr>
        <w:pStyle w:val="BodyText"/>
      </w:pPr>
      <w:bookmarkStart w:id="37" w:name="eq-posterior-vowel"/>
      <m:oMathPara>
        <m:oMathParaPr>
          <m:jc m:val="center"/>
        </m:oMathParaPr>
        <m:oMath>
          <m:r>
            <m:t>P</m:t>
          </m:r>
          <m:d>
            <m:dPr>
              <m:begChr m:val="("/>
              <m:endChr m:val=")"/>
              <m:sepChr m:val=""/>
              <m:grow/>
            </m:dPr>
            <m:e>
              <m:sSub>
                <m:e>
                  <m:r>
                    <m:rPr>
                      <m:nor/>
                      <m:sty m:val="p"/>
                    </m:rPr>
                    <m:t>v</m:t>
                  </m:r>
                </m:e>
                <m:sub>
                  <m:r>
                    <m:t>j</m:t>
                  </m:r>
                </m:sub>
              </m:sSub>
              <m:r>
                <m:rPr>
                  <m:sty m:val="p"/>
                </m:rPr>
                <m:t>|</m:t>
              </m:r>
              <m:acc>
                <m:accPr>
                  <m:chr m:val="⃗"/>
                </m:accPr>
                <m:e>
                  <m:r>
                    <m:t>G</m:t>
                  </m:r>
                </m:e>
              </m:acc>
              <m:r>
                <m:rPr>
                  <m:sty m:val="p"/>
                </m:rPr>
                <m:t>,</m:t>
              </m:r>
              <m:sSub>
                <m:e>
                  <m:acc>
                    <m:accPr>
                      <m:chr m:val="̂"/>
                    </m:accPr>
                    <m:e>
                      <m:r>
                        <m:t>ψ</m:t>
                      </m:r>
                    </m:e>
                  </m:acc>
                </m:e>
                <m:sub>
                  <m:r>
                    <m:t>s</m:t>
                  </m:r>
                  <m:r>
                    <m:rPr>
                      <m:sty m:val="p"/>
                    </m:rPr>
                    <m:t>,</m:t>
                  </m:r>
                  <m:r>
                    <m:rPr>
                      <m:nor/>
                      <m:sty m:val="p"/>
                    </m:rPr>
                    <m:t>v</m:t>
                  </m:r>
                  <m:r>
                    <m:rPr>
                      <m:sty m:val="p"/>
                    </m:rPr>
                    <m:t>=</m:t>
                  </m:r>
                  <m:r>
                    <m:t>j</m:t>
                  </m:r>
                </m:sub>
              </m:sSub>
            </m:e>
          </m:d>
          <m:r>
            <m:rPr>
              <m:sty m:val="p"/>
            </m:rPr>
            <m:t>=</m:t>
          </m:r>
          <m:f>
            <m:fPr>
              <m:type m:val="bar"/>
            </m:fPr>
            <m:num>
              <m:r>
                <m:t>P</m:t>
              </m:r>
              <m:d>
                <m:dPr>
                  <m:begChr m:val="("/>
                  <m:endChr m:val=")"/>
                  <m:sepChr m:val=""/>
                  <m:grow/>
                </m:dPr>
                <m:e>
                  <m:acc>
                    <m:accPr>
                      <m:chr m:val="⃗"/>
                    </m:accPr>
                    <m:e>
                      <m:r>
                        <m:t>G</m:t>
                      </m:r>
                    </m:e>
                  </m:acc>
                  <m:r>
                    <m:rPr>
                      <m:sty m:val="p"/>
                    </m:rPr>
                    <m:t>|</m:t>
                  </m:r>
                  <m:sSub>
                    <m:e>
                      <m:r>
                        <m:rPr>
                          <m:nor/>
                          <m:sty m:val="p"/>
                        </m:rPr>
                        <m:t>v</m:t>
                      </m:r>
                    </m:e>
                    <m:sub>
                      <m:r>
                        <m:t>j</m:t>
                      </m:r>
                    </m:sub>
                  </m:sSub>
                  <m:r>
                    <m:rPr>
                      <m:sty m:val="p"/>
                    </m:rPr>
                    <m:t>,</m:t>
                  </m:r>
                  <m:sSub>
                    <m:e>
                      <m:acc>
                        <m:accPr>
                          <m:chr m:val="̂"/>
                        </m:accPr>
                        <m:e>
                          <m:r>
                            <m:t>ψ</m:t>
                          </m:r>
                        </m:e>
                      </m:acc>
                    </m:e>
                    <m:sub>
                      <m:r>
                        <m:t>s</m:t>
                      </m:r>
                      <m:r>
                        <m:rPr>
                          <m:sty m:val="p"/>
                        </m:rPr>
                        <m:t>,</m:t>
                      </m:r>
                      <m:r>
                        <m:rPr>
                          <m:nor/>
                          <m:sty m:val="p"/>
                        </m:rPr>
                        <m:t>v</m:t>
                      </m:r>
                      <m:r>
                        <m:rPr>
                          <m:sty m:val="p"/>
                        </m:rPr>
                        <m:t>=</m:t>
                      </m:r>
                      <m:r>
                        <m:t>j</m:t>
                      </m:r>
                    </m:sub>
                  </m:sSub>
                </m:e>
              </m:d>
              <m:r>
                <m:rPr>
                  <m:sty m:val="p"/>
                </m:rPr>
                <m:t>⋅</m:t>
              </m:r>
              <m:r>
                <m:t>P</m:t>
              </m:r>
              <m:d>
                <m:dPr>
                  <m:begChr m:val="("/>
                  <m:endChr m:val=")"/>
                  <m:sepChr m:val=""/>
                  <m:grow/>
                </m:dPr>
                <m:e>
                  <m:sSub>
                    <m:e>
                      <m:r>
                        <m:t>ψ</m:t>
                      </m:r>
                    </m:e>
                    <m:sub>
                      <m:r>
                        <m:t>s</m:t>
                      </m:r>
                    </m:sub>
                  </m:sSub>
                  <m:r>
                    <m:rPr>
                      <m:sty m:val="p"/>
                    </m:rPr>
                    <m:t>=</m:t>
                  </m:r>
                  <m:sSub>
                    <m:e>
                      <m:acc>
                        <m:accPr>
                          <m:chr m:val="̂"/>
                        </m:accPr>
                        <m:e>
                          <m:r>
                            <m:t>ψ</m:t>
                          </m:r>
                        </m:e>
                      </m:acc>
                    </m:e>
                    <m:sub>
                      <m:r>
                        <m:t>s</m:t>
                      </m:r>
                      <m:r>
                        <m:rPr>
                          <m:sty m:val="p"/>
                        </m:rPr>
                        <m:t>,</m:t>
                      </m:r>
                      <m:r>
                        <m:rPr>
                          <m:nor/>
                          <m:sty m:val="p"/>
                        </m:rPr>
                        <m:t>v</m:t>
                      </m:r>
                      <m:r>
                        <m:rPr>
                          <m:sty m:val="p"/>
                        </m:rPr>
                        <m:t>=</m:t>
                      </m:r>
                      <m:r>
                        <m:t>j</m:t>
                      </m:r>
                    </m:sub>
                  </m:sSub>
                </m:e>
              </m:d>
              <m:r>
                <m:rPr>
                  <m:sty m:val="p"/>
                </m:rPr>
                <m:t>⋅</m:t>
              </m:r>
              <m:r>
                <m:t>P</m:t>
              </m:r>
              <m:d>
                <m:dPr>
                  <m:begChr m:val="("/>
                  <m:endChr m:val=")"/>
                  <m:sepChr m:val=""/>
                  <m:grow/>
                </m:dPr>
                <m:e>
                  <m:sSub>
                    <m:e>
                      <m:r>
                        <m:rPr>
                          <m:nor/>
                          <m:sty m:val="p"/>
                        </m:rPr>
                        <m:t>v</m:t>
                      </m:r>
                    </m:e>
                    <m:sub>
                      <m:r>
                        <m:t>j</m:t>
                      </m:r>
                    </m:sub>
                  </m:sSub>
                </m:e>
              </m:d>
            </m:num>
            <m:den>
              <m:nary>
                <m:naryPr>
                  <m:chr m:val="∑"/>
                  <m:limLoc m:val="undOvr"/>
                  <m:subHide m:val="off"/>
                  <m:supHide m:val="off"/>
                </m:naryPr>
                <m:sub>
                  <m:r>
                    <m:t>i</m:t>
                  </m:r>
                  <m:r>
                    <m:rPr>
                      <m:sty m:val="p"/>
                    </m:rPr>
                    <m:t>=</m:t>
                  </m:r>
                  <m:r>
                    <m:t>1</m:t>
                  </m:r>
                </m:sub>
                <m:sup>
                  <m:r>
                    <m:t>V</m:t>
                  </m:r>
                </m:sup>
                <m:e>
                  <m:r>
                    <m:t>P</m:t>
                  </m:r>
                </m:e>
              </m:nary>
              <m:d>
                <m:dPr>
                  <m:begChr m:val="("/>
                  <m:endChr m:val=")"/>
                  <m:sepChr m:val=""/>
                  <m:grow/>
                </m:dPr>
                <m:e>
                  <m:acc>
                    <m:accPr>
                      <m:chr m:val="⃗"/>
                    </m:accPr>
                    <m:e>
                      <m:r>
                        <m:t>G</m:t>
                      </m:r>
                    </m:e>
                  </m:acc>
                  <m:r>
                    <m:rPr>
                      <m:sty m:val="p"/>
                    </m:rPr>
                    <m:t>|</m:t>
                  </m:r>
                  <m:sSub>
                    <m:e>
                      <m:r>
                        <m:rPr>
                          <m:nor/>
                          <m:sty m:val="p"/>
                        </m:rPr>
                        <m:t>v</m:t>
                      </m:r>
                    </m:e>
                    <m:sub>
                      <m:r>
                        <m:t>i</m:t>
                      </m:r>
                    </m:sub>
                  </m:sSub>
                  <m:r>
                    <m:rPr>
                      <m:sty m:val="p"/>
                    </m:rPr>
                    <m:t>,</m:t>
                  </m:r>
                  <m:sSub>
                    <m:e>
                      <m:acc>
                        <m:accPr>
                          <m:chr m:val="̂"/>
                        </m:accPr>
                        <m:e>
                          <m:r>
                            <m:t>ψ</m:t>
                          </m:r>
                        </m:e>
                      </m:acc>
                    </m:e>
                    <m:sub>
                      <m:r>
                        <m:t>s</m:t>
                      </m:r>
                      <m:r>
                        <m:rPr>
                          <m:sty m:val="p"/>
                        </m:rPr>
                        <m:t>,</m:t>
                      </m:r>
                      <m:r>
                        <m:rPr>
                          <m:nor/>
                          <m:sty m:val="p"/>
                        </m:rPr>
                        <m:t>v</m:t>
                      </m:r>
                      <m:r>
                        <m:rPr>
                          <m:sty m:val="p"/>
                        </m:rPr>
                        <m:t>=</m:t>
                      </m:r>
                      <m:r>
                        <m:t>i</m:t>
                      </m:r>
                    </m:sub>
                  </m:sSub>
                </m:e>
              </m:d>
              <m:r>
                <m:rPr>
                  <m:sty m:val="p"/>
                </m:rPr>
                <m:t>⋅</m:t>
              </m:r>
              <m:r>
                <m:t>P</m:t>
              </m:r>
              <m:d>
                <m:dPr>
                  <m:begChr m:val="("/>
                  <m:endChr m:val=")"/>
                  <m:sepChr m:val=""/>
                  <m:grow/>
                </m:dPr>
                <m:e>
                  <m:sSub>
                    <m:e>
                      <m:r>
                        <m:t>ψ</m:t>
                      </m:r>
                    </m:e>
                    <m:sub>
                      <m:r>
                        <m:t>s</m:t>
                      </m:r>
                    </m:sub>
                  </m:sSub>
                  <m:r>
                    <m:rPr>
                      <m:sty m:val="p"/>
                    </m:rPr>
                    <m:t>=</m:t>
                  </m:r>
                  <m:sSub>
                    <m:e>
                      <m:acc>
                        <m:accPr>
                          <m:chr m:val="̂"/>
                        </m:accPr>
                        <m:e>
                          <m:r>
                            <m:t>ψ</m:t>
                          </m:r>
                        </m:e>
                      </m:acc>
                    </m:e>
                    <m:sub>
                      <m:r>
                        <m:t>s</m:t>
                      </m:r>
                      <m:r>
                        <m:rPr>
                          <m:sty m:val="p"/>
                        </m:rPr>
                        <m:t>,</m:t>
                      </m:r>
                      <m:r>
                        <m:rPr>
                          <m:nor/>
                          <m:sty m:val="p"/>
                        </m:rPr>
                        <m:t>v</m:t>
                      </m:r>
                      <m:r>
                        <m:rPr>
                          <m:sty m:val="p"/>
                        </m:rPr>
                        <m:t>=</m:t>
                      </m:r>
                      <m:r>
                        <m:t>i</m:t>
                      </m:r>
                    </m:sub>
                  </m:sSub>
                </m:e>
              </m:d>
              <m:r>
                <m:rPr>
                  <m:sty m:val="p"/>
                </m:rPr>
                <m:t>⋅</m:t>
              </m:r>
              <m:r>
                <m:t>P</m:t>
              </m:r>
              <m:d>
                <m:dPr>
                  <m:begChr m:val="("/>
                  <m:endChr m:val=")"/>
                  <m:sepChr m:val=""/>
                  <m:grow/>
                </m:dPr>
                <m:e>
                  <m:sSub>
                    <m:e>
                      <m:r>
                        <m:rPr>
                          <m:nor/>
                          <m:sty m:val="p"/>
                        </m:rPr>
                        <m:t>v</m:t>
                      </m:r>
                    </m:e>
                    <m:sub>
                      <m:r>
                        <m:t>i</m:t>
                      </m:r>
                    </m:sub>
                  </m:sSub>
                </m:e>
              </m:d>
            </m:den>
          </m:f>
          <m:r>
            <m:t>  </m:t>
          </m:r>
          <m:d>
            <m:dPr>
              <m:begChr m:val="("/>
              <m:endChr m:val=")"/>
              <m:sepChr m:val=""/>
              <m:grow/>
            </m:dPr>
            <m:e>
              <m:r>
                <m:t>9</m:t>
              </m:r>
            </m:e>
          </m:d>
        </m:oMath>
      </m:oMathPara>
      <w:bookmarkEnd w:id="37"/>
    </w:p>
    <w:p>
      <w:pPr>
        <w:pStyle w:val="FirstParagraph"/>
      </w:pPr>
      <w:r>
        <w:t xml:space="preserve">These</w:t>
      </w:r>
      <w:r>
        <w:t xml:space="preserve"> </w:t>
      </w:r>
      <m:oMath>
        <m:sSub>
          <m:e>
            <m:r>
              <m:t>ψ</m:t>
            </m:r>
          </m:e>
          <m:sub>
            <m:r>
              <m:t>s</m:t>
            </m:r>
            <m:r>
              <m:rPr>
                <m:sty m:val="p"/>
              </m:rPr>
              <m:t>,</m:t>
            </m:r>
            <m:r>
              <m:rPr>
                <m:nor/>
                <m:sty m:val="p"/>
              </m:rPr>
              <m:t>v</m:t>
            </m:r>
          </m:sub>
        </m:sSub>
      </m:oMath>
      <w:r>
        <w:t xml:space="preserve"> </w:t>
      </w:r>
      <w:r>
        <w:t xml:space="preserve">are then used to categorize the formant input into a winning category,</w:t>
      </w:r>
      <w:r>
        <w:t xml:space="preserve"> </w:t>
      </w:r>
      <m:oMath>
        <m:r>
          <m:t>c</m:t>
        </m:r>
      </m:oMath>
      <w:r>
        <w:t xml:space="preserve">. Specifically, listeners are assumed to infer the</w:t>
      </w:r>
      <w:r>
        <w:t xml:space="preserve"> </w:t>
      </w:r>
      <m:oMath>
        <m:sSub>
          <m:e>
            <m:acc>
              <m:accPr>
                <m:chr m:val="̂"/>
              </m:accPr>
              <m:e>
                <m:r>
                  <m:t>ψ</m:t>
                </m:r>
              </m:e>
            </m:acc>
          </m:e>
          <m:sub>
            <m:r>
              <m:t>s</m:t>
            </m:r>
          </m:sub>
        </m:sSub>
      </m:oMath>
      <w:r>
        <w:t xml:space="preserve"> </w:t>
      </w:r>
      <w:r>
        <w:t xml:space="preserve">with the highest MAP, and to use this</w:t>
      </w:r>
      <w:r>
        <w:t xml:space="preserve"> </w:t>
      </w:r>
      <m:oMath>
        <m:sSub>
          <m:e>
            <m:acc>
              <m:accPr>
                <m:chr m:val="̂"/>
              </m:accPr>
              <m:e>
                <m:r>
                  <m:t>ψ</m:t>
                </m:r>
              </m:e>
            </m:acc>
          </m:e>
          <m:sub>
            <m:r>
              <m:t>s</m:t>
            </m:r>
          </m:sub>
        </m:sSub>
      </m:oMath>
      <w:r>
        <w:t xml:space="preserve"> </w:t>
      </w:r>
      <w:r>
        <w:t xml:space="preserve">to categorize the input as the vowel category with the maximum posterior density (</w:t>
      </w:r>
      <w:hyperlink w:anchor="eq-criterion-psi-and-vowel">
        <w:r>
          <w:rPr>
            <w:rStyle w:val="Hyperlink"/>
          </w:rPr>
          <w:t xml:space="preserve">Equation 10</w:t>
        </w:r>
      </w:hyperlink>
      <w:r>
        <w:t xml:space="preserve">). Nearey and Assmann describe this process as</w:t>
      </w:r>
      <w:r>
        <w:t xml:space="preserve"> </w:t>
      </w:r>
      <w:r>
        <w:t xml:space="preserve">“</w:t>
      </w:r>
      <w:r>
        <w:t xml:space="preserve">choose the vowel that looks best when it tries to look its best</w:t>
      </w:r>
      <w:r>
        <w:t xml:space="preserve">”</w:t>
      </w:r>
      <w:r>
        <w:t xml:space="preserve"> </w:t>
      </w:r>
      <w:r>
        <w:t xml:space="preserve">(p. 253).</w:t>
      </w:r>
    </w:p>
    <w:p>
      <w:pPr>
        <w:pStyle w:val="BodyText"/>
      </w:pPr>
      <w:bookmarkStart w:id="38" w:name="eq-criterion-psi-and-vowel"/>
      <m:oMathPara>
        <m:oMathParaPr>
          <m:jc m:val="center"/>
        </m:oMathParaPr>
        <m:oMath>
          <m:m>
            <m:mPr>
              <m:baseJc m:val="center"/>
              <m:plcHide m:val="on"/>
              <m:mcs>
                <m:mc>
                  <m:mcPr>
                    <m:mcJc m:val="right"/>
                    <m:count m:val="1"/>
                  </m:mcPr>
                </m:mc>
              </m:mcs>
            </m:mPr>
            <m:mr>
              <m:e>
                <m:sSub>
                  <m:e>
                    <m:acc>
                      <m:accPr>
                        <m:chr m:val="̂"/>
                      </m:accPr>
                      <m:e>
                        <m:r>
                          <m:t>ψ</m:t>
                        </m:r>
                      </m:e>
                    </m:acc>
                  </m:e>
                  <m:sub>
                    <m:r>
                      <m:t>s</m:t>
                    </m:r>
                  </m:sub>
                </m:sSub>
                <m:box>
                  <m:boxPr>
                    <m:opEmu m:val="on"/>
                  </m:boxPr>
                  <m:e>
                    <m:r>
                      <m:rPr>
                        <m:sty m:val="p"/>
                      </m:rPr>
                      <m:t>:=</m:t>
                    </m:r>
                  </m:e>
                </m:box>
                <m:limLow>
                  <m:e>
                    <m:r>
                      <m:rPr>
                        <m:sty m:val="p"/>
                      </m:rPr>
                      <m:t>arg</m:t>
                    </m:r>
                    <m:r>
                      <m:rPr>
                        <m:sty m:val="p"/>
                      </m:rPr>
                      <m:t>max</m:t>
                    </m:r>
                  </m:e>
                  <m:lim>
                    <m:sSub>
                      <m:e>
                        <m:r>
                          <m:t>ψ</m:t>
                        </m:r>
                      </m:e>
                      <m:sub>
                        <m:r>
                          <m:t>s</m:t>
                        </m:r>
                      </m:sub>
                    </m:sSub>
                  </m:lim>
                </m:limLow>
                <m:d>
                  <m:dPr>
                    <m:begChr m:val="["/>
                    <m:endChr m:val="]"/>
                    <m:sepChr m:val=""/>
                    <m:grow/>
                  </m:dPr>
                  <m:e>
                    <m:sSub>
                      <m:e>
                        <m:acc>
                          <m:accPr>
                            <m:chr m:val="̂"/>
                          </m:accPr>
                          <m:e>
                            <m:r>
                              <m:t>ψ</m:t>
                            </m:r>
                          </m:e>
                        </m:acc>
                      </m:e>
                      <m:sub>
                        <m:r>
                          <m:t>s</m:t>
                        </m:r>
                        <m:r>
                          <m:rPr>
                            <m:sty m:val="p"/>
                          </m:rPr>
                          <m:t>,</m:t>
                        </m:r>
                        <m:r>
                          <m:rPr>
                            <m:nor/>
                            <m:sty m:val="p"/>
                          </m:rPr>
                          <m:t>v</m:t>
                        </m:r>
                      </m:sub>
                    </m:sSub>
                  </m:e>
                </m:d>
              </m:e>
            </m:mr>
            <m:mr>
              <m:e>
                <m:r>
                  <m:t>c</m:t>
                </m:r>
                <m:box>
                  <m:boxPr>
                    <m:opEmu m:val="on"/>
                  </m:boxPr>
                  <m:e>
                    <m:r>
                      <m:rPr>
                        <m:sty m:val="p"/>
                      </m:rPr>
                      <m:t>:=</m:t>
                    </m:r>
                  </m:e>
                </m:box>
                <m:limLow>
                  <m:e>
                    <m:r>
                      <m:rPr>
                        <m:sty m:val="p"/>
                      </m:rPr>
                      <m:t>arg</m:t>
                    </m:r>
                    <m:r>
                      <m:rPr>
                        <m:sty m:val="p"/>
                      </m:rPr>
                      <m:t>max</m:t>
                    </m:r>
                  </m:e>
                  <m:lim>
                    <m:r>
                      <m:rPr>
                        <m:nor/>
                        <m:sty m:val="p"/>
                      </m:rPr>
                      <m:t>v</m:t>
                    </m:r>
                  </m:lim>
                </m:limLow>
                <m:d>
                  <m:dPr>
                    <m:begChr m:val="["/>
                    <m:endChr m:val="]"/>
                    <m:sepChr m:val=""/>
                    <m:grow/>
                  </m:dPr>
                  <m:e>
                    <m:sSub>
                      <m:e>
                        <m:acc>
                          <m:accPr>
                            <m:chr m:val="̂"/>
                          </m:accPr>
                          <m:e>
                            <m:r>
                              <m:t>ψ</m:t>
                            </m:r>
                          </m:e>
                        </m:acc>
                      </m:e>
                      <m:sub>
                        <m:r>
                          <m:t>s</m:t>
                        </m:r>
                        <m:r>
                          <m:rPr>
                            <m:sty m:val="p"/>
                          </m:rPr>
                          <m:t>,</m:t>
                        </m:r>
                        <m:r>
                          <m:rPr>
                            <m:nor/>
                            <m:sty m:val="p"/>
                          </m:rPr>
                          <m:t>v</m:t>
                        </m:r>
                      </m:sub>
                    </m:sSub>
                  </m:e>
                </m:d>
              </m:e>
            </m:mr>
          </m:m>
          <m:r>
            <m:t>  </m:t>
          </m:r>
          <m:d>
            <m:dPr>
              <m:begChr m:val="("/>
              <m:endChr m:val=")"/>
              <m:sepChr m:val=""/>
              <m:grow/>
            </m:dPr>
            <m:e>
              <m:r>
                <m:t>10</m:t>
              </m:r>
            </m:e>
          </m:d>
        </m:oMath>
      </m:oMathPara>
      <w:bookmarkEnd w:id="38"/>
    </w:p>
    <w:bookmarkEnd w:id="39"/>
    <w:bookmarkStart w:id="45" w:name="X9b746e23ddc6016eff82a2e0684fd2b0ab151a7"/>
    <w:p>
      <w:pPr>
        <w:pStyle w:val="Heading2"/>
      </w:pPr>
      <w:r>
        <w:t xml:space="preserve">4.2 Method 2: Unrestricted optimization of</w:t>
      </w:r>
      <w:r>
        <w:t xml:space="preserve"> </w:t>
      </w:r>
      <m:oMath>
        <m:sSub>
          <m:e>
            <m:r>
              <m:t>ψ</m:t>
            </m:r>
          </m:e>
          <m:sub>
            <m:r>
              <m:t>s</m:t>
            </m:r>
          </m:sub>
        </m:sSub>
      </m:oMath>
    </w:p>
    <w:p>
      <w:pPr>
        <w:pStyle w:val="FirstParagraph"/>
      </w:pPr>
      <w:r>
        <w:t xml:space="preserve">Method 2 spells out</w:t>
      </w:r>
      <w:r>
        <w:t xml:space="preserve"> </w:t>
      </w:r>
      <w:hyperlink w:anchor="eq-posterior-psi">
        <w:r>
          <w:rPr>
            <w:rStyle w:val="Hyperlink"/>
          </w:rPr>
          <w:t xml:space="preserve">Equation 7</w:t>
        </w:r>
      </w:hyperlink>
      <w:r>
        <w:t xml:space="preserve"> </w:t>
      </w:r>
      <w:r>
        <w:t xml:space="preserve">as</w:t>
      </w:r>
      <w:r>
        <w:t xml:space="preserve"> </w:t>
      </w:r>
      <w:hyperlink w:anchor="eq-method2">
        <w:r>
          <w:rPr>
            <w:rStyle w:val="Hyperlink"/>
          </w:rPr>
          <w:t xml:space="preserve">Equation 11</w:t>
        </w:r>
      </w:hyperlink>
      <w:r>
        <w:t xml:space="preserve">, assuming that listeners’ prior expectations about</w:t>
      </w:r>
      <w:r>
        <w:t xml:space="preserve"> </w:t>
      </w:r>
      <m:oMath>
        <m:sSub>
          <m:e>
            <m:r>
              <m:t>ψ</m:t>
            </m:r>
          </m:e>
          <m:sub>
            <m:r>
              <m:t>s</m:t>
            </m:r>
          </m:sub>
        </m:sSub>
      </m:oMath>
      <w:r>
        <w:t xml:space="preserve"> </w:t>
      </w:r>
      <w:r>
        <w:t xml:space="preserve">correspond to a uniform distribution (</w:t>
      </w:r>
      <m:oMath>
        <m:r>
          <m:rPr>
            <m:nor/>
            <m:sty m:val="p"/>
          </m:rPr>
          <m:t>U</m:t>
        </m:r>
      </m:oMath>
      <w:r>
        <w:t xml:space="preserve">) such that any value of</w:t>
      </w:r>
      <w:r>
        <w:t xml:space="preserve"> </w:t>
      </w:r>
      <m:oMath>
        <m:sSub>
          <m:e>
            <m:r>
              <m:t>ψ</m:t>
            </m:r>
          </m:e>
          <m:sub>
            <m:r>
              <m:t>s</m:t>
            </m:r>
          </m:sub>
        </m:sSub>
      </m:oMath>
      <w:r>
        <w:t xml:space="preserve"> </w:t>
      </w:r>
      <w:r>
        <w:t xml:space="preserve">is equally plausible.</w:t>
      </w:r>
    </w:p>
    <w:p>
      <w:pPr>
        <w:pStyle w:val="BodyText"/>
      </w:pPr>
      <w:bookmarkStart w:id="40" w:name="eq-method2"/>
      <m:oMathPara>
        <m:oMathParaPr>
          <m:jc m:val="center"/>
        </m:oMathParaPr>
        <m:oMath>
          <m:m>
            <m:mPr>
              <m:baseJc m:val="center"/>
              <m:plcHide m:val="on"/>
              <m:mcs>
                <m:mc>
                  <m:mcPr>
                    <m:mcJc m:val="right"/>
                    <m:count m:val="1"/>
                  </m:mcPr>
                </m:mc>
                <m:mc>
                  <m:mcPr>
                    <m:mcJc m:val="left"/>
                    <m:count m:val="1"/>
                  </m:mcPr>
                </m:mc>
              </m:mcs>
            </m:mPr>
            <m:mr>
              <m:e>
                <m:sSub>
                  <m:e>
                    <m:acc>
                      <m:accPr>
                        <m:chr m:val="̂"/>
                      </m:accPr>
                      <m:e>
                        <m:r>
                          <m:t>ψ</m:t>
                        </m:r>
                      </m:e>
                    </m:acc>
                  </m:e>
                  <m:sub>
                    <m:r>
                      <m:t>s</m:t>
                    </m:r>
                    <m:r>
                      <m:rPr>
                        <m:sty m:val="p"/>
                      </m:rPr>
                      <m:t>,</m:t>
                    </m:r>
                    <m:r>
                      <m:rPr>
                        <m:nor/>
                        <m:sty m:val="p"/>
                      </m:rPr>
                      <m:t>v</m:t>
                    </m:r>
                  </m:sub>
                </m:sSub>
              </m:e>
              <m:e>
                <m:box>
                  <m:boxPr>
                    <m:opEmu m:val="on"/>
                  </m:boxPr>
                  <m:e>
                    <m:r>
                      <m:rPr>
                        <m:sty m:val="p"/>
                      </m:rPr>
                      <m:t>:=</m:t>
                    </m:r>
                  </m:e>
                </m:box>
                <m:limLow>
                  <m:e>
                    <m:r>
                      <m:rPr>
                        <m:sty m:val="p"/>
                      </m:rPr>
                      <m:t>arg</m:t>
                    </m:r>
                    <m:r>
                      <m:rPr>
                        <m:sty m:val="p"/>
                      </m:rPr>
                      <m:t>max</m:t>
                    </m:r>
                  </m:e>
                  <m:lim>
                    <m:sSub>
                      <m:e>
                        <m:r>
                          <m:t>ψ</m:t>
                        </m:r>
                      </m:e>
                      <m:sub>
                        <m:r>
                          <m:t>s</m:t>
                        </m:r>
                      </m:sub>
                    </m:sSub>
                  </m:lim>
                </m:limLow>
                <m:d>
                  <m:dPr>
                    <m:begChr m:val="["/>
                    <m:endChr m:val="]"/>
                    <m:sepChr m:val=""/>
                    <m:grow/>
                  </m:dPr>
                  <m:e>
                    <m:r>
                      <m:t>P</m:t>
                    </m:r>
                    <m:d>
                      <m:dPr>
                        <m:begChr m:val="("/>
                        <m:endChr m:val=")"/>
                        <m:sepChr m:val=""/>
                        <m:grow/>
                      </m:dPr>
                      <m:e>
                        <m:acc>
                          <m:accPr>
                            <m:chr m:val="⃗"/>
                          </m:accPr>
                          <m:e>
                            <m:r>
                              <m:t>G</m:t>
                            </m:r>
                          </m:e>
                        </m:acc>
                        <m:r>
                          <m:rPr>
                            <m:sty m:val="p"/>
                          </m:rPr>
                          <m:t>|</m:t>
                        </m:r>
                        <m:r>
                          <m:rPr>
                            <m:nor/>
                            <m:sty m:val="p"/>
                          </m:rPr>
                          <m:t>v</m:t>
                        </m:r>
                        <m:r>
                          <m:rPr>
                            <m:sty m:val="p"/>
                          </m:rPr>
                          <m:t>,</m:t>
                        </m:r>
                        <m:sSub>
                          <m:e>
                            <m:r>
                              <m:t>ψ</m:t>
                            </m:r>
                          </m:e>
                          <m:sub>
                            <m:r>
                              <m:t>s</m:t>
                            </m:r>
                          </m:sub>
                        </m:sSub>
                      </m:e>
                    </m:d>
                    <m:r>
                      <m:rPr>
                        <m:sty m:val="p"/>
                      </m:rPr>
                      <m:t>⋅</m:t>
                    </m:r>
                    <m:r>
                      <m:t>P</m:t>
                    </m:r>
                    <m:d>
                      <m:dPr>
                        <m:begChr m:val="("/>
                        <m:endChr m:val=")"/>
                        <m:sepChr m:val=""/>
                        <m:grow/>
                      </m:dPr>
                      <m:e>
                        <m:sSub>
                          <m:e>
                            <m:r>
                              <m:t>ψ</m:t>
                            </m:r>
                          </m:e>
                          <m:sub>
                            <m:r>
                              <m:t>s</m:t>
                            </m:r>
                          </m:sub>
                        </m:sSub>
                      </m:e>
                    </m:d>
                    <m:r>
                      <m:rPr>
                        <m:sty m:val="p"/>
                      </m:rPr>
                      <m:t>⋅</m:t>
                    </m:r>
                    <m:r>
                      <m:t>P</m:t>
                    </m:r>
                    <m:d>
                      <m:dPr>
                        <m:begChr m:val="("/>
                        <m:endChr m:val=")"/>
                        <m:sepChr m:val=""/>
                        <m:grow/>
                      </m:dPr>
                      <m:e>
                        <m:r>
                          <m:rPr>
                            <m:nor/>
                            <m:sty m:val="p"/>
                          </m:rPr>
                          <m:t>v</m:t>
                        </m:r>
                      </m:e>
                    </m:d>
                  </m:e>
                </m:d>
              </m:e>
            </m:mr>
            <m:mr>
              <m:e>
                <m:r>
                  <m:t> </m:t>
                </m:r>
              </m:e>
              <m:e>
                <m:box>
                  <m:boxPr>
                    <m:opEmu m:val="on"/>
                  </m:boxPr>
                  <m:e>
                    <m:r>
                      <m:rPr>
                        <m:sty m:val="p"/>
                      </m:rPr>
                      <m:t>:=</m:t>
                    </m:r>
                  </m:e>
                </m:box>
                <m:limLow>
                  <m:e>
                    <m:r>
                      <m:rPr>
                        <m:sty m:val="p"/>
                      </m:rPr>
                      <m:t>arg</m:t>
                    </m:r>
                    <m:r>
                      <m:rPr>
                        <m:sty m:val="p"/>
                      </m:rPr>
                      <m:t>max</m:t>
                    </m:r>
                  </m:e>
                  <m:lim>
                    <m:sSub>
                      <m:e>
                        <m:r>
                          <m:t>ψ</m:t>
                        </m:r>
                      </m:e>
                      <m:sub>
                        <m:r>
                          <m:t>s</m:t>
                        </m:r>
                      </m:sub>
                    </m:sSub>
                  </m:lim>
                </m:limLow>
                <m:d>
                  <m:dPr>
                    <m:begChr m:val="["/>
                    <m:endChr m:val="]"/>
                    <m:sepChr m:val=""/>
                    <m:grow/>
                  </m:dPr>
                  <m:e>
                    <m:r>
                      <m:t>P</m:t>
                    </m:r>
                    <m:d>
                      <m:dPr>
                        <m:begChr m:val="("/>
                        <m:endChr m:val=")"/>
                        <m:sepChr m:val=""/>
                        <m:grow/>
                      </m:dPr>
                      <m:e>
                        <m:acc>
                          <m:accPr>
                            <m:chr m:val="⃗"/>
                          </m:accPr>
                          <m:e>
                            <m:r>
                              <m:t>G</m:t>
                            </m:r>
                          </m:e>
                        </m:acc>
                        <m:r>
                          <m:rPr>
                            <m:sty m:val="p"/>
                          </m:rPr>
                          <m:t>|</m:t>
                        </m:r>
                        <m:r>
                          <m:rPr>
                            <m:nor/>
                            <m:sty m:val="p"/>
                          </m:rPr>
                          <m:t>v</m:t>
                        </m:r>
                        <m:r>
                          <m:rPr>
                            <m:sty m:val="p"/>
                          </m:rPr>
                          <m:t>,</m:t>
                        </m:r>
                        <m:sSub>
                          <m:e>
                            <m:r>
                              <m:t>ψ</m:t>
                            </m:r>
                          </m:e>
                          <m:sub>
                            <m:r>
                              <m:t>s</m:t>
                            </m:r>
                          </m:sub>
                        </m:sSub>
                      </m:e>
                    </m:d>
                    <m:r>
                      <m:rPr>
                        <m:sty m:val="p"/>
                      </m:rPr>
                      <m:t>⋅</m:t>
                    </m:r>
                    <m:r>
                      <m:rPr>
                        <m:nor/>
                        <m:sty m:val="p"/>
                      </m:rPr>
                      <m:t>U</m:t>
                    </m:r>
                    <m:d>
                      <m:dPr>
                        <m:begChr m:val="("/>
                        <m:endChr m:val=")"/>
                        <m:sepChr m:val=""/>
                        <m:grow/>
                      </m:dPr>
                      <m:e>
                        <m:sSub>
                          <m:e>
                            <m:r>
                              <m:t>ψ</m:t>
                            </m:r>
                          </m:e>
                          <m:sub>
                            <m:r>
                              <m:t>s</m:t>
                            </m:r>
                          </m:sub>
                        </m:sSub>
                      </m:e>
                    </m:d>
                    <m:r>
                      <m:rPr>
                        <m:sty m:val="p"/>
                      </m:rPr>
                      <m:t>⋅</m:t>
                    </m:r>
                    <m:r>
                      <m:t>P</m:t>
                    </m:r>
                    <m:d>
                      <m:dPr>
                        <m:begChr m:val="("/>
                        <m:endChr m:val=")"/>
                        <m:sepChr m:val=""/>
                        <m:grow/>
                      </m:dPr>
                      <m:e>
                        <m:r>
                          <m:rPr>
                            <m:nor/>
                            <m:sty m:val="p"/>
                          </m:rPr>
                          <m:t>v</m:t>
                        </m:r>
                      </m:e>
                    </m:d>
                  </m:e>
                </m:d>
              </m:e>
            </m:mr>
          </m:m>
          <m:r>
            <m:t>  </m:t>
          </m:r>
          <m:d>
            <m:dPr>
              <m:begChr m:val="("/>
              <m:endChr m:val=")"/>
              <m:sepChr m:val=""/>
              <m:grow/>
            </m:dPr>
            <m:e>
              <m:r>
                <m:t>11</m:t>
              </m:r>
            </m:e>
          </m:d>
        </m:oMath>
      </m:oMathPara>
      <w:bookmarkEnd w:id="40"/>
    </w:p>
    <w:p>
      <w:pPr>
        <w:pStyle w:val="FirstParagraph"/>
      </w:pPr>
      <w:r>
        <w:t xml:space="preserve">Using a uniform prior on</w:t>
      </w:r>
      <w:r>
        <w:t xml:space="preserve"> </w:t>
      </w:r>
      <m:oMath>
        <m:sSub>
          <m:e>
            <m:r>
              <m:t>ψ</m:t>
            </m:r>
          </m:e>
          <m:sub>
            <m:r>
              <m:t>s</m:t>
            </m:r>
          </m:sub>
        </m:sSub>
      </m:oMath>
      <w:r>
        <w:t xml:space="preserve"> </w:t>
      </w:r>
      <w:r>
        <w:t xml:space="preserve">means that our</w:t>
      </w:r>
      <w:r>
        <w:t xml:space="preserve"> </w:t>
      </w:r>
      <w:r>
        <w:t xml:space="preserve">‘</w:t>
      </w:r>
      <w:r>
        <w:t xml:space="preserve">best</w:t>
      </w:r>
      <w:r>
        <w:t xml:space="preserve">’</w:t>
      </w:r>
      <w:r>
        <w:t xml:space="preserve"> </w:t>
      </w:r>
      <w:r>
        <w:t xml:space="preserve">estimate of</w:t>
      </w:r>
      <w:r>
        <w:t xml:space="preserve"> </w:t>
      </w:r>
      <m:oMath>
        <m:sSub>
          <m:e>
            <m:r>
              <m:t>ψ</m:t>
            </m:r>
          </m:e>
          <m:sub>
            <m:r>
              <m:t>s</m:t>
            </m:r>
          </m:sub>
        </m:sSub>
      </m:oMath>
      <w:r>
        <w:t xml:space="preserve"> </w:t>
      </w:r>
      <w:r>
        <w:t xml:space="preserve">can be rather implausible, as long as it provides a good fit to one of our categories. For example,</w:t>
      </w:r>
      <w:r>
        <w:t xml:space="preserve"> </w:t>
      </w:r>
      <w:hyperlink w:anchor="fig-slidingtemplate2">
        <w:r>
          <w:rPr>
            <w:rStyle w:val="Hyperlink"/>
          </w:rPr>
          <w:t xml:space="preserve">Figure 2</w:t>
        </w:r>
      </w:hyperlink>
      <w:r>
        <w:t xml:space="preserve"> </w:t>
      </w:r>
      <w:r>
        <w:t xml:space="preserve">presents the likelihood functions</w:t>
      </w:r>
      <w:r>
        <w:t xml:space="preserve"> </w:t>
      </w:r>
      <m:oMath>
        <m:r>
          <m:t>P</m:t>
        </m:r>
        <m:d>
          <m:dPr>
            <m:begChr m:val="("/>
            <m:endChr m:val=")"/>
            <m:sepChr m:val=""/>
            <m:grow/>
          </m:dPr>
          <m:e>
            <m:sSub>
              <m:e>
                <m:acc>
                  <m:accPr>
                    <m:chr m:val="⃗"/>
                  </m:accPr>
                  <m:e>
                    <m:r>
                      <m:t>G</m:t>
                    </m:r>
                  </m:e>
                </m:acc>
              </m:e>
              <m:sub>
                <m:r>
                  <m:t>x</m:t>
                </m:r>
              </m:sub>
            </m:sSub>
            <m:r>
              <m:rPr>
                <m:sty m:val="p"/>
              </m:rPr>
              <m:t>|</m:t>
            </m:r>
            <m:sSub>
              <m:e>
                <m:r>
                  <m:rPr>
                    <m:nor/>
                    <m:sty m:val="p"/>
                  </m:rPr>
                  <m:t>v</m:t>
                </m:r>
              </m:e>
              <m:sub>
                <m:r>
                  <m:t>i</m:t>
                </m:r>
              </m:sub>
            </m:sSub>
            <m:r>
              <m:rPr>
                <m:sty m:val="p"/>
              </m:rPr>
              <m:t>,</m:t>
            </m:r>
            <m:sSub>
              <m:e>
                <m:acc>
                  <m:accPr>
                    <m:chr m:val="̂"/>
                  </m:accPr>
                  <m:e>
                    <m:r>
                      <m:t>ψ</m:t>
                    </m:r>
                  </m:e>
                </m:acc>
              </m:e>
              <m:sub>
                <m:r>
                  <m:t>s</m:t>
                </m:r>
              </m:sub>
            </m:sSub>
          </m:e>
        </m:d>
      </m:oMath>
      <w:r>
        <w:t xml:space="preserve"> </w:t>
      </w:r>
      <w:r>
        <w:t xml:space="preserve">from</w:t>
      </w:r>
      <w:r>
        <w:t xml:space="preserve"> </w:t>
      </w:r>
      <w:hyperlink w:anchor="eq-method2">
        <w:r>
          <w:rPr>
            <w:rStyle w:val="Hyperlink"/>
          </w:rPr>
          <w:t xml:space="preserve">Equation 11</w:t>
        </w:r>
      </w:hyperlink>
      <w:r>
        <w:t xml:space="preserve"> </w:t>
      </w:r>
      <w:r>
        <w:t xml:space="preserve">for four vowel hypotheses, along with different interpretations of an ambiguous vowel according the MAP estimates</w:t>
      </w:r>
      <w:r>
        <w:t xml:space="preserve"> </w:t>
      </w:r>
      <m:oMath>
        <m:sSub>
          <m:e>
            <m:acc>
              <m:accPr>
                <m:chr m:val="̂"/>
              </m:accPr>
              <m:e>
                <m:r>
                  <m:t>ψ</m:t>
                </m:r>
              </m:e>
            </m:acc>
          </m:e>
          <m:sub>
            <m:r>
              <m:t>s</m:t>
            </m:r>
            <m:r>
              <m:rPr>
                <m:sty m:val="p"/>
              </m:rPr>
              <m:t>,</m:t>
            </m:r>
            <m:r>
              <m:rPr>
                <m:nor/>
                <m:sty m:val="p"/>
              </m:rPr>
              <m:t>v</m:t>
            </m:r>
          </m:sub>
        </m:sSub>
      </m:oMath>
      <w:r>
        <w:t xml:space="preserve"> </w:t>
      </w:r>
      <w:r>
        <w:t xml:space="preserve">for the four vowels. With the uniform prior, the likelihoods and posteriors share the same relative shapes in this case. As a result, method 2 suggests that /o/, /ɑ/, and /ʌ/ are all among the probable solutions. However, some of these vowels would result in estimates of</w:t>
      </w:r>
      <w:r>
        <w:t xml:space="preserve"> </w:t>
      </w:r>
      <m:oMath>
        <m:r>
          <m:t>ψ</m:t>
        </m:r>
      </m:oMath>
      <w:r>
        <w:t xml:space="preserve"> </w:t>
      </w:r>
      <w:r>
        <w:t xml:space="preserve">that are</w:t>
      </w:r>
      <w:r>
        <w:t xml:space="preserve"> </w:t>
      </w:r>
      <w:r>
        <w:rPr>
          <w:i/>
          <w:iCs/>
        </w:rPr>
        <w:t xml:space="preserve">a priori</w:t>
      </w:r>
      <w:r>
        <w:t xml:space="preserve"> </w:t>
      </w:r>
      <w:r>
        <w:t xml:space="preserve">highly improbable (e.g., for /o/,</w:t>
      </w:r>
      <w:r>
        <w:t xml:space="preserve"> </w:t>
      </w:r>
      <m:oMath>
        <m:sSub>
          <m:e>
            <m:acc>
              <m:accPr>
                <m:chr m:val="̂"/>
              </m:accPr>
              <m:e>
                <m:r>
                  <m:t>ψ</m:t>
                </m:r>
              </m:e>
            </m:acc>
          </m:e>
          <m:sub>
            <m:r>
              <m:t>s</m:t>
            </m:r>
          </m:sub>
        </m:sSub>
        <m:r>
          <m:rPr>
            <m:sty m:val="p"/>
          </m:rPr>
          <m:t>=</m:t>
        </m:r>
        <m:r>
          <m:t>7.64</m:t>
        </m:r>
      </m:oMath>
      <w:r>
        <w:t xml:space="preserve">). Method 3 takes this into account.</w:t>
      </w:r>
    </w:p>
    <w:tbl>
      <w:tblPr>
        <w:tblStyle w:val="Table"/>
        <w:tblW w:type="pct" w:w="5000"/>
        <w:tblLayout w:type="fixed"/>
        <w:tblLook w:firstRow="0" w:lastRow="0" w:firstColumn="0" w:lastColumn="0" w:noHBand="0" w:noVBand="0" w:val="0000"/>
      </w:tblPr>
      <w:tblGrid>
        <w:gridCol w:w="7920"/>
      </w:tblGrid>
      <w:tr>
        <w:tc>
          <w:tcPr/>
          <w:bookmarkStart w:id="44" w:name="fig-slidingtemplate2"/>
          <w:p>
            <w:pPr>
              <w:pStyle w:val="Compact"/>
              <w:jc w:val="center"/>
            </w:pPr>
            <w:r>
              <w:drawing>
                <wp:inline>
                  <wp:extent cx="5334000" cy="1778000"/>
                  <wp:effectExtent b="0" l="0" r="0" t="0"/>
                  <wp:docPr descr="" title="" id="42" name="Picture"/>
                  <a:graphic>
                    <a:graphicData uri="http://schemas.openxmlformats.org/drawingml/2006/picture">
                      <pic:pic>
                        <pic:nvPicPr>
                          <pic:cNvPr descr="Re_introducing_the_PSTM_files/figure-docx/fig-slidingtemplate2-1.png" id="43" name="Picture"/>
                          <pic:cNvPicPr>
                            <a:picLocks noChangeArrowheads="1" noChangeAspect="1"/>
                          </pic:cNvPicPr>
                        </pic:nvPicPr>
                        <pic:blipFill>
                          <a:blip r:embed="rId41"/>
                          <a:stretch>
                            <a:fillRect/>
                          </a:stretch>
                        </pic:blipFill>
                        <pic:spPr bwMode="auto">
                          <a:xfrm>
                            <a:off x="0" y="0"/>
                            <a:ext cx="5334000" cy="177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 A formant input</w:t>
            </w:r>
            <w:r>
              <w:t xml:space="preserve"> </w:t>
            </w:r>
            <w:r>
              <w:t xml:space="preserve">“</w:t>
            </w:r>
            <w:r>
              <w:t xml:space="preserve">x</w:t>
            </w:r>
            <w:r>
              <w:t xml:space="preserve">”</w:t>
            </w:r>
            <w:r>
              <w:t xml:space="preserve">, relative to four possible ways of sliding the dialect template, corresponding to four different values of</w:t>
            </w:r>
            <w:r>
              <w:t xml:space="preserve"> </w:t>
            </w:r>
            <m:oMath>
              <m:sSub>
                <m:e>
                  <m:acc>
                    <m:accPr>
                      <m:chr m:val="̂"/>
                    </m:accPr>
                    <m:e>
                      <m:r>
                        <m:t>ψ</m:t>
                      </m:r>
                    </m:e>
                  </m:acc>
                </m:e>
                <m:sub>
                  <m:r>
                    <m:t>s</m:t>
                  </m:r>
                </m:sub>
              </m:sSub>
            </m:oMath>
            <w:r>
              <w:t xml:space="preserve">. The template</w:t>
            </w:r>
            <w:r>
              <w:t xml:space="preserve"> </w:t>
            </w:r>
            <w:r>
              <w:t xml:space="preserve">‘</w:t>
            </w:r>
            <w:r>
              <w:t xml:space="preserve">slides</w:t>
            </w:r>
            <w:r>
              <w:t xml:space="preserve">’</w:t>
            </w:r>
            <w:r>
              <w:t xml:space="preserve"> </w:t>
            </w:r>
            <w:r>
              <w:t xml:space="preserve">along</w:t>
            </w:r>
            <w:r>
              <w:t xml:space="preserve"> </w:t>
            </w:r>
            <m:oMath>
              <m:r>
                <m:t>G</m:t>
              </m:r>
              <m:r>
                <m:t>1</m:t>
              </m:r>
              <m:r>
                <m:rPr>
                  <m:sty m:val="p"/>
                </m:rPr>
                <m:t>=</m:t>
              </m:r>
              <m:r>
                <m:t>G</m:t>
              </m:r>
              <m:r>
                <m:t>2</m:t>
              </m:r>
            </m:oMath>
            <w:r>
              <w:t xml:space="preserve"> </w:t>
            </w:r>
            <w:r>
              <w:t xml:space="preserve">(black line). (b) Alternatively, the vowel can be thought of</w:t>
            </w:r>
            <w:r>
              <w:t xml:space="preserve"> </w:t>
            </w:r>
            <w:r>
              <w:t xml:space="preserve">‘</w:t>
            </w:r>
            <w:r>
              <w:t xml:space="preserve">sliding</w:t>
            </w:r>
            <w:r>
              <w:t xml:space="preserve">’</w:t>
            </w:r>
            <w:r>
              <w:t xml:space="preserve"> </w:t>
            </w:r>
            <w:r>
              <w:t xml:space="preserve">across the normalized template. Black line indicates the possible interpretations of the point in (a), ellipses enclose one standard deviation. Points indicate the best possible locations for /ɑ/ (1), /c/ (2), /o/ (3), and /ʌ/ (4), according to method 2. These interpretations correspond to the different vowel spaces (colors) in (a). (c) Posterior distributions of</w:t>
            </w:r>
            <w:r>
              <w:t xml:space="preserve"> </w:t>
            </w:r>
            <m:oMath>
              <m:sSub>
                <m:e>
                  <m:r>
                    <m:t>ψ</m:t>
                  </m:r>
                </m:e>
                <m:sub>
                  <m:r>
                    <m:t>s</m:t>
                  </m:r>
                </m:sub>
              </m:sSub>
            </m:oMath>
            <w:r>
              <w:t xml:space="preserve"> </w:t>
            </w:r>
            <w:r>
              <w:t xml:space="preserve">given different vowel categories. Because the prior exerts no influence in method 2 , these posteriors are proportional to the likelihood:</w:t>
            </w:r>
            <w:r>
              <w:t xml:space="preserve"> </w:t>
            </w:r>
            <m:oMath>
              <m:r>
                <m:t>P</m:t>
              </m:r>
              <m:d>
                <m:dPr>
                  <m:begChr m:val="("/>
                  <m:endChr m:val=")"/>
                  <m:sepChr m:val=""/>
                  <m:grow/>
                </m:dPr>
                <m:e>
                  <m:sSub>
                    <m:e>
                      <m:acc>
                        <m:accPr>
                          <m:chr m:val="⃗"/>
                        </m:accPr>
                        <m:e>
                          <m:r>
                            <m:t>G</m:t>
                          </m:r>
                        </m:e>
                      </m:acc>
                    </m:e>
                    <m:sub>
                      <m:r>
                        <m:t>x</m:t>
                      </m:r>
                    </m:sub>
                  </m:sSub>
                  <m:r>
                    <m:rPr>
                      <m:sty m:val="p"/>
                    </m:rPr>
                    <m:t>|</m:t>
                  </m:r>
                  <m:sSub>
                    <m:e>
                      <m:r>
                        <m:rPr>
                          <m:nor/>
                          <m:sty m:val="p"/>
                        </m:rPr>
                        <m:t>v</m:t>
                      </m:r>
                    </m:e>
                    <m:sub>
                      <m:r>
                        <m:t>i</m:t>
                      </m:r>
                    </m:sub>
                  </m:sSub>
                  <m:r>
                    <m:rPr>
                      <m:sty m:val="p"/>
                    </m:rPr>
                    <m:t>,</m:t>
                  </m:r>
                  <m:sSub>
                    <m:e>
                      <m:acc>
                        <m:accPr>
                          <m:chr m:val="̂"/>
                        </m:accPr>
                        <m:e>
                          <m:r>
                            <m:t>ψ</m:t>
                          </m:r>
                        </m:e>
                      </m:acc>
                    </m:e>
                    <m:sub>
                      <m:r>
                        <m:t>s</m:t>
                      </m:r>
                    </m:sub>
                  </m:sSub>
                </m:e>
              </m:d>
            </m:oMath>
            <w:r>
              <w:t xml:space="preserve">. Thus, these curves represent the values of the densities of the distributions in (b) along the line. This highlighta the relationship between categorization and</w:t>
            </w:r>
            <w:r>
              <w:t xml:space="preserve"> </w:t>
            </w:r>
            <m:oMath>
              <m:sSub>
                <m:e>
                  <m:r>
                    <m:t>ψ</m:t>
                  </m:r>
                </m:e>
                <m:sub>
                  <m:r>
                    <m:t>s</m:t>
                  </m:r>
                </m:sub>
              </m:sSub>
            </m:oMath>
            <w:r>
              <w:t xml:space="preserve"> </w:t>
            </w:r>
            <w:r>
              <w:t xml:space="preserve">estimation.</w:t>
            </w:r>
          </w:p>
          <w:bookmarkEnd w:id="44"/>
        </w:tc>
      </w:tr>
    </w:tbl>
    <w:bookmarkEnd w:id="45"/>
    <w:bookmarkStart w:id="52" w:name="Xdc2157e4d5b9d71dc91035c1cde956ca07baea9"/>
    <w:p>
      <w:pPr>
        <w:pStyle w:val="Heading2"/>
      </w:pPr>
      <w:r>
        <w:t xml:space="preserve">4.3 Method 3: Informative expectations about</w:t>
      </w:r>
      <w:r>
        <w:t xml:space="preserve"> </w:t>
      </w:r>
      <m:oMath>
        <m:sSub>
          <m:e>
            <m:r>
              <m:t>ψ</m:t>
            </m:r>
          </m:e>
          <m:sub>
            <m:r>
              <m:t>s</m:t>
            </m:r>
          </m:sub>
        </m:sSub>
      </m:oMath>
    </w:p>
    <w:p>
      <w:pPr>
        <w:pStyle w:val="FirstParagraph"/>
      </w:pPr>
      <w:r>
        <w:t xml:space="preserve">Method 3 (</w:t>
      </w:r>
      <w:hyperlink w:anchor="eq-method3">
        <w:r>
          <w:rPr>
            <w:rStyle w:val="Hyperlink"/>
          </w:rPr>
          <w:t xml:space="preserve">Equation 12</w:t>
        </w:r>
      </w:hyperlink>
      <w:r>
        <w:t xml:space="preserve">) introduces stronger constraints on listeners’ prior expectations for</w:t>
      </w:r>
      <w:r>
        <w:t xml:space="preserve"> </w:t>
      </w:r>
      <m:oMath>
        <m:sSub>
          <m:e>
            <m:r>
              <m:t>ψ</m:t>
            </m:r>
          </m:e>
          <m:sub>
            <m:r>
              <m:t>s</m:t>
            </m:r>
          </m:sub>
        </m:sSub>
      </m:oMath>
      <w:r>
        <w:t xml:space="preserve"> </w:t>
      </w:r>
      <w:r>
        <w:t xml:space="preserve">by assuming that</w:t>
      </w:r>
      <w:r>
        <w:t xml:space="preserve"> </w:t>
      </w:r>
      <m:oMath>
        <m:sSub>
          <m:e>
            <m:r>
              <m:t>ψ</m:t>
            </m:r>
          </m:e>
          <m:sub>
            <m:r>
              <m:t>s</m:t>
            </m:r>
          </m:sub>
        </m:sSub>
      </m:oMath>
      <w:r>
        <w:t xml:space="preserve"> </w:t>
      </w:r>
      <w:r>
        <w:t xml:space="preserve">is normally distributed across speakers, with a mean</w:t>
      </w:r>
      <w:r>
        <w:t xml:space="preserve"> </w:t>
      </w:r>
      <m:oMath>
        <m:sSub>
          <m:e>
            <m:r>
              <m:t>μ</m:t>
            </m:r>
          </m:e>
          <m:sub>
            <m:sSub>
              <m:e>
                <m:r>
                  <m:t>ψ</m:t>
                </m:r>
              </m:e>
              <m:sub>
                <m:r>
                  <m:t>s</m:t>
                </m:r>
              </m:sub>
            </m:sSub>
          </m:sub>
        </m:sSub>
      </m:oMath>
      <w:r>
        <w:t xml:space="preserve"> </w:t>
      </w:r>
      <w:r>
        <w:t xml:space="preserve">and standard deviation</w:t>
      </w:r>
      <w:r>
        <w:t xml:space="preserve"> </w:t>
      </w:r>
      <m:oMath>
        <m:sSub>
          <m:e>
            <m:r>
              <m:t>σ</m:t>
            </m:r>
          </m:e>
          <m:sub>
            <m:sSub>
              <m:e>
                <m:r>
                  <m:t>ψ</m:t>
                </m:r>
              </m:e>
              <m:sub>
                <m:r>
                  <m:t>s</m:t>
                </m:r>
              </m:sub>
            </m:sSub>
          </m:sub>
        </m:sSub>
      </m:oMath>
      <w:r>
        <w:t xml:space="preserve"> </w:t>
      </w:r>
      <w:r>
        <w:t xml:space="preserve">based on the</w:t>
      </w:r>
      <w:r>
        <w:t xml:space="preserve"> </w:t>
      </w:r>
      <m:oMath>
        <m:sSub>
          <m:e>
            <m:r>
              <m:t>ψ</m:t>
            </m:r>
          </m:e>
          <m:sub>
            <m:r>
              <m:t>s</m:t>
            </m:r>
          </m:sub>
        </m:sSub>
      </m:oMath>
      <w:r>
        <w:t xml:space="preserve"> </w:t>
      </w:r>
      <w:r>
        <w:t xml:space="preserve">that the listener previously observed across speakers. This means that values of</w:t>
      </w:r>
      <w:r>
        <w:t xml:space="preserve"> </w:t>
      </w:r>
      <m:oMath>
        <m:sSub>
          <m:e>
            <m:acc>
              <m:accPr>
                <m:chr m:val="̂"/>
              </m:accPr>
              <m:e>
                <m:r>
                  <m:t>ψ</m:t>
                </m:r>
              </m:e>
            </m:acc>
          </m:e>
          <m:sub>
            <m:r>
              <m:t>s</m:t>
            </m:r>
            <m:r>
              <m:rPr>
                <m:sty m:val="p"/>
              </m:rPr>
              <m:t>,</m:t>
            </m:r>
            <m:r>
              <m:rPr>
                <m:nor/>
                <m:sty m:val="p"/>
              </m:rPr>
              <m:t>v</m:t>
            </m:r>
          </m:sub>
        </m:sSub>
      </m:oMath>
      <w:r>
        <w:t xml:space="preserve"> </w:t>
      </w:r>
      <w:r>
        <w:t xml:space="preserve">that are closer to the population mean will be considered more generally plausible by that listener.</w:t>
      </w:r>
    </w:p>
    <w:p>
      <w:pPr>
        <w:pStyle w:val="BodyText"/>
      </w:pPr>
      <w:bookmarkStart w:id="46" w:name="eq-method3"/>
      <m:oMathPara>
        <m:oMathParaPr>
          <m:jc m:val="center"/>
        </m:oMathParaPr>
        <m:oMath>
          <m:m>
            <m:mPr>
              <m:baseJc m:val="center"/>
              <m:plcHide m:val="on"/>
              <m:mcs>
                <m:mc>
                  <m:mcPr>
                    <m:mcJc m:val="right"/>
                    <m:count m:val="1"/>
                  </m:mcPr>
                </m:mc>
                <m:mc>
                  <m:mcPr>
                    <m:mcJc m:val="left"/>
                    <m:count m:val="1"/>
                  </m:mcPr>
                </m:mc>
              </m:mcs>
            </m:mPr>
            <m:mr>
              <m:e>
                <m:sSub>
                  <m:e>
                    <m:acc>
                      <m:accPr>
                        <m:chr m:val="̂"/>
                      </m:accPr>
                      <m:e>
                        <m:r>
                          <m:t>ψ</m:t>
                        </m:r>
                      </m:e>
                    </m:acc>
                  </m:e>
                  <m:sub>
                    <m:r>
                      <m:t>s</m:t>
                    </m:r>
                    <m:r>
                      <m:rPr>
                        <m:sty m:val="p"/>
                      </m:rPr>
                      <m:t>,</m:t>
                    </m:r>
                    <m:r>
                      <m:rPr>
                        <m:nor/>
                        <m:sty m:val="p"/>
                      </m:rPr>
                      <m:t>v</m:t>
                    </m:r>
                  </m:sub>
                </m:sSub>
              </m:e>
              <m:e>
                <m:box>
                  <m:boxPr>
                    <m:opEmu m:val="on"/>
                  </m:boxPr>
                  <m:e>
                    <m:r>
                      <m:rPr>
                        <m:sty m:val="p"/>
                      </m:rPr>
                      <m:t>:=</m:t>
                    </m:r>
                  </m:e>
                </m:box>
                <m:limLow>
                  <m:e>
                    <m:r>
                      <m:rPr>
                        <m:sty m:val="p"/>
                      </m:rPr>
                      <m:t>arg</m:t>
                    </m:r>
                    <m:r>
                      <m:rPr>
                        <m:sty m:val="p"/>
                      </m:rPr>
                      <m:t>max</m:t>
                    </m:r>
                  </m:e>
                  <m:lim>
                    <m:sSub>
                      <m:e>
                        <m:r>
                          <m:t>ψ</m:t>
                        </m:r>
                      </m:e>
                      <m:sub>
                        <m:r>
                          <m:t>s</m:t>
                        </m:r>
                      </m:sub>
                    </m:sSub>
                  </m:lim>
                </m:limLow>
                <m:d>
                  <m:dPr>
                    <m:begChr m:val="["/>
                    <m:endChr m:val="]"/>
                    <m:sepChr m:val=""/>
                    <m:grow/>
                  </m:dPr>
                  <m:e>
                    <m:r>
                      <m:t>P</m:t>
                    </m:r>
                    <m:d>
                      <m:dPr>
                        <m:begChr m:val="("/>
                        <m:endChr m:val=")"/>
                        <m:sepChr m:val=""/>
                        <m:grow/>
                      </m:dPr>
                      <m:e>
                        <m:acc>
                          <m:accPr>
                            <m:chr m:val="⃗"/>
                          </m:accPr>
                          <m:e>
                            <m:r>
                              <m:t>G</m:t>
                            </m:r>
                          </m:e>
                        </m:acc>
                        <m:r>
                          <m:rPr>
                            <m:sty m:val="p"/>
                          </m:rPr>
                          <m:t>|</m:t>
                        </m:r>
                        <m:r>
                          <m:rPr>
                            <m:nor/>
                            <m:sty m:val="p"/>
                          </m:rPr>
                          <m:t>v</m:t>
                        </m:r>
                        <m:r>
                          <m:rPr>
                            <m:sty m:val="p"/>
                          </m:rPr>
                          <m:t>,</m:t>
                        </m:r>
                        <m:sSub>
                          <m:e>
                            <m:r>
                              <m:t>ψ</m:t>
                            </m:r>
                          </m:e>
                          <m:sub>
                            <m:r>
                              <m:t>s</m:t>
                            </m:r>
                          </m:sub>
                        </m:sSub>
                      </m:e>
                    </m:d>
                    <m:r>
                      <m:rPr>
                        <m:sty m:val="p"/>
                      </m:rPr>
                      <m:t>⋅</m:t>
                    </m:r>
                    <m:r>
                      <m:t>P</m:t>
                    </m:r>
                    <m:d>
                      <m:dPr>
                        <m:begChr m:val="("/>
                        <m:endChr m:val=")"/>
                        <m:sepChr m:val=""/>
                        <m:grow/>
                      </m:dPr>
                      <m:e>
                        <m:sSub>
                          <m:e>
                            <m:r>
                              <m:t>ψ</m:t>
                            </m:r>
                          </m:e>
                          <m:sub>
                            <m:r>
                              <m:t>s</m:t>
                            </m:r>
                          </m:sub>
                        </m:sSub>
                      </m:e>
                    </m:d>
                    <m:r>
                      <m:rPr>
                        <m:sty m:val="p"/>
                      </m:rPr>
                      <m:t>⋅</m:t>
                    </m:r>
                    <m:r>
                      <m:t>P</m:t>
                    </m:r>
                    <m:d>
                      <m:dPr>
                        <m:begChr m:val="("/>
                        <m:endChr m:val=")"/>
                        <m:sepChr m:val=""/>
                        <m:grow/>
                      </m:dPr>
                      <m:e>
                        <m:r>
                          <m:rPr>
                            <m:nor/>
                            <m:sty m:val="p"/>
                          </m:rPr>
                          <m:t>v</m:t>
                        </m:r>
                      </m:e>
                    </m:d>
                  </m:e>
                </m:d>
              </m:e>
            </m:mr>
            <m:mr>
              <m:e>
                <m:r>
                  <m:t> </m:t>
                </m:r>
              </m:e>
              <m:e>
                <m:box>
                  <m:boxPr>
                    <m:opEmu m:val="on"/>
                  </m:boxPr>
                  <m:e>
                    <m:r>
                      <m:rPr>
                        <m:sty m:val="p"/>
                      </m:rPr>
                      <m:t>:=</m:t>
                    </m:r>
                  </m:e>
                </m:box>
                <m:limLow>
                  <m:e>
                    <m:r>
                      <m:rPr>
                        <m:sty m:val="p"/>
                      </m:rPr>
                      <m:t>arg</m:t>
                    </m:r>
                    <m:r>
                      <m:rPr>
                        <m:sty m:val="p"/>
                      </m:rPr>
                      <m:t>max</m:t>
                    </m:r>
                  </m:e>
                  <m:lim>
                    <m:sSub>
                      <m:e>
                        <m:r>
                          <m:t>ψ</m:t>
                        </m:r>
                      </m:e>
                      <m:sub>
                        <m:r>
                          <m:t>s</m:t>
                        </m:r>
                      </m:sub>
                    </m:sSub>
                  </m:lim>
                </m:limLow>
                <m:d>
                  <m:dPr>
                    <m:begChr m:val="["/>
                    <m:endChr m:val="]"/>
                    <m:sepChr m:val=""/>
                    <m:grow/>
                  </m:dPr>
                  <m:e>
                    <m:r>
                      <m:t>P</m:t>
                    </m:r>
                    <m:d>
                      <m:dPr>
                        <m:begChr m:val="("/>
                        <m:endChr m:val=")"/>
                        <m:sepChr m:val=""/>
                        <m:grow/>
                      </m:dPr>
                      <m:e>
                        <m:acc>
                          <m:accPr>
                            <m:chr m:val="⃗"/>
                          </m:accPr>
                          <m:e>
                            <m:r>
                              <m:t>G</m:t>
                            </m:r>
                          </m:e>
                        </m:acc>
                        <m:r>
                          <m:rPr>
                            <m:sty m:val="p"/>
                          </m:rPr>
                          <m:t>|</m:t>
                        </m:r>
                        <m:r>
                          <m:rPr>
                            <m:nor/>
                            <m:sty m:val="p"/>
                          </m:rPr>
                          <m:t>v</m:t>
                        </m:r>
                        <m:r>
                          <m:rPr>
                            <m:sty m:val="p"/>
                          </m:rPr>
                          <m:t>,</m:t>
                        </m:r>
                        <m:sSub>
                          <m:e>
                            <m:r>
                              <m:t>ψ</m:t>
                            </m:r>
                          </m:e>
                          <m:sub>
                            <m:r>
                              <m:t>s</m:t>
                            </m:r>
                          </m:sub>
                        </m:sSub>
                      </m:e>
                    </m:d>
                    <m:r>
                      <m:rPr>
                        <m:sty m:val="p"/>
                      </m:rPr>
                      <m:t>⋅</m:t>
                    </m:r>
                    <m:r>
                      <m:rPr>
                        <m:nor/>
                        <m:sty m:val="p"/>
                      </m:rPr>
                      <m:t>Normal</m:t>
                    </m:r>
                    <m:d>
                      <m:dPr>
                        <m:begChr m:val="("/>
                        <m:endChr m:val=")"/>
                        <m:sepChr m:val=""/>
                        <m:grow/>
                      </m:dPr>
                      <m:e>
                        <m:sSub>
                          <m:e>
                            <m:r>
                              <m:t>ψ</m:t>
                            </m:r>
                          </m:e>
                          <m:sub>
                            <m:r>
                              <m:t>s</m:t>
                            </m:r>
                          </m:sub>
                        </m:sSub>
                        <m:r>
                          <m:rPr>
                            <m:sty m:val="p"/>
                          </m:rPr>
                          <m:t>|</m:t>
                        </m:r>
                        <m:sSub>
                          <m:e>
                            <m:acc>
                              <m:accPr>
                                <m:chr m:val="̂"/>
                              </m:accPr>
                              <m:e>
                                <m:r>
                                  <m:t>μ</m:t>
                                </m:r>
                              </m:e>
                            </m:acc>
                          </m:e>
                          <m:sub>
                            <m:sSub>
                              <m:e>
                                <m:r>
                                  <m:t>ψ</m:t>
                                </m:r>
                              </m:e>
                              <m:sub>
                                <m:r>
                                  <m:t>s</m:t>
                                </m:r>
                              </m:sub>
                            </m:sSub>
                          </m:sub>
                        </m:sSub>
                        <m:r>
                          <m:rPr>
                            <m:sty m:val="p"/>
                          </m:rPr>
                          <m:t>,</m:t>
                        </m:r>
                        <m:sSub>
                          <m:e>
                            <m:acc>
                              <m:accPr>
                                <m:chr m:val="̂"/>
                              </m:accPr>
                              <m:e>
                                <m:r>
                                  <m:t>σ</m:t>
                                </m:r>
                              </m:e>
                            </m:acc>
                          </m:e>
                          <m:sub>
                            <m:sSub>
                              <m:e>
                                <m:r>
                                  <m:t>ψ</m:t>
                                </m:r>
                              </m:e>
                              <m:sub>
                                <m:r>
                                  <m:t>s</m:t>
                                </m:r>
                              </m:sub>
                            </m:sSub>
                          </m:sub>
                        </m:sSub>
                      </m:e>
                    </m:d>
                    <m:r>
                      <m:rPr>
                        <m:sty m:val="p"/>
                      </m:rPr>
                      <m:t>⋅</m:t>
                    </m:r>
                    <m:r>
                      <m:t>P</m:t>
                    </m:r>
                    <m:d>
                      <m:dPr>
                        <m:begChr m:val="("/>
                        <m:endChr m:val=")"/>
                        <m:sepChr m:val=""/>
                        <m:grow/>
                      </m:dPr>
                      <m:e>
                        <m:r>
                          <m:rPr>
                            <m:nor/>
                            <m:sty m:val="p"/>
                          </m:rPr>
                          <m:t>v</m:t>
                        </m:r>
                      </m:e>
                    </m:d>
                  </m:e>
                </m:d>
              </m:e>
            </m:mr>
          </m:m>
          <m:r>
            <m:t>  </m:t>
          </m:r>
          <m:d>
            <m:dPr>
              <m:begChr m:val="("/>
              <m:endChr m:val=")"/>
              <m:sepChr m:val=""/>
              <m:grow/>
            </m:dPr>
            <m:e>
              <m:r>
                <m:t>12</m:t>
              </m:r>
            </m:e>
          </m:d>
        </m:oMath>
      </m:oMathPara>
      <w:bookmarkEnd w:id="46"/>
    </w:p>
    <w:p>
      <w:pPr>
        <w:pStyle w:val="FirstParagraph"/>
      </w:pPr>
      <w:r>
        <w:t xml:space="preserve">Just like the multivariate Normal distributions for the vowel templates, estimates of</w:t>
      </w:r>
      <w:r>
        <w:t xml:space="preserve"> </w:t>
      </w:r>
      <m:oMath>
        <m:sSub>
          <m:e>
            <m:r>
              <m:t>μ</m:t>
            </m:r>
          </m:e>
          <m:sub>
            <m:sSub>
              <m:e>
                <m:r>
                  <m:t>ψ</m:t>
                </m:r>
              </m:e>
              <m:sub>
                <m:r>
                  <m:t>s</m:t>
                </m:r>
              </m:sub>
            </m:sSub>
          </m:sub>
        </m:sSub>
      </m:oMath>
      <w:r>
        <w:t xml:space="preserve"> </w:t>
      </w:r>
      <w:r>
        <w:t xml:space="preserve">and</w:t>
      </w:r>
      <w:r>
        <w:t xml:space="preserve"> </w:t>
      </w:r>
      <m:oMath>
        <m:sSub>
          <m:e>
            <m:r>
              <m:t>σ</m:t>
            </m:r>
          </m:e>
          <m:sub>
            <m:sSub>
              <m:e>
                <m:r>
                  <m:t>ψ</m:t>
                </m:r>
              </m:e>
              <m:sub>
                <m:r>
                  <m:t>s</m:t>
                </m:r>
              </m:sub>
            </m:sSub>
          </m:sub>
        </m:sSub>
      </m:oMath>
      <w:r>
        <w:t xml:space="preserve"> </w:t>
      </w:r>
      <w:r>
        <w:t xml:space="preserve">can be obtained from a reasonably sized database. For instance,</w:t>
      </w:r>
      <w:r>
        <w:t xml:space="preserve"> </w:t>
      </w:r>
      <w:r>
        <w:t xml:space="preserve">Nearey and Assmann (2007)</w:t>
      </w:r>
      <w:r>
        <w:t xml:space="preserve"> </w:t>
      </w:r>
      <w:r>
        <w:t xml:space="preserve">suggest</w:t>
      </w:r>
      <w:r>
        <w:t xml:space="preserve"> </w:t>
      </w:r>
      <m:oMath>
        <m:sSub>
          <m:e>
            <m:acc>
              <m:accPr>
                <m:chr m:val="̂"/>
              </m:accPr>
              <m:e>
                <m:r>
                  <m:t>μ</m:t>
                </m:r>
              </m:e>
            </m:acc>
          </m:e>
          <m:sub>
            <m:sSub>
              <m:e>
                <m:r>
                  <m:t>ψ</m:t>
                </m:r>
              </m:e>
              <m:sub>
                <m:r>
                  <m:t>s</m:t>
                </m:r>
              </m:sub>
            </m:sSub>
          </m:sub>
        </m:sSub>
        <m:r>
          <m:rPr>
            <m:sty m:val="p"/>
          </m:rPr>
          <m:t>=</m:t>
        </m:r>
        <m:r>
          <m:t>7.23</m:t>
        </m:r>
      </m:oMath>
      <w:r>
        <w:t xml:space="preserve"> </w:t>
      </w:r>
      <w:r>
        <w:t xml:space="preserve">and</w:t>
      </w:r>
      <w:r>
        <w:t xml:space="preserve"> </w:t>
      </w:r>
      <m:oMath>
        <m:sSub>
          <m:e>
            <m:acc>
              <m:accPr>
                <m:chr m:val="̂"/>
              </m:accPr>
              <m:e>
                <m:r>
                  <m:t>σ</m:t>
                </m:r>
              </m:e>
            </m:acc>
          </m:e>
          <m:sub>
            <m:sSub>
              <m:e>
                <m:r>
                  <m:t>ψ</m:t>
                </m:r>
              </m:e>
              <m:sub>
                <m:r>
                  <m:t>s</m:t>
                </m:r>
              </m:sub>
            </m:sSub>
          </m:sub>
        </m:sSub>
        <m:r>
          <m:rPr>
            <m:sty m:val="p"/>
          </m:rPr>
          <m:t>=</m:t>
        </m:r>
        <m:r>
          <m:t>0.128</m:t>
        </m:r>
      </m:oMath>
      <w:r>
        <w:t xml:space="preserve"> </w:t>
      </w:r>
      <w:r>
        <w:t xml:space="preserve">based a database of 265 speakers of US English (86 adult females, 88 adult males, 91 children) from three dialect regions</w:t>
      </w:r>
      <w:r>
        <w:t xml:space="preserve"> </w:t>
      </w:r>
      <w:r>
        <w:t xml:space="preserve">(Hillenbrand et al. 1995; Peterson and Barney 1952; Assmann and Katz 2000)</w:t>
      </w:r>
      <w:r>
        <w:t xml:space="preserve">.</w:t>
      </w:r>
      <w:r>
        <w:rPr>
          <w:rStyle w:val="FootnoteReference"/>
        </w:rPr>
        <w:footnoteReference w:id="47"/>
      </w:r>
      <w:r>
        <w:t xml:space="preserve"> </w:t>
      </w:r>
      <w:r>
        <w:t xml:space="preserve">The two leftmost columns of</w:t>
      </w:r>
      <w:r>
        <w:t xml:space="preserve"> </w:t>
      </w:r>
      <w:hyperlink w:anchor="fig-slidingtemplate3">
        <w:r>
          <w:rPr>
            <w:rStyle w:val="Hyperlink"/>
          </w:rPr>
          <w:t xml:space="preserve">Figure 3</w:t>
        </w:r>
      </w:hyperlink>
      <w:r>
        <w:t xml:space="preserve"> </w:t>
      </w:r>
      <w:r>
        <w:t xml:space="preserve">compare methods 2 and 3, showing that posterior probabilities can be affected even by comparatively weak constraints on the prior of</w:t>
      </w:r>
      <w:r>
        <w:t xml:space="preserve"> </w:t>
      </w:r>
      <m:oMath>
        <m:sSub>
          <m:e>
            <m:r>
              <m:t>ψ</m:t>
            </m:r>
          </m:e>
          <m:sub>
            <m:r>
              <m:t>s</m:t>
            </m:r>
          </m:sub>
        </m:sSub>
      </m:oMath>
      <w:r>
        <w:t xml:space="preserve">. For instance, the vowel /o/ and the</w:t>
      </w:r>
      <w:r>
        <w:t xml:space="preserve"> </w:t>
      </w:r>
      <m:oMath>
        <m:sSub>
          <m:e>
            <m:acc>
              <m:accPr>
                <m:chr m:val="̂"/>
              </m:accPr>
              <m:e>
                <m:r>
                  <m:t>ψ</m:t>
                </m:r>
              </m:e>
            </m:acc>
          </m:e>
          <m:sub>
            <m:r>
              <m:t>s</m:t>
            </m:r>
          </m:sub>
        </m:sSub>
      </m:oMath>
      <w:r>
        <w:t xml:space="preserve"> </w:t>
      </w:r>
      <w:r>
        <w:t xml:space="preserve">values it would entail are no longer probable since those</w:t>
      </w:r>
      <w:r>
        <w:t xml:space="preserve"> </w:t>
      </w:r>
      <m:oMath>
        <m:sSub>
          <m:e>
            <m:r>
              <m:t>ψ</m:t>
            </m:r>
          </m:e>
          <m:sub>
            <m:r>
              <m:t>s</m:t>
            </m:r>
          </m:sub>
        </m:sSub>
      </m:oMath>
      <w:r>
        <w:t xml:space="preserve"> </w:t>
      </w:r>
      <w:r>
        <w:t xml:space="preserve">values are</w:t>
      </w:r>
      <w:r>
        <w:t xml:space="preserve"> </w:t>
      </w:r>
      <w:r>
        <w:rPr>
          <w:i/>
          <w:iCs/>
        </w:rPr>
        <w:t xml:space="preserve">a priori</w:t>
      </w:r>
      <w:r>
        <w:t xml:space="preserve"> </w:t>
      </w:r>
      <w:r>
        <w:t xml:space="preserve">improbable (e.g.,</w:t>
      </w:r>
      <w:r>
        <w:t xml:space="preserve"> </w:t>
      </w:r>
      <m:oMath>
        <m:sSub>
          <m:e>
            <m:r>
              <m:t>ψ</m:t>
            </m:r>
          </m:e>
          <m:sub>
            <m:r>
              <m:t>s</m:t>
            </m:r>
          </m:sub>
        </m:sSub>
        <m:r>
          <m:rPr>
            <m:sty m:val="p"/>
          </m:rPr>
          <m:t>=</m:t>
        </m:r>
        <m:r>
          <m:t>7.64</m:t>
        </m:r>
      </m:oMath>
      <w:r>
        <w:t xml:space="preserve"> </w:t>
      </w:r>
      <w:r>
        <w:t xml:space="preserve">is more than 3 standard deviations above the mean of the prior distribution).</w:t>
      </w:r>
    </w:p>
    <w:tbl>
      <w:tblPr>
        <w:tblStyle w:val="Table"/>
        <w:tblW w:type="pct" w:w="5000"/>
        <w:tblLayout w:type="fixed"/>
        <w:tblLook w:firstRow="0" w:lastRow="0" w:firstColumn="0" w:lastColumn="0" w:noHBand="0" w:noVBand="0" w:val="0000"/>
      </w:tblPr>
      <w:tblGrid>
        <w:gridCol w:w="7920"/>
      </w:tblGrid>
      <w:tr>
        <w:tc>
          <w:tcPr/>
          <w:bookmarkStart w:id="51" w:name="fig-slidingtemplate3"/>
          <w:p>
            <w:pPr>
              <w:pStyle w:val="Compact"/>
              <w:jc w:val="center"/>
            </w:pPr>
            <w:r>
              <w:drawing>
                <wp:inline>
                  <wp:extent cx="5334000" cy="2667000"/>
                  <wp:effectExtent b="0" l="0" r="0" t="0"/>
                  <wp:docPr descr="" title="" id="49" name="Picture"/>
                  <a:graphic>
                    <a:graphicData uri="http://schemas.openxmlformats.org/drawingml/2006/picture">
                      <pic:pic>
                        <pic:nvPicPr>
                          <pic:cNvPr descr="Re_introducing_the_PSTM_files/figure-docx/fig-slidingtemplate3-1.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Comparison of different methods (columns) to estimating the prior probability of</w:t>
            </w:r>
            <w:r>
              <w:t xml:space="preserve"> </w:t>
            </w:r>
            <m:oMath>
              <m:sSub>
                <m:e>
                  <m:r>
                    <m:t>ψ</m:t>
                  </m:r>
                </m:e>
                <m:sub>
                  <m:r>
                    <m:t>s</m:t>
                  </m:r>
                </m:sub>
              </m:sSub>
            </m:oMath>
            <w:r>
              <w:t xml:space="preserve">. (top) Likelihood of</w:t>
            </w:r>
            <w:r>
              <w:t xml:space="preserve"> </w:t>
            </w:r>
            <m:oMath>
              <m:sSub>
                <m:e>
                  <m:r>
                    <m:t>ψ</m:t>
                  </m:r>
                </m:e>
                <m:sub>
                  <m:r>
                    <m:t>s</m:t>
                  </m:r>
                </m:sub>
              </m:sSub>
            </m:oMath>
            <w:r>
              <w:t xml:space="preserve"> </w:t>
            </w:r>
            <w:r>
              <w:t xml:space="preserve">values given different vowel categories in</w:t>
            </w:r>
            <w:r>
              <w:t xml:space="preserve"> </w:t>
            </w:r>
            <w:hyperlink w:anchor="fig-slidingtemplate2">
              <w:r>
                <w:rPr>
                  <w:rStyle w:val="Hyperlink"/>
                </w:rPr>
                <w:t xml:space="preserve">Figure 2</w:t>
              </w:r>
            </w:hyperlink>
            <w:r>
              <w:t xml:space="preserve">. (middle) Prior distribution of</w:t>
            </w:r>
            <w:r>
              <w:t xml:space="preserve"> </w:t>
            </w:r>
            <m:oMath>
              <m:sSub>
                <m:e>
                  <m:r>
                    <m:t>ψ</m:t>
                  </m:r>
                </m:e>
                <m:sub>
                  <m:r>
                    <m:t>s</m:t>
                  </m:r>
                </m:sub>
              </m:sSub>
            </m:oMath>
            <w:r>
              <w:t xml:space="preserve">. (bottom) Posterior probabilities of</w:t>
            </w:r>
            <w:r>
              <w:t xml:space="preserve"> </w:t>
            </w:r>
            <m:oMath>
              <m:sSub>
                <m:e>
                  <m:r>
                    <m:t>ψ</m:t>
                  </m:r>
                </m:e>
                <m:sub>
                  <m:r>
                    <m:t>s</m:t>
                  </m:r>
                </m:sub>
              </m:sSub>
            </m:oMath>
            <w:r>
              <w:t xml:space="preserve"> </w:t>
            </w:r>
            <w:r>
              <w:t xml:space="preserve">conditional on vowel category (combining likelihood and prior in each column). The most probable</w:t>
            </w:r>
            <w:r>
              <w:t xml:space="preserve"> </w:t>
            </w:r>
            <m:oMath>
              <m:sSub>
                <m:e>
                  <m:acc>
                    <m:accPr>
                      <m:chr m:val="̂"/>
                    </m:accPr>
                    <m:e>
                      <m:r>
                        <m:t>ψ</m:t>
                      </m:r>
                    </m:e>
                  </m:acc>
                </m:e>
                <m:sub>
                  <m:r>
                    <m:t>s</m:t>
                  </m:r>
                </m:sub>
              </m:sSub>
            </m:oMath>
            <w:r>
              <w:t xml:space="preserve"> </w:t>
            </w:r>
            <w:r>
              <w:t xml:space="preserve">(location on x-axis of highest peak), and vowel category (color of curve with highest peak), changes as a function of the selected prior, and the vowel token’s</w:t>
            </w:r>
            <w:r>
              <w:t xml:space="preserve"> </w:t>
            </w:r>
            <m:oMath>
              <m:r>
                <m:t>f</m:t>
              </m:r>
              <m:r>
                <m:t>0</m:t>
              </m:r>
            </m:oMath>
            <w:r>
              <w:t xml:space="preserve">.</w:t>
            </w:r>
          </w:p>
          <w:bookmarkEnd w:id="51"/>
        </w:tc>
      </w:tr>
    </w:tbl>
    <w:bookmarkEnd w:id="52"/>
    <w:bookmarkStart w:id="56" w:name="X4fd97fcded3d44de1b0f0e26c486906b034e458"/>
    <w:p>
      <w:pPr>
        <w:pStyle w:val="Heading2"/>
      </w:pPr>
      <w:r>
        <w:t xml:space="preserve">4.4 Method 6: Informative expectations about</w:t>
      </w:r>
      <w:r>
        <w:t xml:space="preserve"> </w:t>
      </w:r>
      <m:oMath>
        <m:sSub>
          <m:e>
            <m:r>
              <m:t>ψ</m:t>
            </m:r>
          </m:e>
          <m:sub>
            <m:r>
              <m:t>s</m:t>
            </m:r>
          </m:sub>
        </m:sSub>
      </m:oMath>
      <w:r>
        <w:t xml:space="preserve"> </w:t>
      </w:r>
      <w:r>
        <w:t xml:space="preserve">conditional on</w:t>
      </w:r>
      <w:r>
        <w:t xml:space="preserve"> </w:t>
      </w:r>
      <m:oMath>
        <m:r>
          <m:t>f</m:t>
        </m:r>
        <m:r>
          <m:t>0</m:t>
        </m:r>
      </m:oMath>
    </w:p>
    <w:p>
      <w:pPr>
        <w:pStyle w:val="FirstParagraph"/>
      </w:pPr>
      <w:r>
        <w:t xml:space="preserve">Method 6 further strengthens the constraints on listeners’ prior expectations for</w:t>
      </w:r>
      <w:r>
        <w:t xml:space="preserve"> </w:t>
      </w:r>
      <m:oMath>
        <m:sSub>
          <m:e>
            <m:r>
              <m:t>ψ</m:t>
            </m:r>
          </m:e>
          <m:sub>
            <m:r>
              <m:t>s</m:t>
            </m:r>
          </m:sub>
        </m:sSub>
      </m:oMath>
      <w:r>
        <w:t xml:space="preserve"> </w:t>
      </w:r>
      <w:r>
        <w:t xml:space="preserve">by conditioning those expectations on talkers’</w:t>
      </w:r>
      <w:r>
        <w:t xml:space="preserve"> </w:t>
      </w:r>
      <m:oMath>
        <m:r>
          <m:t>f</m:t>
        </m:r>
        <m:r>
          <m:t>0</m:t>
        </m:r>
      </m:oMath>
      <w:r>
        <w:t xml:space="preserve">. Specifically, method 6 finds the MAP estimate of</w:t>
      </w:r>
      <w:r>
        <w:t xml:space="preserve"> </w:t>
      </w:r>
      <m:oMath>
        <m:sSub>
          <m:e>
            <m:r>
              <m:t>ψ</m:t>
            </m:r>
          </m:e>
          <m:sub>
            <m:r>
              <m:t>s</m:t>
            </m:r>
          </m:sub>
        </m:sSub>
      </m:oMath>
      <w:r>
        <w:t xml:space="preserve"> </w:t>
      </w:r>
      <w:r>
        <w:t xml:space="preserve">while considering both the likelihood of the observed log-transformed formant input</w:t>
      </w:r>
      <w:r>
        <w:t xml:space="preserve"> </w:t>
      </w:r>
      <m:oMath>
        <m:acc>
          <m:accPr>
            <m:chr m:val="⃗"/>
          </m:accPr>
          <m:e>
            <m:r>
              <m:t>G</m:t>
            </m:r>
          </m:e>
        </m:acc>
      </m:oMath>
      <w:r>
        <w:t xml:space="preserve"> </w:t>
      </w:r>
      <w:r>
        <w:rPr>
          <w:i/>
          <w:iCs/>
        </w:rPr>
        <w:t xml:space="preserve">and</w:t>
      </w:r>
      <w:r>
        <w:t xml:space="preserve"> </w:t>
      </w:r>
      <w:r>
        <w:t xml:space="preserve">the likelihood of the observed</w:t>
      </w:r>
      <w:r>
        <w:t xml:space="preserve"> </w:t>
      </w:r>
      <m:oMath>
        <m:r>
          <m:t>g</m:t>
        </m:r>
        <m:r>
          <m:t>0</m:t>
        </m:r>
        <m:box>
          <m:boxPr>
            <m:opEmu m:val="on"/>
          </m:boxPr>
          <m:e>
            <m:r>
              <m:rPr>
                <m:sty m:val="p"/>
              </m:rPr>
              <m:t>:=</m:t>
            </m:r>
          </m:e>
        </m:box>
        <m:r>
          <m:rPr>
            <m:sty m:val="p"/>
          </m:rPr>
          <m:t>log</m:t>
        </m:r>
        <m:d>
          <m:dPr>
            <m:begChr m:val="("/>
            <m:endChr m:val=")"/>
            <m:sepChr m:val=""/>
            <m:grow/>
          </m:dPr>
          <m:e>
            <m:r>
              <m:t>f</m:t>
            </m:r>
            <m:r>
              <m:t>0</m:t>
            </m:r>
          </m:e>
        </m:d>
      </m:oMath>
      <w:r>
        <w:t xml:space="preserve">, as in</w:t>
      </w:r>
      <w:r>
        <w:t xml:space="preserve"> </w:t>
      </w:r>
      <w:hyperlink w:anchor="eq-method6">
        <w:r>
          <w:rPr>
            <w:rStyle w:val="Hyperlink"/>
          </w:rPr>
          <w:t xml:space="preserve">Equation 13</w:t>
        </w:r>
      </w:hyperlink>
      <w:r>
        <w:t xml:space="preserve">.</w:t>
      </w:r>
    </w:p>
    <w:p>
      <w:pPr>
        <w:pStyle w:val="BodyText"/>
      </w:pPr>
      <w:bookmarkStart w:id="53" w:name="eq-method6"/>
      <m:oMathPara>
        <m:oMathParaPr>
          <m:jc m:val="center"/>
        </m:oMathParaPr>
        <m:oMath>
          <m:sSub>
            <m:e>
              <m:acc>
                <m:accPr>
                  <m:chr m:val="̂"/>
                </m:accPr>
                <m:e>
                  <m:r>
                    <m:t>ψ</m:t>
                  </m:r>
                </m:e>
              </m:acc>
            </m:e>
            <m:sub>
              <m:r>
                <m:t>s</m:t>
              </m:r>
              <m:r>
                <m:rPr>
                  <m:sty m:val="p"/>
                </m:rPr>
                <m:t>,</m:t>
              </m:r>
              <m:r>
                <m:rPr>
                  <m:nor/>
                  <m:sty m:val="p"/>
                </m:rPr>
                <m:t>v</m:t>
              </m:r>
            </m:sub>
          </m:sSub>
          <m:box>
            <m:boxPr>
              <m:opEmu m:val="on"/>
            </m:boxPr>
            <m:e>
              <m:r>
                <m:rPr>
                  <m:sty m:val="p"/>
                </m:rPr>
                <m:t>:=</m:t>
              </m:r>
            </m:e>
          </m:box>
          <m:limLow>
            <m:e>
              <m:r>
                <m:rPr>
                  <m:sty m:val="p"/>
                </m:rPr>
                <m:t>arg</m:t>
              </m:r>
              <m:r>
                <m:rPr>
                  <m:sty m:val="p"/>
                </m:rPr>
                <m:t>max</m:t>
              </m:r>
            </m:e>
            <m:lim>
              <m:sSub>
                <m:e>
                  <m:r>
                    <m:t>ψ</m:t>
                  </m:r>
                </m:e>
                <m:sub>
                  <m:r>
                    <m:t>s</m:t>
                  </m:r>
                </m:sub>
              </m:sSub>
            </m:lim>
          </m:limLow>
          <m:d>
            <m:dPr>
              <m:begChr m:val="["/>
              <m:endChr m:val="]"/>
              <m:sepChr m:val=""/>
              <m:grow/>
            </m:dPr>
            <m:e>
              <m:r>
                <m:t>P</m:t>
              </m:r>
              <m:d>
                <m:dPr>
                  <m:begChr m:val="("/>
                  <m:endChr m:val=")"/>
                  <m:sepChr m:val=""/>
                  <m:grow/>
                </m:dPr>
                <m:e>
                  <m:acc>
                    <m:accPr>
                      <m:chr m:val="⃗"/>
                    </m:accPr>
                    <m:e>
                      <m:r>
                        <m:t>G</m:t>
                      </m:r>
                    </m:e>
                  </m:acc>
                  <m:r>
                    <m:rPr>
                      <m:sty m:val="p"/>
                    </m:rPr>
                    <m:t>|</m:t>
                  </m:r>
                  <m:r>
                    <m:rPr>
                      <m:nor/>
                      <m:sty m:val="p"/>
                    </m:rPr>
                    <m:t>v</m:t>
                  </m:r>
                  <m:r>
                    <m:rPr>
                      <m:sty m:val="p"/>
                    </m:rPr>
                    <m:t>,</m:t>
                  </m:r>
                  <m:sSub>
                    <m:e>
                      <m:r>
                        <m:t>ψ</m:t>
                      </m:r>
                    </m:e>
                    <m:sub>
                      <m:r>
                        <m:t>s</m:t>
                      </m:r>
                    </m:sub>
                  </m:sSub>
                </m:e>
              </m:d>
              <m:r>
                <m:rPr>
                  <m:sty m:val="p"/>
                </m:rPr>
                <m:t>⋅</m:t>
              </m:r>
              <m:r>
                <m:t>P</m:t>
              </m:r>
              <m:d>
                <m:dPr>
                  <m:begChr m:val="("/>
                  <m:endChr m:val=")"/>
                  <m:sepChr m:val=""/>
                  <m:grow/>
                </m:dPr>
                <m:e>
                  <m:r>
                    <m:t>g</m:t>
                  </m:r>
                  <m:r>
                    <m:t>0</m:t>
                  </m:r>
                  <m:r>
                    <m:rPr>
                      <m:sty m:val="p"/>
                    </m:rPr>
                    <m:t>|</m:t>
                  </m:r>
                  <m:sSub>
                    <m:e>
                      <m:r>
                        <m:t>ψ</m:t>
                      </m:r>
                    </m:e>
                    <m:sub>
                      <m:r>
                        <m:t>s</m:t>
                      </m:r>
                    </m:sub>
                  </m:sSub>
                </m:e>
              </m:d>
              <m:r>
                <m:rPr>
                  <m:sty m:val="p"/>
                </m:rPr>
                <m:t>⋅</m:t>
              </m:r>
              <m:r>
                <m:t>P</m:t>
              </m:r>
              <m:d>
                <m:dPr>
                  <m:begChr m:val="("/>
                  <m:endChr m:val=")"/>
                  <m:sepChr m:val=""/>
                  <m:grow/>
                </m:dPr>
                <m:e>
                  <m:sSub>
                    <m:e>
                      <m:r>
                        <m:t>ψ</m:t>
                      </m:r>
                    </m:e>
                    <m:sub>
                      <m:r>
                        <m:t>s</m:t>
                      </m:r>
                    </m:sub>
                  </m:sSub>
                </m:e>
              </m:d>
              <m:r>
                <m:rPr>
                  <m:sty m:val="p"/>
                </m:rPr>
                <m:t>⋅</m:t>
              </m:r>
              <m:r>
                <m:t>P</m:t>
              </m:r>
              <m:d>
                <m:dPr>
                  <m:begChr m:val="("/>
                  <m:endChr m:val=")"/>
                  <m:sepChr m:val=""/>
                  <m:grow/>
                </m:dPr>
                <m:e>
                  <m:r>
                    <m:rPr>
                      <m:nor/>
                      <m:sty m:val="p"/>
                    </m:rPr>
                    <m:t>v</m:t>
                  </m:r>
                </m:e>
              </m:d>
            </m:e>
          </m:d>
          <m:r>
            <m:t>  </m:t>
          </m:r>
          <m:d>
            <m:dPr>
              <m:begChr m:val="("/>
              <m:endChr m:val=")"/>
              <m:sepChr m:val=""/>
              <m:grow/>
            </m:dPr>
            <m:e>
              <m:r>
                <m:t>13</m:t>
              </m:r>
            </m:e>
          </m:d>
        </m:oMath>
      </m:oMathPara>
      <w:bookmarkEnd w:id="53"/>
    </w:p>
    <w:p>
      <w:pPr>
        <w:pStyle w:val="FirstParagraph"/>
      </w:pPr>
      <w:r>
        <w:t xml:space="preserve">Just like the mean and standard deviation of the normal prior for method 3, researchers can estimate</w:t>
      </w:r>
      <w:r>
        <w:t xml:space="preserve"> </w:t>
      </w:r>
      <m:oMath>
        <m:r>
          <m:t>P</m:t>
        </m:r>
        <m:d>
          <m:dPr>
            <m:begChr m:val="("/>
            <m:endChr m:val=")"/>
            <m:sepChr m:val=""/>
            <m:grow/>
          </m:dPr>
          <m:e>
            <m:r>
              <m:t>g</m:t>
            </m:r>
            <m:r>
              <m:t>0</m:t>
            </m:r>
            <m:r>
              <m:rPr>
                <m:sty m:val="p"/>
              </m:rPr>
              <m:t>|</m:t>
            </m:r>
            <m:sSub>
              <m:e>
                <m:r>
                  <m:t>ψ</m:t>
                </m:r>
              </m:e>
              <m:sub>
                <m:r>
                  <m:t>s</m:t>
                </m:r>
              </m:sub>
            </m:sSub>
          </m:e>
        </m:d>
      </m:oMath>
      <w:r>
        <w:t xml:space="preserve"> </w:t>
      </w:r>
      <w:r>
        <w:t xml:space="preserve">in</w:t>
      </w:r>
      <w:r>
        <w:t xml:space="preserve"> </w:t>
      </w:r>
      <w:hyperlink w:anchor="eq-method6">
        <w:r>
          <w:rPr>
            <w:rStyle w:val="Hyperlink"/>
          </w:rPr>
          <w:t xml:space="preserve">Equation 13</w:t>
        </w:r>
      </w:hyperlink>
      <w:r>
        <w:t xml:space="preserve"> </w:t>
      </w:r>
      <w:r>
        <w:t xml:space="preserve">from a reasonably-sized database. Specifically, assuming a linear relationship between</w:t>
      </w:r>
      <w:r>
        <w:t xml:space="preserve"> </w:t>
      </w:r>
      <m:oMath>
        <m:r>
          <m:t>g</m:t>
        </m:r>
        <m:r>
          <m:t>0</m:t>
        </m:r>
      </m:oMath>
      <w:r>
        <w:t xml:space="preserve"> </w:t>
      </w:r>
      <w:r>
        <w:t xml:space="preserve">and</w:t>
      </w:r>
      <w:r>
        <w:t xml:space="preserve"> </w:t>
      </w:r>
      <m:oMath>
        <m:sSub>
          <m:e>
            <m:r>
              <m:t>ψ</m:t>
            </m:r>
          </m:e>
          <m:sub>
            <m:r>
              <m:t>s</m:t>
            </m:r>
          </m:sub>
        </m:sSub>
      </m:oMath>
      <w:r>
        <w:t xml:space="preserve"> </w:t>
      </w:r>
      <w:r>
        <w:t xml:space="preserve">with normally distributed residual uncertainty about</w:t>
      </w:r>
      <w:r>
        <w:t xml:space="preserve"> </w:t>
      </w:r>
      <m:oMath>
        <m:r>
          <m:t>g</m:t>
        </m:r>
        <m:r>
          <m:t>0</m:t>
        </m:r>
      </m:oMath>
      <w:r>
        <w:t xml:space="preserve">, researchers can use linear regression to predict observed</w:t>
      </w:r>
      <w:r>
        <w:t xml:space="preserve"> </w:t>
      </w:r>
      <m:oMath>
        <m:r>
          <m:t>g</m:t>
        </m:r>
        <m:sSub>
          <m:e>
            <m:r>
              <m:t>0</m:t>
            </m:r>
          </m:e>
          <m:sub>
            <m:r>
              <m:t>s</m:t>
            </m:r>
          </m:sub>
        </m:sSub>
      </m:oMath>
      <w:r>
        <w:t xml:space="preserve">s from estimates of</w:t>
      </w:r>
      <w:r>
        <w:t xml:space="preserve"> </w:t>
      </w:r>
      <m:oMath>
        <m:sSub>
          <m:e>
            <m:acc>
              <m:accPr>
                <m:chr m:val="̂"/>
              </m:accPr>
              <m:e>
                <m:r>
                  <m:t>ψ</m:t>
                </m:r>
              </m:e>
            </m:acc>
          </m:e>
          <m:sub>
            <m:r>
              <m:t>s</m:t>
            </m:r>
          </m:sub>
        </m:sSub>
        <m:r>
          <m:rPr>
            <m:sty m:val="p"/>
          </m:rPr>
          <m:t>=</m:t>
        </m:r>
        <m:sSub>
          <m:e>
            <m:acc>
              <m:accPr>
                <m:chr m:val="‾"/>
              </m:accPr>
              <m:e>
                <m:r>
                  <m:t>G</m:t>
                </m:r>
              </m:e>
            </m:acc>
          </m:e>
          <m:sub>
            <m:r>
              <m:t>s</m:t>
            </m:r>
          </m:sub>
        </m:sSub>
      </m:oMath>
      <w:r>
        <w:t xml:space="preserve"> </w:t>
      </w:r>
      <w:r>
        <w:t xml:space="preserve">as in (</w:t>
      </w:r>
      <w:hyperlink w:anchor="eq-method-naive">
        <w:r>
          <w:rPr>
            <w:rStyle w:val="Hyperlink"/>
          </w:rPr>
          <w:t xml:space="preserve">Equation 6</w:t>
        </w:r>
      </w:hyperlink>
      <w:r>
        <w:t xml:space="preserve">).</w:t>
      </w:r>
      <w:r>
        <w:rPr>
          <w:rStyle w:val="FootnoteReference"/>
        </w:rPr>
        <w:footnoteReference w:id="54"/>
      </w:r>
      <w:r>
        <w:t xml:space="preserve"> </w:t>
      </w:r>
      <w:r>
        <w:t xml:space="preserve">The intercept</w:t>
      </w:r>
      <w:r>
        <w:t xml:space="preserve"> </w:t>
      </w:r>
      <m:oMath>
        <m:sSub>
          <m:e>
            <m:acc>
              <m:accPr>
                <m:chr m:val="̂"/>
              </m:accPr>
              <m:e>
                <m:r>
                  <m:t>α</m:t>
                </m:r>
              </m:e>
            </m:acc>
          </m:e>
          <m:sub>
            <m:r>
              <m:t>g</m:t>
            </m:r>
            <m:r>
              <m:t>0</m:t>
            </m:r>
          </m:sub>
        </m:sSub>
      </m:oMath>
      <w:r>
        <w:t xml:space="preserve"> </w:t>
      </w:r>
      <w:r>
        <w:t xml:space="preserve">and slope</w:t>
      </w:r>
      <w:r>
        <w:t xml:space="preserve"> </w:t>
      </w:r>
      <m:oMath>
        <m:sSub>
          <m:e>
            <m:acc>
              <m:accPr>
                <m:chr m:val="̂"/>
              </m:accPr>
              <m:e>
                <m:r>
                  <m:t>β</m:t>
                </m:r>
              </m:e>
            </m:acc>
          </m:e>
          <m:sub>
            <m:r>
              <m:t>g</m:t>
            </m:r>
            <m:r>
              <m:t>0</m:t>
            </m:r>
          </m:sub>
        </m:sSub>
      </m:oMath>
      <w:r>
        <w:t xml:space="preserve"> </w:t>
      </w:r>
      <w:r>
        <w:t xml:space="preserve">can then be used to predict the mean</w:t>
      </w:r>
      <w:r>
        <w:t xml:space="preserve"> </w:t>
      </w:r>
      <m:oMath>
        <m:sSub>
          <m:e>
            <m:acc>
              <m:accPr>
                <m:chr m:val="̂"/>
              </m:accPr>
              <m:e>
                <m:r>
                  <m:t>μ</m:t>
                </m:r>
              </m:e>
            </m:acc>
          </m:e>
          <m:sub>
            <m:r>
              <m:t>g</m:t>
            </m:r>
            <m:r>
              <m:t>0</m:t>
            </m:r>
          </m:sub>
        </m:sSub>
      </m:oMath>
      <w:r>
        <w:t xml:space="preserve"> </w:t>
      </w:r>
      <w:r>
        <w:t xml:space="preserve">around which</w:t>
      </w:r>
      <w:r>
        <w:t xml:space="preserve"> </w:t>
      </w:r>
      <m:oMath>
        <m:r>
          <m:t>g</m:t>
        </m:r>
        <m:r>
          <m:t>0</m:t>
        </m:r>
      </m:oMath>
      <w:r>
        <w:t xml:space="preserve"> </w:t>
      </w:r>
      <w:r>
        <w:t xml:space="preserve">is expected to be distributed given</w:t>
      </w:r>
      <w:r>
        <w:t xml:space="preserve"> </w:t>
      </w:r>
      <m:oMath>
        <m:sSub>
          <m:e>
            <m:r>
              <m:t>ψ</m:t>
            </m:r>
          </m:e>
          <m:sub>
            <m:r>
              <m:t>s</m:t>
            </m:r>
          </m:sub>
        </m:sSub>
      </m:oMath>
      <w:r>
        <w:t xml:space="preserve"> </w:t>
      </w:r>
      <w:r>
        <w:t xml:space="preserve">with a standard deviation equal to the residual standard deviation of the linear regression,</w:t>
      </w:r>
      <w:r>
        <w:t xml:space="preserve"> </w:t>
      </w:r>
      <m:oMath>
        <m:sSub>
          <m:e>
            <m:acc>
              <m:accPr>
                <m:chr m:val="̂"/>
              </m:accPr>
              <m:e>
                <m:r>
                  <m:t>σ</m:t>
                </m:r>
              </m:e>
            </m:acc>
          </m:e>
          <m:sub>
            <m:r>
              <m:t>g</m:t>
            </m:r>
            <m:r>
              <m:t>0</m:t>
            </m:r>
          </m:sub>
        </m:sSub>
      </m:oMath>
      <w:r>
        <w:t xml:space="preserve">:</w:t>
      </w:r>
    </w:p>
    <w:p>
      <w:pPr>
        <w:pStyle w:val="BodyText"/>
      </w:pPr>
      <w:bookmarkStart w:id="55" w:name="eq-posterior-g0"/>
      <m:oMathPara>
        <m:oMathParaPr>
          <m:jc m:val="center"/>
        </m:oMathParaPr>
        <m:oMath>
          <m:r>
            <m:t>P</m:t>
          </m:r>
          <m:d>
            <m:dPr>
              <m:begChr m:val="("/>
              <m:endChr m:val=")"/>
              <m:sepChr m:val=""/>
              <m:grow/>
            </m:dPr>
            <m:e>
              <m:r>
                <m:t>g</m:t>
              </m:r>
              <m:r>
                <m:t>0</m:t>
              </m:r>
              <m:r>
                <m:rPr>
                  <m:sty m:val="p"/>
                </m:rPr>
                <m:t>|</m:t>
              </m:r>
              <m:sSub>
                <m:e>
                  <m:r>
                    <m:t>ψ</m:t>
                  </m:r>
                </m:e>
                <m:sub>
                  <m:r>
                    <m:t>s</m:t>
                  </m:r>
                </m:sub>
              </m:sSub>
            </m:e>
          </m:d>
          <m:box>
            <m:boxPr>
              <m:opEmu m:val="on"/>
            </m:boxPr>
            <m:e>
              <m:r>
                <m:rPr>
                  <m:sty m:val="p"/>
                </m:rPr>
                <m:t>:=</m:t>
              </m:r>
            </m:e>
          </m:box>
          <m:r>
            <m:t>N</m:t>
          </m:r>
          <m:d>
            <m:dPr>
              <m:begChr m:val="("/>
              <m:endChr m:val=")"/>
              <m:sepChr m:val=""/>
              <m:grow/>
            </m:dPr>
            <m:e>
              <m:sSub>
                <m:e>
                  <m:acc>
                    <m:accPr>
                      <m:chr m:val="̂"/>
                    </m:accPr>
                    <m:e>
                      <m:r>
                        <m:t>μ</m:t>
                      </m:r>
                    </m:e>
                  </m:acc>
                </m:e>
                <m:sub>
                  <m:r>
                    <m:t>g</m:t>
                  </m:r>
                  <m:r>
                    <m:t>0</m:t>
                  </m:r>
                </m:sub>
              </m:sSub>
              <m:r>
                <m:rPr>
                  <m:sty m:val="p"/>
                </m:rPr>
                <m:t>,</m:t>
              </m:r>
              <m:sSub>
                <m:e>
                  <m:acc>
                    <m:accPr>
                      <m:chr m:val="̂"/>
                    </m:accPr>
                    <m:e>
                      <m:r>
                        <m:t>σ</m:t>
                      </m:r>
                    </m:e>
                  </m:acc>
                </m:e>
                <m:sub>
                  <m:r>
                    <m:t>g</m:t>
                  </m:r>
                  <m:r>
                    <m:t>0</m:t>
                  </m:r>
                </m:sub>
              </m:sSub>
            </m:e>
          </m:d>
          <m:r>
            <m:rPr>
              <m:sty m:val="p"/>
            </m:rPr>
            <m:t>=</m:t>
          </m:r>
          <m:r>
            <m:t>N</m:t>
          </m:r>
          <m:d>
            <m:dPr>
              <m:begChr m:val="("/>
              <m:endChr m:val=")"/>
              <m:sepChr m:val=""/>
              <m:grow/>
            </m:dPr>
            <m:e>
              <m:sSub>
                <m:e>
                  <m:acc>
                    <m:accPr>
                      <m:chr m:val="̂"/>
                    </m:accPr>
                    <m:e>
                      <m:r>
                        <m:t>α</m:t>
                      </m:r>
                    </m:e>
                  </m:acc>
                </m:e>
                <m:sub>
                  <m:r>
                    <m:t>g</m:t>
                  </m:r>
                  <m:r>
                    <m:t>0</m:t>
                  </m:r>
                </m:sub>
              </m:sSub>
              <m:r>
                <m:rPr>
                  <m:sty m:val="p"/>
                </m:rPr>
                <m:t>+</m:t>
              </m:r>
              <m:sSub>
                <m:e>
                  <m:acc>
                    <m:accPr>
                      <m:chr m:val="̂"/>
                    </m:accPr>
                    <m:e>
                      <m:r>
                        <m:t>β</m:t>
                      </m:r>
                    </m:e>
                  </m:acc>
                </m:e>
                <m:sub>
                  <m:r>
                    <m:t>g</m:t>
                  </m:r>
                  <m:r>
                    <m:t>0</m:t>
                  </m:r>
                </m:sub>
              </m:sSub>
              <m:r>
                <m:rPr>
                  <m:sty m:val="p"/>
                </m:rPr>
                <m:t>⋅</m:t>
              </m:r>
              <m:sSub>
                <m:e>
                  <m:r>
                    <m:t>ψ</m:t>
                  </m:r>
                </m:e>
                <m:sub>
                  <m:r>
                    <m:t>s</m:t>
                  </m:r>
                </m:sub>
              </m:sSub>
              <m:r>
                <m:rPr>
                  <m:sty m:val="p"/>
                </m:rPr>
                <m:t>,</m:t>
              </m:r>
              <m:sSub>
                <m:e>
                  <m:acc>
                    <m:accPr>
                      <m:chr m:val="̂"/>
                    </m:accPr>
                    <m:e>
                      <m:r>
                        <m:t>σ</m:t>
                      </m:r>
                    </m:e>
                  </m:acc>
                </m:e>
                <m:sub>
                  <m:r>
                    <m:t>g</m:t>
                  </m:r>
                  <m:r>
                    <m:t>0</m:t>
                  </m:r>
                </m:sub>
              </m:sSub>
            </m:e>
          </m:d>
          <m:r>
            <m:t>  </m:t>
          </m:r>
          <m:d>
            <m:dPr>
              <m:begChr m:val="("/>
              <m:endChr m:val=")"/>
              <m:sepChr m:val=""/>
              <m:grow/>
            </m:dPr>
            <m:e>
              <m:r>
                <m:t>14</m:t>
              </m:r>
            </m:e>
          </m:d>
        </m:oMath>
      </m:oMathPara>
      <w:bookmarkEnd w:id="55"/>
    </w:p>
    <w:p>
      <w:pPr>
        <w:pStyle w:val="FirstParagraph"/>
      </w:pPr>
      <w:r>
        <w:t xml:space="preserve">Using the same database from method 3, Nearey and Assmann obtained</w:t>
      </w:r>
      <w:r>
        <w:t xml:space="preserve"> </w:t>
      </w:r>
      <m:oMath>
        <m:sSub>
          <m:e>
            <m:acc>
              <m:accPr>
                <m:chr m:val="̂"/>
              </m:accPr>
              <m:e>
                <m:r>
                  <m:t>α</m:t>
                </m:r>
              </m:e>
            </m:acc>
          </m:e>
          <m:sub>
            <m:r>
              <m:t>g</m:t>
            </m:r>
            <m:r>
              <m:t>0</m:t>
            </m:r>
          </m:sub>
        </m:sSub>
        <m:r>
          <m:rPr>
            <m:sty m:val="p"/>
          </m:rPr>
          <m:t>=</m:t>
        </m:r>
        <m:r>
          <m:rPr>
            <m:sty m:val="p"/>
          </m:rPr>
          <m:t>−</m:t>
        </m:r>
        <m:r>
          <m:t>10.3</m:t>
        </m:r>
      </m:oMath>
      <w:r>
        <w:t xml:space="preserve">,</w:t>
      </w:r>
      <w:r>
        <w:t xml:space="preserve"> </w:t>
      </w:r>
      <m:oMath>
        <m:sSub>
          <m:e>
            <m:acc>
              <m:accPr>
                <m:chr m:val="̂"/>
              </m:accPr>
              <m:e>
                <m:r>
                  <m:t>β</m:t>
                </m:r>
              </m:e>
            </m:acc>
          </m:e>
          <m:sub>
            <m:r>
              <m:t>g</m:t>
            </m:r>
            <m:r>
              <m:t>0</m:t>
            </m:r>
          </m:sub>
        </m:sSub>
        <m:r>
          <m:rPr>
            <m:sty m:val="p"/>
          </m:rPr>
          <m:t>=</m:t>
        </m:r>
        <m:r>
          <m:t>2.14</m:t>
        </m:r>
      </m:oMath>
      <w:r>
        <w:t xml:space="preserve">, and</w:t>
      </w:r>
      <w:r>
        <w:t xml:space="preserve"> </w:t>
      </w:r>
      <m:oMath>
        <m:sSub>
          <m:e>
            <m:acc>
              <m:accPr>
                <m:chr m:val="̂"/>
              </m:accPr>
              <m:e>
                <m:r>
                  <m:t>σ</m:t>
                </m:r>
              </m:e>
            </m:acc>
          </m:e>
          <m:sub>
            <m:r>
              <m:t>g</m:t>
            </m:r>
            <m:r>
              <m:t>0</m:t>
            </m:r>
          </m:sub>
        </m:sSub>
        <m:r>
          <m:rPr>
            <m:sty m:val="p"/>
          </m:rPr>
          <m:t>=</m:t>
        </m:r>
        <m:r>
          <m:t>0.133</m:t>
        </m:r>
      </m:oMath>
      <w:r>
        <w:t xml:space="preserve">. All other steps required to obtain the MAP estimate of</w:t>
      </w:r>
      <w:r>
        <w:t xml:space="preserve"> </w:t>
      </w:r>
      <m:oMath>
        <m:sSub>
          <m:e>
            <m:r>
              <m:t>ψ</m:t>
            </m:r>
          </m:e>
          <m:sub>
            <m:r>
              <m:t>s</m:t>
            </m:r>
          </m:sub>
        </m:sSub>
      </m:oMath>
      <w:r>
        <w:t xml:space="preserve"> </w:t>
      </w:r>
      <w:r>
        <w:t xml:space="preserve">parallel method 3. The two rightmost columns of</w:t>
      </w:r>
      <w:r>
        <w:t xml:space="preserve"> </w:t>
      </w:r>
      <w:hyperlink w:anchor="fig-slidingtemplate3">
        <w:r>
          <w:rPr>
            <w:rStyle w:val="Hyperlink"/>
          </w:rPr>
          <w:t xml:space="preserve">Figure 3</w:t>
        </w:r>
      </w:hyperlink>
      <w:r>
        <w:t xml:space="preserve"> </w:t>
      </w:r>
      <w:r>
        <w:t xml:space="preserve">illustrate how</w:t>
      </w:r>
      <w:r>
        <w:t xml:space="preserve"> </w:t>
      </w:r>
      <m:oMath>
        <m:r>
          <m:t>f</m:t>
        </m:r>
        <m:r>
          <m:t>0</m:t>
        </m:r>
      </m:oMath>
      <w:r>
        <w:t xml:space="preserve"> </w:t>
      </w:r>
      <w:r>
        <w:t xml:space="preserve">can affect both the estimation of</w:t>
      </w:r>
      <w:r>
        <w:t xml:space="preserve"> </w:t>
      </w:r>
      <m:oMath>
        <m:sSub>
          <m:e>
            <m:r>
              <m:t>ψ</m:t>
            </m:r>
          </m:e>
          <m:sub>
            <m:r>
              <m:t>s</m:t>
            </m:r>
          </m:sub>
        </m:sSub>
      </m:oMath>
      <w:r>
        <w:t xml:space="preserve"> </w:t>
      </w:r>
      <w:r>
        <w:t xml:space="preserve">and the posterior probabilities of different vowel categories.</w:t>
      </w:r>
    </w:p>
    <w:bookmarkEnd w:id="56"/>
    <w:bookmarkStart w:id="58" w:name="sec-implementation"/>
    <w:p>
      <w:pPr>
        <w:pStyle w:val="Heading2"/>
      </w:pPr>
      <w:r>
        <w:t xml:space="preserve">4.5 Implementation</w:t>
      </w:r>
    </w:p>
    <w:p>
      <w:pPr>
        <w:pStyle w:val="FirstParagraph"/>
      </w:pPr>
      <w:r>
        <w:t xml:space="preserve">Nearey and Assmann (2007)</w:t>
      </w:r>
      <w:r>
        <w:t xml:space="preserve"> </w:t>
      </w:r>
      <w:r>
        <w:t xml:space="preserve">note that</w:t>
      </w:r>
      <w:r>
        <w:t xml:space="preserve"> </w:t>
      </w:r>
      <w:r>
        <w:t xml:space="preserve">“</w:t>
      </w:r>
      <w:r>
        <w:t xml:space="preserve">analytic solutions to the optimizations [for the different methods] are available and no search is necessary</w:t>
      </w:r>
      <w:r>
        <w:t xml:space="preserve">”</w:t>
      </w:r>
      <w:r>
        <w:t xml:space="preserve"> </w:t>
      </w:r>
      <w:r>
        <w:t xml:space="preserve">(p. 252). However, they did not provide those analytic solutions. In</w:t>
      </w:r>
      <w:r>
        <w:t xml:space="preserve"> </w:t>
      </w:r>
      <w:hyperlink w:anchor="eq-method6-solve">
        <w:r>
          <w:rPr>
            <w:rStyle w:val="Hyperlink"/>
          </w:rPr>
          <w:t xml:space="preserve">Equation 15</w:t>
        </w:r>
      </w:hyperlink>
      <w:r>
        <w:t xml:space="preserve">, we state the analytic solutions for method 6, which contains all calculations required for methods 2 and 3. To find the MAP estimates</w:t>
      </w:r>
      <w:r>
        <w:t xml:space="preserve"> </w:t>
      </w:r>
      <m:oMath>
        <m:sSub>
          <m:e>
            <m:acc>
              <m:accPr>
                <m:chr m:val="̂"/>
              </m:accPr>
              <m:e>
                <m:r>
                  <m:t>ψ</m:t>
                </m:r>
              </m:e>
            </m:acc>
          </m:e>
          <m:sub>
            <m:r>
              <m:t>s</m:t>
            </m:r>
            <m:r>
              <m:rPr>
                <m:sty m:val="p"/>
              </m:rPr>
              <m:t>,</m:t>
            </m:r>
            <m:r>
              <m:rPr>
                <m:nor/>
                <m:sty m:val="p"/>
              </m:rPr>
              <m:t>v</m:t>
            </m:r>
          </m:sub>
        </m:sSub>
      </m:oMath>
      <w:r>
        <w:t xml:space="preserve"> </w:t>
      </w:r>
      <w:r>
        <w:t xml:space="preserve">for each vowel, we must calculate the product of the densities in</w:t>
      </w:r>
      <w:r>
        <w:t xml:space="preserve"> </w:t>
      </w:r>
      <w:hyperlink w:anchor="eq-method6-solve">
        <w:r>
          <w:rPr>
            <w:rStyle w:val="Hyperlink"/>
          </w:rPr>
          <w:t xml:space="preserve">Equation 15</w:t>
        </w:r>
      </w:hyperlink>
      <w:r>
        <w:t xml:space="preserve"> </w:t>
      </w:r>
      <w:r>
        <w:t xml:space="preserve">for each vowel and find the maximum. The complete derivation is provided in the SI.</w:t>
      </w:r>
    </w:p>
    <w:p>
      <w:pPr>
        <w:pStyle w:val="BodyText"/>
      </w:pPr>
      <w:bookmarkStart w:id="57" w:name="eq-method6-solve"/>
      <m:oMathPara>
        <m:oMathParaPr>
          <m:jc m:val="center"/>
        </m:oMathParaPr>
        <m:oMath>
          <m:m>
            <m:mPr>
              <m:baseJc m:val="center"/>
              <m:plcHide m:val="on"/>
              <m:mcs>
                <m:mc>
                  <m:mcPr>
                    <m:mcJc m:val="right"/>
                    <m:count m:val="1"/>
                  </m:mcPr>
                </m:mc>
              </m:mcs>
            </m:mPr>
            <m:mr>
              <m:e>
                <m:r>
                  <m:t>P</m:t>
                </m:r>
                <m:d>
                  <m:dPr>
                    <m:begChr m:val="("/>
                    <m:endChr m:val=")"/>
                    <m:sepChr m:val=""/>
                    <m:grow/>
                  </m:dPr>
                  <m:e>
                    <m:acc>
                      <m:accPr>
                        <m:chr m:val="⃗"/>
                      </m:accPr>
                      <m:e>
                        <m:r>
                          <m:t>G</m:t>
                        </m:r>
                      </m:e>
                    </m:acc>
                    <m:r>
                      <m:rPr>
                        <m:sty m:val="p"/>
                      </m:rPr>
                      <m:t>|</m:t>
                    </m:r>
                    <m:r>
                      <m:rPr>
                        <m:nor/>
                        <m:sty m:val="p"/>
                      </m:rPr>
                      <m:t>v</m:t>
                    </m:r>
                    <m:r>
                      <m:rPr>
                        <m:sty m:val="p"/>
                      </m:rPr>
                      <m:t>,</m:t>
                    </m:r>
                    <m:sSub>
                      <m:e>
                        <m:r>
                          <m:t>ψ</m:t>
                        </m:r>
                      </m:e>
                      <m:sub>
                        <m:r>
                          <m:t>s</m:t>
                        </m:r>
                      </m:sub>
                    </m:sSub>
                  </m:e>
                </m:d>
                <m:r>
                  <m:rPr>
                    <m:sty m:val="p"/>
                  </m:rPr>
                  <m:t>⋅</m:t>
                </m:r>
                <m:r>
                  <m:t>P</m:t>
                </m:r>
                <m:d>
                  <m:dPr>
                    <m:begChr m:val="("/>
                    <m:endChr m:val=")"/>
                    <m:sepChr m:val=""/>
                    <m:grow/>
                  </m:dPr>
                  <m:e>
                    <m:r>
                      <m:t>g</m:t>
                    </m:r>
                    <m:r>
                      <m:t>0</m:t>
                    </m:r>
                    <m:r>
                      <m:rPr>
                        <m:sty m:val="p"/>
                      </m:rPr>
                      <m:t>|</m:t>
                    </m:r>
                    <m:sSub>
                      <m:e>
                        <m:r>
                          <m:t>ψ</m:t>
                        </m:r>
                      </m:e>
                      <m:sub>
                        <m:r>
                          <m:t>s</m:t>
                        </m:r>
                      </m:sub>
                    </m:sSub>
                  </m:e>
                </m:d>
                <m:r>
                  <m:rPr>
                    <m:sty m:val="p"/>
                  </m:rPr>
                  <m:t>⋅</m:t>
                </m:r>
                <m:r>
                  <m:t>P</m:t>
                </m:r>
                <m:d>
                  <m:dPr>
                    <m:begChr m:val="("/>
                    <m:endChr m:val=")"/>
                    <m:sepChr m:val=""/>
                    <m:grow/>
                  </m:dPr>
                  <m:e>
                    <m:sSub>
                      <m:e>
                        <m:r>
                          <m:t>ψ</m:t>
                        </m:r>
                      </m:e>
                      <m:sub>
                        <m:r>
                          <m:t>s</m:t>
                        </m:r>
                      </m:sub>
                    </m:sSub>
                  </m:e>
                </m:d>
                <m:r>
                  <m:rPr>
                    <m:sty m:val="p"/>
                  </m:rPr>
                  <m:t>⋅</m:t>
                </m:r>
                <m:r>
                  <m:t>P</m:t>
                </m:r>
                <m:d>
                  <m:dPr>
                    <m:begChr m:val="("/>
                    <m:endChr m:val=")"/>
                    <m:sepChr m:val=""/>
                    <m:grow/>
                  </m:dPr>
                  <m:e>
                    <m:r>
                      <m:rPr>
                        <m:nor/>
                        <m:sty m:val="p"/>
                      </m:rPr>
                      <m:t>v</m:t>
                    </m:r>
                  </m:e>
                </m:d>
                <m:r>
                  <m:rPr>
                    <m:sty m:val="p"/>
                  </m:rPr>
                  <m:t>=</m:t>
                </m:r>
              </m:e>
            </m:mr>
            <m:mr>
              <m:e>
                <m:r>
                  <m:rPr>
                    <m:nor/>
                    <m:sty m:val="p"/>
                  </m:rPr>
                  <m:t>MVN</m:t>
                </m:r>
                <m:d>
                  <m:dPr>
                    <m:begChr m:val="("/>
                    <m:endChr m:val=")"/>
                    <m:sepChr m:val=""/>
                    <m:grow/>
                  </m:dPr>
                  <m:e>
                    <m:sSub>
                      <m:e>
                        <m:acc>
                          <m:accPr>
                            <m:chr m:val="⃗"/>
                          </m:accPr>
                          <m:e>
                            <m:r>
                              <m:t>N</m:t>
                            </m:r>
                          </m:e>
                        </m:acc>
                      </m:e>
                      <m:sub>
                        <m:r>
                          <m:t>ψ</m:t>
                        </m:r>
                      </m:sub>
                    </m:sSub>
                    <m:r>
                      <m:t> </m:t>
                    </m:r>
                    <m:r>
                      <m:rPr>
                        <m:sty m:val="p"/>
                      </m:rPr>
                      <m:t>|</m:t>
                    </m:r>
                    <m:r>
                      <m:t> </m:t>
                    </m:r>
                    <m:sSub>
                      <m:e>
                        <m:acc>
                          <m:accPr>
                            <m:chr m:val="⃗"/>
                          </m:accPr>
                          <m:e>
                            <m:acc>
                              <m:accPr>
                                <m:chr m:val="̂"/>
                              </m:accPr>
                              <m:e>
                                <m:r>
                                  <m:t>μ</m:t>
                                </m:r>
                              </m:e>
                            </m:acc>
                          </m:e>
                        </m:acc>
                      </m:e>
                      <m:sub>
                        <m:r>
                          <m:rPr>
                            <m:sty m:val="p"/>
                          </m:rPr>
                          <m:t>v</m:t>
                        </m:r>
                      </m:sub>
                    </m:sSub>
                    <m:r>
                      <m:rPr>
                        <m:sty m:val="p"/>
                      </m:rPr>
                      <m:t>,</m:t>
                    </m:r>
                    <m:sSub>
                      <m:e>
                        <m:acc>
                          <m:accPr>
                            <m:chr m:val="̂"/>
                          </m:accPr>
                          <m:e>
                            <m:r>
                              <m:t>Σ</m:t>
                            </m:r>
                          </m:e>
                        </m:acc>
                      </m:e>
                      <m:sub>
                        <m:r>
                          <m:rPr>
                            <m:sty m:val="p"/>
                          </m:rPr>
                          <m:t>v</m:t>
                        </m:r>
                      </m:sub>
                    </m:sSub>
                  </m:e>
                </m:d>
                <m:r>
                  <m:rPr>
                    <m:sty m:val="p"/>
                  </m:rPr>
                  <m:t>⋅</m:t>
                </m:r>
              </m:e>
            </m:mr>
            <m:mr>
              <m:e>
                <m:r>
                  <m:t>N</m:t>
                </m:r>
                <m:d>
                  <m:dPr>
                    <m:begChr m:val="("/>
                    <m:endChr m:val=")"/>
                    <m:sepChr m:val=""/>
                    <m:grow/>
                  </m:dPr>
                  <m:e>
                    <m:sSub>
                      <m:e>
                        <m:acc>
                          <m:accPr>
                            <m:chr m:val="̂"/>
                          </m:accPr>
                          <m:e>
                            <m:r>
                              <m:t>α</m:t>
                            </m:r>
                          </m:e>
                        </m:acc>
                      </m:e>
                      <m:sub>
                        <m:r>
                          <m:t>g</m:t>
                        </m:r>
                        <m:r>
                          <m:t>0</m:t>
                        </m:r>
                      </m:sub>
                    </m:sSub>
                    <m:r>
                      <m:rPr>
                        <m:sty m:val="p"/>
                      </m:rPr>
                      <m:t>+</m:t>
                    </m:r>
                    <m:sSub>
                      <m:e>
                        <m:acc>
                          <m:accPr>
                            <m:chr m:val="̂"/>
                          </m:accPr>
                          <m:e>
                            <m:r>
                              <m:t>β</m:t>
                            </m:r>
                          </m:e>
                        </m:acc>
                      </m:e>
                      <m:sub>
                        <m:r>
                          <m:t>g</m:t>
                        </m:r>
                        <m:r>
                          <m:t>0</m:t>
                        </m:r>
                      </m:sub>
                    </m:sSub>
                    <m:r>
                      <m:rPr>
                        <m:sty m:val="p"/>
                      </m:rPr>
                      <m:t>⋅</m:t>
                    </m:r>
                    <m:sSub>
                      <m:e>
                        <m:r>
                          <m:t>ψ</m:t>
                        </m:r>
                      </m:e>
                      <m:sub>
                        <m:r>
                          <m:t>s</m:t>
                        </m:r>
                      </m:sub>
                    </m:sSub>
                    <m:r>
                      <m:rPr>
                        <m:sty m:val="p"/>
                      </m:rPr>
                      <m:t>,</m:t>
                    </m:r>
                    <m:sSub>
                      <m:e>
                        <m:acc>
                          <m:accPr>
                            <m:chr m:val="̂"/>
                          </m:accPr>
                          <m:e>
                            <m:r>
                              <m:t>σ</m:t>
                            </m:r>
                          </m:e>
                        </m:acc>
                      </m:e>
                      <m:sub>
                        <m:r>
                          <m:t>g</m:t>
                        </m:r>
                        <m:r>
                          <m:t>0</m:t>
                        </m:r>
                      </m:sub>
                    </m:sSub>
                  </m:e>
                </m:d>
                <m:r>
                  <m:rPr>
                    <m:sty m:val="p"/>
                  </m:rPr>
                  <m:t>⋅</m:t>
                </m:r>
              </m:e>
            </m:mr>
            <m:mr>
              <m:e>
                <m:r>
                  <m:t>N</m:t>
                </m:r>
                <m:d>
                  <m:dPr>
                    <m:begChr m:val="("/>
                    <m:endChr m:val=")"/>
                    <m:sepChr m:val=""/>
                    <m:grow/>
                  </m:dPr>
                  <m:e>
                    <m:sSub>
                      <m:e>
                        <m:acc>
                          <m:accPr>
                            <m:chr m:val="̂"/>
                          </m:accPr>
                          <m:e>
                            <m:r>
                              <m:t>μ</m:t>
                            </m:r>
                          </m:e>
                        </m:acc>
                      </m:e>
                      <m:sub>
                        <m:r>
                          <m:t>ψ</m:t>
                        </m:r>
                      </m:sub>
                    </m:sSub>
                    <m:r>
                      <m:rPr>
                        <m:sty m:val="p"/>
                      </m:rPr>
                      <m:t>,</m:t>
                    </m:r>
                    <m:sSub>
                      <m:e>
                        <m:acc>
                          <m:accPr>
                            <m:chr m:val="̂"/>
                          </m:accPr>
                          <m:e>
                            <m:r>
                              <m:t>σ</m:t>
                            </m:r>
                          </m:e>
                        </m:acc>
                      </m:e>
                      <m:sub>
                        <m:r>
                          <m:t>ψ</m:t>
                        </m:r>
                      </m:sub>
                    </m:sSub>
                  </m:e>
                </m:d>
                <m:r>
                  <m:rPr>
                    <m:sty m:val="p"/>
                  </m:rPr>
                  <m:t>⋅</m:t>
                </m:r>
              </m:e>
            </m:mr>
            <m:mr>
              <m:e>
                <m:r>
                  <m:t>P</m:t>
                </m:r>
                <m:d>
                  <m:dPr>
                    <m:begChr m:val="("/>
                    <m:endChr m:val=")"/>
                    <m:sepChr m:val=""/>
                    <m:grow/>
                  </m:dPr>
                  <m:e>
                    <m:r>
                      <m:rPr>
                        <m:nor/>
                        <m:sty m:val="p"/>
                      </m:rPr>
                      <m:t>v</m:t>
                    </m:r>
                  </m:e>
                </m:d>
              </m:e>
            </m:mr>
          </m:m>
          <m:r>
            <m:t>  </m:t>
          </m:r>
          <m:d>
            <m:dPr>
              <m:begChr m:val="("/>
              <m:endChr m:val=")"/>
              <m:sepChr m:val=""/>
              <m:grow/>
            </m:dPr>
            <m:e>
              <m:r>
                <m:t>15</m:t>
              </m:r>
            </m:e>
          </m:d>
        </m:oMath>
      </m:oMathPara>
      <w:bookmarkEnd w:id="57"/>
    </w:p>
    <w:bookmarkEnd w:id="58"/>
    <w:bookmarkEnd w:id="59"/>
    <w:bookmarkStart w:id="68" w:name="sec-bootstrap"/>
    <w:p>
      <w:pPr>
        <w:pStyle w:val="Heading1"/>
      </w:pPr>
      <w:r>
        <w:t xml:space="preserve">5. Bootstrap Evaluation</w:t>
      </w:r>
    </w:p>
    <w:p>
      <w:pPr>
        <w:pStyle w:val="FirstParagraph"/>
      </w:pPr>
      <w:r>
        <w:t xml:space="preserve">To compare the performance of different implementations of the STM in understanding perceptual vowel normalization, we conduct a bootstrap analysis using data on the perception of US English vowels</w:t>
      </w:r>
      <w:r>
        <w:t xml:space="preserve"> </w:t>
      </w:r>
      <w:r>
        <w:t xml:space="preserve">(Hillenbrand et al. 1995)</w:t>
      </w:r>
      <w:r>
        <w:t xml:space="preserve">. A walk-through of the analysis is available as an R markdown vignette in the OSF repo listed above. The</w:t>
      </w:r>
      <w:r>
        <w:t xml:space="preserve"> </w:t>
      </w:r>
      <w:r>
        <w:rPr>
          <w:rStyle w:val="VerbatimChar"/>
        </w:rPr>
        <w:t xml:space="preserve">STM</w:t>
      </w:r>
      <w:r>
        <w:t xml:space="preserve"> </w:t>
      </w:r>
      <w:r>
        <w:t xml:space="preserve">package allows researchers to conduct the similar analyses on their own data, with just a handful of R commands.</w:t>
      </w:r>
    </w:p>
    <w:p>
      <w:pPr>
        <w:pStyle w:val="BodyText"/>
      </w:pPr>
      <w:r>
        <w:t xml:space="preserve">The</w:t>
      </w:r>
      <w:r>
        <w:t xml:space="preserve"> </w:t>
      </w:r>
      <w:r>
        <w:t xml:space="preserve">Hillenbrand et al. (1995)</w:t>
      </w:r>
      <w:r>
        <w:t xml:space="preserve"> </w:t>
      </w:r>
      <w:r>
        <w:t xml:space="preserve">data include acoustic measures from 139 speakers producing one instance of twelve vowels each, including formant measures at multiple time slices. We used formant measurements at 20% and 80% of the vowel duration. This meant each vowel token was represented by a vector of length six, two measurements for each of three formants. Following</w:t>
      </w:r>
      <w:r>
        <w:t xml:space="preserve"> </w:t>
      </w:r>
      <w:r>
        <w:t xml:space="preserve">Nearey and Assmann (2007)</w:t>
      </w:r>
      <w:r>
        <w:t xml:space="preserve">, we used two time points, capturing that formant dynamics affect vowel perception for the dialect in the database</w:t>
      </w:r>
      <w:r>
        <w:t xml:space="preserve"> </w:t>
      </w:r>
      <w:r>
        <w:t xml:space="preserve">(Hillenbrand and Nearey 1999)</w:t>
      </w:r>
      <w:r>
        <w:t xml:space="preserve">. By fitting multivariate normal distributions in this six-dimensional space, we assume that listeners have learned expectations about the (co)variance between formants within and across time points.</w:t>
      </w:r>
      <w:r>
        <w:t xml:space="preserve"> </w:t>
      </w:r>
    </w:p>
    <w:p>
      <w:pPr>
        <w:pStyle w:val="BodyText"/>
      </w:pPr>
      <w:r>
        <w:t xml:space="preserve">The</w:t>
      </w:r>
      <w:r>
        <w:t xml:space="preserve"> </w:t>
      </w:r>
      <w:r>
        <w:t xml:space="preserve">Hillenbrand et al. (1995)</w:t>
      </w:r>
      <w:r>
        <w:t xml:space="preserve"> </w:t>
      </w:r>
      <w:r>
        <w:t xml:space="preserve">data also contain 12-alternative forced-choice categorization responses for each vowel token, aggregated across 20 listeners of the same dialect as the speakers (average accuracy = 95%).</w:t>
      </w:r>
      <w:r>
        <w:rPr>
          <w:rStyle w:val="FootnoteReference"/>
        </w:rPr>
        <w:footnoteReference w:id="60"/>
      </w:r>
      <w:r>
        <w:t xml:space="preserve"> </w:t>
      </w:r>
      <w:r>
        <w:t xml:space="preserve">Crucially, these responses were elicited over stimuli from the different speakers in the database, presented in randomized order—i.e., precisely the type of input for which the naive estimation of</w:t>
      </w:r>
      <w:r>
        <w:t xml:space="preserve"> </w:t>
      </w:r>
      <m:oMath>
        <m:sSub>
          <m:e>
            <m:r>
              <m:t>ψ</m:t>
            </m:r>
          </m:e>
          <m:sub>
            <m:r>
              <m:t>s</m:t>
            </m:r>
          </m:sub>
        </m:sSub>
      </m:oMath>
      <w:r>
        <w:t xml:space="preserve"> </w:t>
      </w:r>
      <w:r>
        <w:t xml:space="preserve">(</w:t>
      </w:r>
      <w:hyperlink w:anchor="eq-method-naive">
        <w:r>
          <w:rPr>
            <w:rStyle w:val="Hyperlink"/>
          </w:rPr>
          <w:t xml:space="preserve">Equation 6</w:t>
        </w:r>
      </w:hyperlink>
      <w:r>
        <w:t xml:space="preserve">) is expected to yield unreliable results for listeners (confirmed below).</w:t>
      </w:r>
    </w:p>
    <w:bookmarkStart w:id="62" w:name="approach"/>
    <w:p>
      <w:pPr>
        <w:pStyle w:val="Heading2"/>
      </w:pPr>
      <w:r>
        <w:t xml:space="preserve">5.1 Approach</w:t>
      </w:r>
    </w:p>
    <w:p>
      <w:pPr>
        <w:pStyle w:val="FirstParagraph"/>
      </w:pPr>
      <w:r>
        <w:t xml:space="preserve">For each bootstrap data set, we compare approaches based on three performance metrics:</w:t>
      </w:r>
    </w:p>
    <w:p>
      <w:pPr>
        <w:numPr>
          <w:ilvl w:val="0"/>
          <w:numId w:val="1001"/>
        </w:numPr>
      </w:pPr>
      <w:r>
        <w:t xml:space="preserve">The</w:t>
      </w:r>
      <w:r>
        <w:t xml:space="preserve"> </w:t>
      </w:r>
      <w:r>
        <w:rPr>
          <w:b/>
          <w:bCs/>
        </w:rPr>
        <w:t xml:space="preserve">likelihood of</w:t>
      </w:r>
      <w:r>
        <w:rPr>
          <w:b/>
          <w:bCs/>
        </w:rPr>
        <w:t xml:space="preserve"> </w:t>
      </w:r>
      <w:r>
        <w:rPr>
          <w:b/>
          <w:bCs/>
          <w:i/>
          <w:iCs/>
        </w:rPr>
        <w:t xml:space="preserve">listeners’</w:t>
      </w:r>
      <w:r>
        <w:rPr>
          <w:b/>
          <w:bCs/>
        </w:rPr>
        <w:t xml:space="preserve"> </w:t>
      </w:r>
      <w:r>
        <w:rPr>
          <w:b/>
          <w:bCs/>
        </w:rPr>
        <w:t xml:space="preserve">categorization responses</w:t>
      </w:r>
      <w:r>
        <w:rPr>
          <w:b/>
          <w:bCs/>
        </w:rPr>
        <w:t xml:space="preserve"> </w:t>
      </w:r>
      <w:r>
        <w:t xml:space="preserve"> </w:t>
      </w:r>
      <m:oMath>
        <m:r>
          <m:t>Λ</m:t>
        </m:r>
        <m:box>
          <m:boxPr>
            <m:opEmu m:val="on"/>
          </m:boxPr>
          <m:e>
            <m:r>
              <m:rPr>
                <m:sty m:val="p"/>
              </m:rPr>
              <m:t>:=</m:t>
            </m:r>
          </m:e>
        </m:box>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C</m:t>
                    </m:r>
                  </m:e>
                  <m:sub>
                    <m:r>
                      <m:t>i</m:t>
                    </m:r>
                    <m:r>
                      <m:t>j</m:t>
                    </m:r>
                  </m:sub>
                </m:sSub>
              </m:e>
            </m:nary>
          </m:e>
        </m:nary>
        <m:r>
          <m:rPr>
            <m:sty m:val="p"/>
          </m:rPr>
          <m:t>⋅</m:t>
        </m:r>
        <m:r>
          <m:rPr>
            <m:sty m:val="p"/>
          </m:rPr>
          <m:t>log</m:t>
        </m:r>
        <m:d>
          <m:dPr>
            <m:begChr m:val="("/>
            <m:endChr m:val=")"/>
            <m:sepChr m:val=""/>
            <m:grow/>
          </m:dPr>
          <m:e>
            <m:sSub>
              <m:e>
                <m:r>
                  <m:t>P</m:t>
                </m:r>
              </m:e>
              <m:sub>
                <m:r>
                  <m:t>i</m:t>
                </m:r>
                <m:r>
                  <m:t>j</m:t>
                </m:r>
              </m:sub>
            </m:sSub>
          </m:e>
        </m:d>
      </m:oMath>
      <w:r>
        <w:t xml:space="preserve">, where</w:t>
      </w:r>
      <w:r>
        <w:t xml:space="preserve"> </w:t>
      </w:r>
      <m:oMath>
        <m:sSub>
          <m:e>
            <m:r>
              <m:t>C</m:t>
            </m:r>
          </m:e>
          <m:sub>
            <m:r>
              <m:t>i</m:t>
            </m:r>
            <m:r>
              <m:t>j</m:t>
            </m:r>
          </m:sub>
        </m:sSub>
      </m:oMath>
      <w:r>
        <w:t xml:space="preserve"> </w:t>
      </w:r>
      <w:r>
        <w:t xml:space="preserve">is the number of times token</w:t>
      </w:r>
      <w:r>
        <w:t xml:space="preserve"> </w:t>
      </w:r>
      <m:oMath>
        <m:r>
          <m:t>i</m:t>
        </m:r>
      </m:oMath>
      <w:r>
        <w:t xml:space="preserve"> </w:t>
      </w:r>
      <w:r>
        <w:t xml:space="preserve">was classified as vowel category</w:t>
      </w:r>
      <w:r>
        <w:t xml:space="preserve"> </w:t>
      </w:r>
      <m:oMath>
        <m:r>
          <m:t>j</m:t>
        </m:r>
      </m:oMath>
      <w:r>
        <w:t xml:space="preserve">, and</w:t>
      </w:r>
      <w:r>
        <w:t xml:space="preserve"> </w:t>
      </w:r>
      <m:oMath>
        <m:r>
          <m:rPr>
            <m:sty m:val="p"/>
          </m:rPr>
          <m:t>log</m:t>
        </m:r>
        <m:d>
          <m:dPr>
            <m:begChr m:val="("/>
            <m:endChr m:val=")"/>
            <m:sepChr m:val=""/>
            <m:grow/>
          </m:dPr>
          <m:e>
            <m:sSub>
              <m:e>
                <m:r>
                  <m:t>P</m:t>
                </m:r>
              </m:e>
              <m:sub>
                <m:r>
                  <m:t>i</m:t>
                </m:r>
                <m:r>
                  <m:t>j</m:t>
                </m:r>
              </m:sub>
            </m:sSub>
          </m:e>
        </m:d>
      </m:oMath>
      <w:r>
        <w:t xml:space="preserve"> </w:t>
      </w:r>
      <w:r>
        <w:t xml:space="preserve">is the log-transformed posterior probability for token</w:t>
      </w:r>
      <w:r>
        <w:t xml:space="preserve"> </w:t>
      </w:r>
      <m:oMath>
        <m:r>
          <m:t>i</m:t>
        </m:r>
      </m:oMath>
      <w:r>
        <w:t xml:space="preserve"> </w:t>
      </w:r>
      <w:r>
        <w:t xml:space="preserve">and category</w:t>
      </w:r>
      <w:r>
        <w:t xml:space="preserve"> </w:t>
      </w:r>
      <m:oMath>
        <m:r>
          <m:t>j</m:t>
        </m:r>
      </m:oMath>
      <w:r>
        <w:t xml:space="preserve">. This is the critical measure of how well a method describes listeners’ categorization behavior, which has not previously been provided.</w:t>
      </w:r>
    </w:p>
    <w:p>
      <w:pPr>
        <w:numPr>
          <w:ilvl w:val="0"/>
          <w:numId w:val="1001"/>
        </w:numPr>
      </w:pPr>
      <w:r>
        <w:t xml:space="preserve">The</w:t>
      </w:r>
      <w:r>
        <w:t xml:space="preserve"> </w:t>
      </w:r>
      <w:r>
        <w:rPr>
          <w:b/>
          <w:bCs/>
        </w:rPr>
        <w:t xml:space="preserve">likelihood of the vowel category that the</w:t>
      </w:r>
      <w:r>
        <w:rPr>
          <w:b/>
          <w:bCs/>
        </w:rPr>
        <w:t xml:space="preserve"> </w:t>
      </w:r>
      <w:r>
        <w:rPr>
          <w:b/>
          <w:bCs/>
          <w:i/>
          <w:iCs/>
        </w:rPr>
        <w:t xml:space="preserve">talker</w:t>
      </w:r>
      <w:r>
        <w:rPr>
          <w:b/>
          <w:bCs/>
        </w:rPr>
        <w:t xml:space="preserve"> </w:t>
      </w:r>
      <w:r>
        <w:rPr>
          <w:b/>
          <w:bCs/>
        </w:rPr>
        <w:t xml:space="preserve">intended to produce</w:t>
      </w:r>
      <w:r>
        <w:t xml:space="preserve"> </w:t>
      </w:r>
      <w:r>
        <w:t xml:space="preserve">(or, specifically, that the experimenter asked the talker to produce). This metric is closer to what a speech engineer would choose to evaluate normalization methods, as it measures how well the method performs in recognizing the</w:t>
      </w:r>
      <w:r>
        <w:t xml:space="preserve"> </w:t>
      </w:r>
      <w:r>
        <w:rPr>
          <w:i/>
          <w:iCs/>
        </w:rPr>
        <w:t xml:space="preserve">intended</w:t>
      </w:r>
      <w:r>
        <w:t xml:space="preserve"> </w:t>
      </w:r>
      <w:r>
        <w:t xml:space="preserve">vowel category. While this metric does</w:t>
      </w:r>
      <w:r>
        <w:t xml:space="preserve"> </w:t>
      </w:r>
      <w:r>
        <w:rPr>
          <w:i/>
          <w:iCs/>
        </w:rPr>
        <w:t xml:space="preserve">not</w:t>
      </w:r>
      <w:r>
        <w:t xml:space="preserve"> </w:t>
      </w:r>
      <w:r>
        <w:t xml:space="preserve">assess how well a method explains speech perception, it provides an important comparison, as we explain below.</w:t>
      </w:r>
    </w:p>
    <w:p>
      <w:pPr>
        <w:numPr>
          <w:ilvl w:val="0"/>
          <w:numId w:val="1001"/>
        </w:numPr>
      </w:pPr>
      <w:r>
        <w:t xml:space="preserve">The</w:t>
      </w:r>
      <w:r>
        <w:t xml:space="preserve"> </w:t>
      </w:r>
      <w:r>
        <w:rPr>
          <w:b/>
          <w:bCs/>
        </w:rPr>
        <w:t xml:space="preserve">root-mean square (RMS) error in estimating</w:t>
      </w:r>
      <w:r>
        <w:rPr>
          <w:b/>
          <w:bCs/>
        </w:rPr>
        <w:t xml:space="preserve"> </w:t>
      </w:r>
      <m:oMath>
        <m:sSub>
          <m:e>
            <m:r>
              <m:t>ψ</m:t>
            </m:r>
          </m:e>
          <m:sub>
            <m:r>
              <m:t>s</m:t>
            </m:r>
          </m:sub>
        </m:sSub>
      </m:oMath>
      <w:r>
        <w:t xml:space="preserve"> </w:t>
      </w:r>
      <w:r>
        <w:t xml:space="preserve">compared to an estimate of</w:t>
      </w:r>
      <w:r>
        <w:t xml:space="preserve"> </w:t>
      </w:r>
      <m:oMath>
        <m:acc>
          <m:accPr>
            <m:chr m:val="̂"/>
          </m:accPr>
          <m:e>
            <m:r>
              <m:t>ψ</m:t>
            </m:r>
          </m:e>
        </m:acc>
      </m:oMath>
      <w:r>
        <w:t xml:space="preserve"> </w:t>
      </w:r>
      <w:r>
        <w:t xml:space="preserve">obtained from a balanced sample of each speaker’s entire vowel system, and</w:t>
      </w:r>
      <w:r>
        <w:t xml:space="preserve"> </w:t>
      </w:r>
      <w:hyperlink w:anchor="eq-method-naive">
        <w:r>
          <w:rPr>
            <w:rStyle w:val="Hyperlink"/>
          </w:rPr>
          <w:t xml:space="preserve">Equation 6</w:t>
        </w:r>
      </w:hyperlink>
      <w:r>
        <w:t xml:space="preserve">. Ultimately, researchers interested in assessing how well a method describes listeners’ estimation of</w:t>
      </w:r>
      <w:r>
        <w:t xml:space="preserve"> </w:t>
      </w:r>
      <m:oMath>
        <m:sSub>
          <m:e>
            <m:r>
              <m:t>ψ</m:t>
            </m:r>
          </m:e>
          <m:sub>
            <m:r>
              <m:t>s</m:t>
            </m:r>
          </m:sub>
        </m:sSub>
      </m:oMath>
      <w:r>
        <w:t xml:space="preserve"> </w:t>
      </w:r>
      <w:r>
        <w:t xml:space="preserve">should compare each method’s predictions for</w:t>
      </w:r>
      <w:r>
        <w:t xml:space="preserve"> </w:t>
      </w:r>
      <m:oMath>
        <m:sSub>
          <m:e>
            <m:acc>
              <m:accPr>
                <m:chr m:val="̂"/>
              </m:accPr>
              <m:e>
                <m:r>
                  <m:t>ψ</m:t>
                </m:r>
              </m:e>
            </m:acc>
          </m:e>
          <m:sub>
            <m:r>
              <m:t>s</m:t>
            </m:r>
          </m:sub>
        </m:sSub>
      </m:oMath>
      <w:r>
        <w:t xml:space="preserve"> </w:t>
      </w:r>
      <w:r>
        <w:t xml:space="preserve">against listeners’ estimates.</w:t>
      </w:r>
    </w:p>
    <w:p>
      <w:pPr>
        <w:pStyle w:val="FirstParagraph"/>
      </w:pPr>
      <w:r>
        <w:t xml:space="preserve">Of note, the use of likelihood as a metric to assess A) the fit against listeners’ perception and B) the intended category differs from the approach in</w:t>
      </w:r>
      <w:r>
        <w:t xml:space="preserve"> </w:t>
      </w:r>
      <w:r>
        <w:t xml:space="preserve">Nearey and Assmann (2007)</w:t>
      </w:r>
      <w:r>
        <w:t xml:space="preserve">. Nearey and Assman instead used the accuracy (under the criterion choice rule) of predicting the intended category label for B) and, critically, did not evaluate against listeners’ perception. The use of accuracy as a metric is now understood to be problematic, as it does not capture how well a model predicts the</w:t>
      </w:r>
      <w:r>
        <w:t xml:space="preserve"> </w:t>
      </w:r>
      <w:r>
        <w:rPr>
          <w:i/>
          <w:iCs/>
        </w:rPr>
        <w:t xml:space="preserve">distribution</w:t>
      </w:r>
      <w:r>
        <w:t xml:space="preserve"> </w:t>
      </w:r>
      <w:r>
        <w:t xml:space="preserve">of responses</w:t>
      </w:r>
      <w:r>
        <w:t xml:space="preserve"> </w:t>
      </w:r>
      <w:r>
        <w:t xml:space="preserve">(for discussion, Persson, Barreda, and Jaeger 2025)</w:t>
      </w:r>
      <w:r>
        <w:t xml:space="preserve">.</w:t>
      </w:r>
    </w:p>
    <w:p>
      <w:pPr>
        <w:pStyle w:val="BodyText"/>
      </w:pPr>
      <w:r>
        <w:t xml:space="preserve">We bootstrapped the following process over 1000 iterations for each method (all functions referred to are from the</w:t>
      </w:r>
      <w:r>
        <w:t xml:space="preserve"> </w:t>
      </w:r>
      <w:r>
        <w:rPr>
          <w:rStyle w:val="VerbatimChar"/>
        </w:rPr>
        <w:t xml:space="preserve">STM</w:t>
      </w:r>
      <w:r>
        <w:t xml:space="preserve"> </w:t>
      </w:r>
      <w:r>
        <w:t xml:space="preserve">package):</w:t>
      </w:r>
    </w:p>
    <w:p>
      <w:pPr>
        <w:numPr>
          <w:ilvl w:val="0"/>
          <w:numId w:val="1002"/>
        </w:numPr>
      </w:pPr>
      <w:r>
        <w:t xml:space="preserve">Randomly divide the data into a 79-speaker training set and a 60-speaker testing set. Resample the training data (with replacement) at the speaker level. Sixty-three vowel tokens (4%) had one or two missing formant measurements (out of 6), representing 0.09% of the total formant measurements in the data. The missing values were imputed using stochastic regression imputation, independently for each iteration (using the</w:t>
      </w:r>
      <w:r>
        <w:t xml:space="preserve"> </w:t>
      </w:r>
      <w:r>
        <w:rPr>
          <w:rStyle w:val="VerbatimChar"/>
        </w:rPr>
        <w:t xml:space="preserve">impute_NA</w:t>
      </w:r>
      <w:r>
        <w:t xml:space="preserve"> </w:t>
      </w:r>
      <w:r>
        <w:t xml:space="preserve">function).</w:t>
      </w:r>
    </w:p>
    <w:p>
      <w:pPr>
        <w:numPr>
          <w:ilvl w:val="0"/>
          <w:numId w:val="1002"/>
        </w:numPr>
      </w:pPr>
      <w:r>
        <w:t xml:space="preserve">Uniformly scale the training data (the</w:t>
      </w:r>
      <w:r>
        <w:t xml:space="preserve"> </w:t>
      </w:r>
      <w:r>
        <w:rPr>
          <w:rStyle w:val="VerbatimChar"/>
        </w:rPr>
        <w:t xml:space="preserve">normalize</w:t>
      </w:r>
      <w:r>
        <w:t xml:space="preserve"> </w:t>
      </w:r>
      <w:r>
        <w:t xml:space="preserve">function), by estimating each speaker’s</w:t>
      </w:r>
      <w:r>
        <w:t xml:space="preserve"> </w:t>
      </w:r>
      <m:oMath>
        <m:sSub>
          <m:e>
            <m:r>
              <m:t>ψ</m:t>
            </m:r>
          </m:e>
          <m:sub>
            <m:r>
              <m:t>s</m:t>
            </m:r>
          </m:sub>
        </m:sSub>
      </m:oMath>
      <w:r>
        <w:t xml:space="preserve"> </w:t>
      </w:r>
      <w:r>
        <w:t xml:space="preserve">using their complete vowel system as in</w:t>
      </w:r>
      <w:r>
        <w:t xml:space="preserve"> </w:t>
      </w:r>
      <w:hyperlink w:anchor="eq-method-naive">
        <w:r>
          <w:rPr>
            <w:rStyle w:val="Hyperlink"/>
          </w:rPr>
          <w:t xml:space="preserve">Equation 6</w:t>
        </w:r>
      </w:hyperlink>
      <w:r>
        <w:t xml:space="preserve">, and normalizing it as in</w:t>
      </w:r>
      <w:r>
        <w:t xml:space="preserve"> </w:t>
      </w:r>
      <w:hyperlink w:anchor="eq-define-N">
        <w:r>
          <w:rPr>
            <w:rStyle w:val="Hyperlink"/>
          </w:rPr>
          <w:t xml:space="preserve">Equation 3</w:t>
        </w:r>
      </w:hyperlink>
      <w:r>
        <w:t xml:space="preserve">.</w:t>
      </w:r>
    </w:p>
    <w:p>
      <w:pPr>
        <w:numPr>
          <w:ilvl w:val="0"/>
          <w:numId w:val="1002"/>
        </w:numPr>
      </w:pPr>
      <w:r>
        <w:t xml:space="preserve">Estimate the dialect-specific category means and covariance matrices of all vowels using the normalized training data (with</w:t>
      </w:r>
      <w:r>
        <w:t xml:space="preserve"> </w:t>
      </w:r>
      <w:r>
        <w:rPr>
          <w:rStyle w:val="VerbatimChar"/>
        </w:rPr>
        <w:t xml:space="preserve">create_template</w:t>
      </w:r>
      <w:r>
        <w:t xml:space="preserve">).</w:t>
      </w:r>
      <w:r>
        <w:t xml:space="preserve"> </w:t>
      </w:r>
      <w:r>
        <w:rPr>
          <w:rStyle w:val="FootnoteReference"/>
        </w:rPr>
        <w:footnoteReference w:id="61"/>
      </w:r>
      <w:r>
        <w:t xml:space="preserve"> </w:t>
      </w:r>
      <w:r>
        <w:rPr>
          <w:b/>
          <w:bCs/>
        </w:rPr>
        <w:t xml:space="preserve">Each iteration of the bootstrap simulates a</w:t>
      </w:r>
      <w:r>
        <w:rPr>
          <w:b/>
          <w:bCs/>
        </w:rPr>
        <w:t xml:space="preserve"> </w:t>
      </w:r>
      <w:r>
        <w:rPr>
          <w:b/>
          <w:bCs/>
        </w:rPr>
        <w:t xml:space="preserve">‘</w:t>
      </w:r>
      <w:r>
        <w:rPr>
          <w:b/>
          <w:bCs/>
        </w:rPr>
        <w:t xml:space="preserve">listener</w:t>
      </w:r>
      <w:r>
        <w:rPr>
          <w:b/>
          <w:bCs/>
        </w:rPr>
        <w:t xml:space="preserve">’</w:t>
      </w:r>
      <w:r>
        <w:rPr>
          <w:b/>
          <w:bCs/>
        </w:rPr>
        <w:t xml:space="preserve"> </w:t>
      </w:r>
      <w:r>
        <w:rPr>
          <w:b/>
          <w:bCs/>
        </w:rPr>
        <w:t xml:space="preserve">of the dialect with slightly different speech experience.</w:t>
      </w:r>
    </w:p>
    <w:p>
      <w:pPr>
        <w:numPr>
          <w:ilvl w:val="0"/>
          <w:numId w:val="1002"/>
        </w:numPr>
      </w:pPr>
      <w:r>
        <w:t xml:space="preserve">For each token in the testing data, estimate</w:t>
      </w:r>
      <w:r>
        <w:t xml:space="preserve"> </w:t>
      </w:r>
      <m:oMath>
        <m:sSub>
          <m:e>
            <m:acc>
              <m:accPr>
                <m:chr m:val="̂"/>
              </m:accPr>
              <m:e>
                <m:r>
                  <m:t>ψ</m:t>
                </m:r>
              </m:e>
            </m:acc>
          </m:e>
          <m:sub>
            <m:r>
              <m:t>s</m:t>
            </m:r>
            <m:r>
              <m:rPr>
                <m:sty m:val="p"/>
              </m:rPr>
              <m:t>,</m:t>
            </m:r>
            <m:r>
              <m:rPr>
                <m:nor/>
                <m:sty m:val="p"/>
              </m:rPr>
              <m:t>v</m:t>
            </m:r>
          </m:sub>
        </m:sSub>
      </m:oMath>
      <w:r>
        <w:t xml:space="preserve"> </w:t>
      </w:r>
      <w:r>
        <w:t xml:space="preserve">for each vowel category using each method. Use these values of</w:t>
      </w:r>
      <w:r>
        <w:t xml:space="preserve"> </w:t>
      </w:r>
      <m:oMath>
        <m:sSub>
          <m:e>
            <m:acc>
              <m:accPr>
                <m:chr m:val="̂"/>
              </m:accPr>
              <m:e>
                <m:r>
                  <m:t>ψ</m:t>
                </m:r>
              </m:e>
            </m:acc>
          </m:e>
          <m:sub>
            <m:r>
              <m:t>s</m:t>
            </m:r>
            <m:r>
              <m:rPr>
                <m:sty m:val="p"/>
              </m:rPr>
              <m:t>,</m:t>
            </m:r>
            <m:r>
              <m:rPr>
                <m:nor/>
                <m:sty m:val="p"/>
              </m:rPr>
              <m:t>v</m:t>
            </m:r>
          </m:sub>
        </m:sSub>
      </m:oMath>
      <w:r>
        <w:t xml:space="preserve"> </w:t>
      </w:r>
      <w:r>
        <w:t xml:space="preserve">to obtain the winning estimate</w:t>
      </w:r>
      <w:r>
        <w:t xml:space="preserve"> </w:t>
      </w:r>
      <m:oMath>
        <m:sSub>
          <m:e>
            <m:acc>
              <m:accPr>
                <m:chr m:val="̂"/>
              </m:accPr>
              <m:e>
                <m:r>
                  <m:t>ψ</m:t>
                </m:r>
              </m:e>
            </m:acc>
          </m:e>
          <m:sub>
            <m:r>
              <m:t>s</m:t>
            </m:r>
          </m:sub>
        </m:sSub>
      </m:oMath>
      <w:r>
        <w:t xml:space="preserve"> </w:t>
      </w:r>
      <w:r>
        <w:t xml:space="preserve">and calculate the posterior probability of each vowel category.</w:t>
      </w:r>
    </w:p>
    <w:p>
      <w:pPr>
        <w:numPr>
          <w:ilvl w:val="0"/>
          <w:numId w:val="1002"/>
        </w:numPr>
      </w:pPr>
      <w:r>
        <w:t xml:space="preserve">Calculate performance metrics A)-C) described above.</w:t>
      </w:r>
    </w:p>
    <w:p>
      <w:pPr>
        <w:pStyle w:val="FirstParagraph"/>
      </w:pPr>
      <w:r>
        <w:t xml:space="preserve">We compare eight different methods that differ in terms of whether and/or how they estimate</w:t>
      </w:r>
      <w:r>
        <w:t xml:space="preserve"> </w:t>
      </w:r>
      <m:oMath>
        <m:sSub>
          <m:e>
            <m:r>
              <m:t>ψ</m:t>
            </m:r>
          </m:e>
          <m:sub>
            <m:r>
              <m:t>s</m:t>
            </m:r>
          </m:sub>
        </m:sSub>
      </m:oMath>
      <w:r>
        <w:t xml:space="preserve">:</w:t>
      </w:r>
    </w:p>
    <w:p>
      <w:pPr>
        <w:pStyle w:val="Compact"/>
        <w:numPr>
          <w:ilvl w:val="0"/>
          <w:numId w:val="1003"/>
        </w:numPr>
      </w:pPr>
      <w:r>
        <w:rPr>
          <w:b/>
          <w:bCs/>
        </w:rPr>
        <w:t xml:space="preserve">No normalization</w:t>
      </w:r>
    </w:p>
    <w:p>
      <w:pPr>
        <w:pStyle w:val="Compact"/>
        <w:numPr>
          <w:ilvl w:val="1"/>
          <w:numId w:val="1004"/>
        </w:numPr>
      </w:pPr>
      <w:r>
        <w:t xml:space="preserve">input is</w:t>
      </w:r>
      <w:r>
        <w:t xml:space="preserve"> </w:t>
      </w:r>
      <m:oMath>
        <m:acc>
          <m:accPr>
            <m:chr m:val="⃗"/>
          </m:accPr>
          <m:e>
            <m:r>
              <m:t>F</m:t>
            </m:r>
          </m:e>
        </m:acc>
      </m:oMath>
      <w:r>
        <w:t xml:space="preserve"> </w:t>
      </w:r>
      <w:r>
        <w:t xml:space="preserve">(Hz)</w:t>
      </w:r>
    </w:p>
    <w:p>
      <w:pPr>
        <w:pStyle w:val="Compact"/>
        <w:numPr>
          <w:ilvl w:val="1"/>
          <w:numId w:val="1004"/>
        </w:numPr>
      </w:pPr>
      <w:r>
        <w:t xml:space="preserve">input is</w:t>
      </w:r>
      <w:r>
        <w:t xml:space="preserve"> </w:t>
      </w:r>
      <m:oMath>
        <m:acc>
          <m:accPr>
            <m:chr m:val="⃗"/>
          </m:accPr>
          <m:e>
            <m:r>
              <m:t>G</m:t>
            </m:r>
          </m:e>
        </m:acc>
      </m:oMath>
      <w:r>
        <w:t xml:space="preserve"> </w:t>
      </w:r>
      <w:r>
        <w:t xml:space="preserve">(log Hz), allowing an assessment of whether log-transformation in and off itself helps.</w:t>
      </w:r>
    </w:p>
    <w:p>
      <w:pPr>
        <w:pStyle w:val="Compact"/>
        <w:numPr>
          <w:ilvl w:val="0"/>
          <w:numId w:val="1003"/>
        </w:numPr>
      </w:pPr>
      <w:r>
        <w:rPr>
          <w:b/>
          <w:bCs/>
        </w:rPr>
        <w:t xml:space="preserve">Normalization with</w:t>
      </w:r>
      <w:r>
        <w:rPr>
          <w:b/>
          <w:bCs/>
        </w:rPr>
        <w:t xml:space="preserve"> </w:t>
      </w:r>
      <m:oMath>
        <m:sSub>
          <m:e>
            <m:acc>
              <m:accPr>
                <m:chr m:val="̂"/>
              </m:accPr>
              <m:e>
                <m:r>
                  <m:t>ψ</m:t>
                </m:r>
              </m:e>
            </m:acc>
          </m:e>
          <m:sub>
            <m:r>
              <m:t>s</m:t>
            </m:r>
          </m:sub>
        </m:sSub>
      </m:oMath>
      <w:r>
        <w:rPr>
          <w:b/>
          <w:bCs/>
        </w:rPr>
        <w:t xml:space="preserve"> </w:t>
      </w:r>
      <w:r>
        <w:rPr>
          <w:b/>
          <w:bCs/>
        </w:rPr>
        <w:t xml:space="preserve">estimated using the</w:t>
      </w:r>
      <w:r>
        <w:rPr>
          <w:b/>
          <w:bCs/>
        </w:rPr>
        <w:t xml:space="preserve"> </w:t>
      </w:r>
      <w:r>
        <w:rPr>
          <w:b/>
          <w:bCs/>
        </w:rPr>
        <w:t xml:space="preserve">‘</w:t>
      </w:r>
      <w:r>
        <w:rPr>
          <w:b/>
          <w:bCs/>
        </w:rPr>
        <w:t xml:space="preserve">classic approach</w:t>
      </w:r>
      <w:r>
        <w:rPr>
          <w:b/>
          <w:bCs/>
        </w:rPr>
        <w:t xml:space="preserve">’</w:t>
      </w:r>
      <w:r>
        <w:t xml:space="preserve"> </w:t>
      </w:r>
      <w:r>
        <w:t xml:space="preserve">in</w:t>
      </w:r>
      <w:r>
        <w:t xml:space="preserve"> </w:t>
      </w:r>
      <w:hyperlink w:anchor="eq-method-naive">
        <w:r>
          <w:rPr>
            <w:rStyle w:val="Hyperlink"/>
          </w:rPr>
          <w:t xml:space="preserve">Equation 6</w:t>
        </w:r>
      </w:hyperlink>
    </w:p>
    <w:p>
      <w:pPr>
        <w:pStyle w:val="Compact"/>
        <w:numPr>
          <w:ilvl w:val="1"/>
          <w:numId w:val="1005"/>
        </w:numPr>
      </w:pPr>
      <w:r>
        <w:t xml:space="preserve">over the entire training data (</w:t>
      </w:r>
      <w:r>
        <w:rPr>
          <w:i/>
          <w:iCs/>
        </w:rPr>
        <w:t xml:space="preserve">PSTM1 (balanced data)</w:t>
      </w:r>
      <w:r>
        <w:t xml:space="preserve">)</w:t>
      </w:r>
    </w:p>
    <w:p>
      <w:pPr>
        <w:pStyle w:val="Compact"/>
        <w:numPr>
          <w:ilvl w:val="1"/>
          <w:numId w:val="1005"/>
        </w:numPr>
      </w:pPr>
      <w:r>
        <w:t xml:space="preserve">based on the individual token (</w:t>
      </w:r>
      <w:r>
        <w:rPr>
          <w:i/>
          <w:iCs/>
        </w:rPr>
        <w:t xml:space="preserve">PSTM1 (single trial)</w:t>
      </w:r>
      <w:r>
        <w:t xml:space="preserve">), as a more direct baseline for the remaining methods (all of which are based on individual tokens)</w:t>
      </w:r>
    </w:p>
    <w:p>
      <w:pPr>
        <w:pStyle w:val="Compact"/>
        <w:numPr>
          <w:ilvl w:val="0"/>
          <w:numId w:val="1003"/>
        </w:numPr>
      </w:pPr>
      <w:r>
        <w:rPr>
          <w:b/>
          <w:bCs/>
        </w:rPr>
        <w:t xml:space="preserve">Normalization using the most commonly used normalization method</w:t>
      </w:r>
      <w:r>
        <w:rPr>
          <w:b/>
          <w:bCs/>
        </w:rPr>
        <w:t xml:space="preserve"> </w:t>
      </w:r>
      <w:r>
        <w:rPr>
          <w:b/>
          <w:bCs/>
        </w:rPr>
        <w:t xml:space="preserve">(Lobanov 1971)</w:t>
      </w:r>
      <w:r>
        <w:rPr>
          <w:b/>
          <w:bCs/>
        </w:rPr>
        <w:t xml:space="preserve"> </w:t>
      </w:r>
    </w:p>
    <w:p>
      <w:pPr>
        <w:pStyle w:val="Compact"/>
        <w:numPr>
          <w:ilvl w:val="1"/>
          <w:numId w:val="1006"/>
        </w:numPr>
      </w:pPr>
      <w:r>
        <w:t xml:space="preserve">using the entire training data (Hz). This method involves standardization of each speaker’s formants by subtracting the mean and dividing by the standard deviation of each formant, independently for each time point.</w:t>
      </w:r>
    </w:p>
    <w:p>
      <w:pPr>
        <w:pStyle w:val="Compact"/>
        <w:numPr>
          <w:ilvl w:val="0"/>
          <w:numId w:val="1003"/>
        </w:numPr>
      </w:pPr>
      <w:r>
        <w:rPr>
          <w:b/>
          <w:bCs/>
        </w:rPr>
        <w:t xml:space="preserve">Normalization with</w:t>
      </w:r>
      <w:r>
        <w:rPr>
          <w:b/>
          <w:bCs/>
        </w:rPr>
        <w:t xml:space="preserve"> </w:t>
      </w:r>
      <m:oMath>
        <m:sSub>
          <m:e>
            <m:acc>
              <m:accPr>
                <m:chr m:val="̂"/>
              </m:accPr>
              <m:e>
                <m:r>
                  <m:t>ψ</m:t>
                </m:r>
              </m:e>
            </m:acc>
          </m:e>
          <m:sub>
            <m:r>
              <m:t>s</m:t>
            </m:r>
          </m:sub>
        </m:sSub>
      </m:oMath>
      <w:r>
        <w:rPr>
          <w:b/>
          <w:bCs/>
        </w:rPr>
        <w:t xml:space="preserve"> </w:t>
      </w:r>
      <w:r>
        <w:rPr>
          <w:b/>
          <w:bCs/>
        </w:rPr>
        <w:t xml:space="preserve">estimated using</w:t>
      </w:r>
      <w:r>
        <w:rPr>
          <w:b/>
          <w:bCs/>
        </w:rPr>
        <w:t xml:space="preserve"> </w:t>
      </w:r>
      <w:r>
        <w:rPr>
          <w:b/>
          <w:bCs/>
          <w:i/>
          <w:iCs/>
        </w:rPr>
        <w:t xml:space="preserve">PSTM</w:t>
      </w:r>
      <w:r>
        <w:rPr>
          <w:b/>
          <w:bCs/>
        </w:rPr>
        <w:t xml:space="preserve"> </w:t>
      </w:r>
    </w:p>
    <w:p>
      <w:pPr>
        <w:pStyle w:val="Compact"/>
        <w:numPr>
          <w:ilvl w:val="1"/>
          <w:numId w:val="1007"/>
        </w:numPr>
      </w:pPr>
      <w:r>
        <w:t xml:space="preserve">method 2</w:t>
      </w:r>
    </w:p>
    <w:p>
      <w:pPr>
        <w:pStyle w:val="Compact"/>
        <w:numPr>
          <w:ilvl w:val="1"/>
          <w:numId w:val="1007"/>
        </w:numPr>
      </w:pPr>
      <w:r>
        <w:t xml:space="preserve">method 3</w:t>
      </w:r>
    </w:p>
    <w:p>
      <w:pPr>
        <w:pStyle w:val="Compact"/>
        <w:numPr>
          <w:ilvl w:val="1"/>
          <w:numId w:val="1007"/>
        </w:numPr>
      </w:pPr>
      <w:r>
        <w:t xml:space="preserve">method 6</w:t>
      </w:r>
    </w:p>
    <w:p>
      <w:pPr>
        <w:pStyle w:val="FirstParagraph"/>
      </w:pPr>
      <w:r>
        <w:t xml:space="preserve"> </w:t>
      </w:r>
      <w:r>
        <w:t xml:space="preserve"> </w:t>
      </w:r>
      <w:r>
        <w:t xml:space="preserve"> </w:t>
      </w:r>
    </w:p>
    <w:bookmarkEnd w:id="62"/>
    <w:bookmarkStart w:id="67" w:name="results"/>
    <w:p>
      <w:pPr>
        <w:pStyle w:val="Heading2"/>
      </w:pPr>
      <w:r>
        <w:t xml:space="preserve">5.2 Results</w:t>
      </w:r>
    </w:p>
    <w:p>
      <w:pPr>
        <w:pStyle w:val="FirstParagraph"/>
      </w:pPr>
      <w:r>
        <w:t xml:space="preserve">The results of the bootstrap analysis are presented in</w:t>
      </w:r>
      <w:r>
        <w:t xml:space="preserve"> </w:t>
      </w:r>
      <w:hyperlink w:anchor="fig-bootboxplot">
        <w:r>
          <w:rPr>
            <w:rStyle w:val="Hyperlink"/>
          </w:rPr>
          <w:t xml:space="preserve">Figure 4</w:t>
        </w:r>
      </w:hyperlink>
      <w:r>
        <w:t xml:space="preserve">. Method 6 offers the best fit against listeners’ categorization responses for the</w:t>
      </w:r>
      <w:r>
        <w:t xml:space="preserve"> </w:t>
      </w:r>
      <w:r>
        <w:t xml:space="preserve">Hillenbrand et al. (1995)</w:t>
      </w:r>
      <w:r>
        <w:t xml:space="preserve"> </w:t>
      </w:r>
      <w:r>
        <w:t xml:space="preserve">data. Based on the bootstrap, all differences—except for the contrast between method 6 and unnormalized Hz—are significant, i.e., 95% quantiles do not overlap 0 in</w:t>
      </w:r>
      <w:r>
        <w:t xml:space="preserve"> </w:t>
      </w:r>
      <w:hyperlink w:anchor="fig-bootboxplot">
        <w:r>
          <w:rPr>
            <w:rStyle w:val="Hyperlink"/>
          </w:rPr>
          <w:t xml:space="preserve">Figure 4</w:t>
        </w:r>
      </w:hyperlink>
      <w:r>
        <w:t xml:space="preserve"> </w:t>
      </w:r>
      <w:r>
        <w:t xml:space="preserve">(a). However, method 6 performed better than unnormalized Hz in 94.4% of all bootstrap iterations. This shows the importance of considering prior information about</w:t>
      </w:r>
      <w:r>
        <w:t xml:space="preserve"> </w:t>
      </w:r>
      <m:oMath>
        <m:sSub>
          <m:e>
            <m:r>
              <m:t>ψ</m:t>
            </m:r>
          </m:e>
          <m:sub>
            <m:r>
              <m:t>s</m:t>
            </m:r>
          </m:sub>
        </m:sSub>
      </m:oMath>
      <w:r>
        <w:t xml:space="preserve"> </w:t>
      </w:r>
      <w:r>
        <w:t xml:space="preserve">during speech perception, and also the potential usefulness of considering the joint distribution of</w:t>
      </w:r>
      <w:r>
        <w:t xml:space="preserve"> </w:t>
      </w:r>
      <m:oMath>
        <m:sSub>
          <m:e>
            <m:r>
              <m:t>ψ</m:t>
            </m:r>
          </m:e>
          <m:sub>
            <m:r>
              <m:t>s</m:t>
            </m:r>
          </m:sub>
        </m:sSub>
      </m:oMath>
      <w:r>
        <w:t xml:space="preserve"> </w:t>
      </w:r>
      <w:r>
        <w:t xml:space="preserve">and</w:t>
      </w:r>
      <w:r>
        <w:t xml:space="preserve"> </w:t>
      </w:r>
      <m:oMath>
        <m:r>
          <m:t>f</m:t>
        </m:r>
        <m:r>
          <m:t>0</m:t>
        </m:r>
      </m:oMath>
      <w:r>
        <w:t xml:space="preserve"> </w:t>
      </w:r>
      <w:r>
        <w:t xml:space="preserve">in perception.</w:t>
      </w:r>
    </w:p>
    <w:tbl>
      <w:tblPr>
        <w:tblStyle w:val="Table"/>
        <w:tblW w:type="pct" w:w="5000"/>
        <w:tblLayout w:type="fixed"/>
        <w:tblLook w:firstRow="0" w:lastRow="0" w:firstColumn="0" w:lastColumn="0" w:noHBand="0" w:noVBand="0" w:val="0000"/>
      </w:tblPr>
      <w:tblGrid>
        <w:gridCol w:w="7920"/>
      </w:tblGrid>
      <w:tr>
        <w:tc>
          <w:tcPr/>
          <w:bookmarkStart w:id="66" w:name="fig-bootboxplot"/>
          <w:p>
            <w:pPr>
              <w:pStyle w:val="Compact"/>
              <w:jc w:val="center"/>
            </w:pPr>
            <w:r>
              <w:drawing>
                <wp:inline>
                  <wp:extent cx="5334000" cy="2667000"/>
                  <wp:effectExtent b="0" l="0" r="0" t="0"/>
                  <wp:docPr descr="" title="" id="64" name="Picture"/>
                  <a:graphic>
                    <a:graphicData uri="http://schemas.openxmlformats.org/drawingml/2006/picture">
                      <pic:pic>
                        <pic:nvPicPr>
                          <pic:cNvPr descr="Re_introducing_the_PSTM_files/figure-docx/fig-bootboxplot-1.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(a) Difference in model log-likelihoods of listeners’ responses between each model and PSTM method 6 across bootstrap iterations. Points indicate bootstrap means; intervals indicate lower 95% quantiles. Arrows indicate the direction of log-likelihoods for the single-trial application of balanced-data method 1. These were more than an order of magnitude lower than all other log-likelihoods and thus do appear on the plot. (b) Same as (a) but for the vowel category that the talker intended to produce, rather than what listeners responded. (c) Root-mean-squared (RMS) error for</w:t>
            </w:r>
            <w:r>
              <w:t xml:space="preserve"> </w:t>
            </w:r>
            <m:oMath>
              <m:sSub>
                <m:e>
                  <m:r>
                    <m:t>ψ</m:t>
                  </m:r>
                </m:e>
                <m:sub>
                  <m:r>
                    <m:t>s</m:t>
                  </m:r>
                </m:sub>
              </m:sSub>
            </m:oMath>
            <w:r>
              <w:t xml:space="preserve"> </w:t>
            </w:r>
            <w:r>
              <w:t xml:space="preserve">prediction for the approaches that estimate</w:t>
            </w:r>
            <w:r>
              <w:t xml:space="preserve"> </w:t>
            </w:r>
            <m:oMath>
              <m:sSub>
                <m:e>
                  <m:r>
                    <m:t>ψ</m:t>
                  </m:r>
                </m:e>
                <m:sub>
                  <m:r>
                    <m:t>s</m:t>
                  </m:r>
                </m:sub>
              </m:sSub>
            </m:oMath>
            <w:r>
              <w:t xml:space="preserve"> </w:t>
            </w:r>
            <w:r>
              <w:t xml:space="preserve">(only methods that provide estimates of</w:t>
            </w:r>
            <w:r>
              <w:t xml:space="preserve"> </w:t>
            </w:r>
            <m:oMath>
              <m:sSub>
                <m:e>
                  <m:r>
                    <m:t>ψ</m:t>
                  </m:r>
                </m:e>
                <m:sub>
                  <m:r>
                    <m:t>s</m:t>
                  </m:r>
                </m:sub>
              </m:sSub>
            </m:oMath>
            <w:r>
              <w:t xml:space="preserve"> </w:t>
            </w:r>
            <w:r>
              <w:t xml:space="preserve">are shown).</w:t>
            </w:r>
          </w:p>
          <w:bookmarkEnd w:id="66"/>
        </w:tc>
      </w:tr>
    </w:tbl>
    <w:p>
      <w:pPr>
        <w:pStyle w:val="BodyText"/>
      </w:pPr>
      <w:r>
        <w:t xml:space="preserve">Of particular note, method 6 provides a better fit to listeners’ responses than the</w:t>
      </w:r>
      <w:r>
        <w:t xml:space="preserve"> </w:t>
      </w:r>
      <w:r>
        <w:t xml:space="preserve">‘</w:t>
      </w:r>
      <w:r>
        <w:t xml:space="preserve">classic</w:t>
      </w:r>
      <w:r>
        <w:t xml:space="preserve">’</w:t>
      </w:r>
      <w:r>
        <w:t xml:space="preserve"> </w:t>
      </w:r>
      <w:r>
        <w:t xml:space="preserve">approach over balanced data</w:t>
      </w:r>
      <w:r>
        <w:t xml:space="preserve"> </w:t>
      </w:r>
      <w:r>
        <w:t xml:space="preserve">(method 1 in Nearey and Assmann 2007)</w:t>
      </w:r>
      <w:r>
        <w:t xml:space="preserve">. This is of note because the classic approach—which estimates</w:t>
      </w:r>
      <w:r>
        <w:t xml:space="preserve"> </w:t>
      </w:r>
      <m:oMath>
        <m:sSub>
          <m:e>
            <m:r>
              <m:t>ψ</m:t>
            </m:r>
          </m:e>
          <m:sub>
            <m:r>
              <m:t>s</m:t>
            </m:r>
          </m:sub>
        </m:sSub>
      </m:oMath>
      <w:r>
        <w:t xml:space="preserve"> </w:t>
      </w:r>
      <w:r>
        <w:t xml:space="preserve">from the balanced and complete training data—has access to far more speaker-specific information than method 6. As a consequence, the classic approach achieves the best performance in predicting the vowel category that the</w:t>
      </w:r>
      <w:r>
        <w:t xml:space="preserve"> </w:t>
      </w:r>
      <w:r>
        <w:rPr>
          <w:i/>
          <w:iCs/>
        </w:rPr>
        <w:t xml:space="preserve">talker intended to produce</w:t>
      </w:r>
      <w:r>
        <w:t xml:space="preserve"> </w:t>
      </w:r>
      <w:r>
        <w:t xml:space="preserve">(see</w:t>
      </w:r>
      <w:r>
        <w:t xml:space="preserve"> </w:t>
      </w:r>
      <w:hyperlink w:anchor="fig-bootboxplot">
        <w:r>
          <w:rPr>
            <w:rStyle w:val="Hyperlink"/>
          </w:rPr>
          <w:t xml:space="preserve">Figure 4</w:t>
        </w:r>
      </w:hyperlink>
      <w:r>
        <w:t xml:space="preserve">(b)). Yet, the classic approach does</w:t>
      </w:r>
      <w:r>
        <w:t xml:space="preserve"> </w:t>
      </w:r>
      <w:r>
        <w:rPr>
          <w:i/>
          <w:iCs/>
        </w:rPr>
        <w:t xml:space="preserve">not</w:t>
      </w:r>
      <w:r>
        <w:t xml:space="preserve"> </w:t>
      </w:r>
      <w:r>
        <w:t xml:space="preserve">provide the best explanation for</w:t>
      </w:r>
      <w:r>
        <w:t xml:space="preserve"> </w:t>
      </w:r>
      <w:r>
        <w:rPr>
          <w:i/>
          <w:iCs/>
        </w:rPr>
        <w:t xml:space="preserve">listeners’</w:t>
      </w:r>
      <w:r>
        <w:t xml:space="preserve"> </w:t>
      </w:r>
      <w:r>
        <w:t xml:space="preserve">categorization responses. This highlights what should be obvious—and yet is often ignored in research on normalization: that listeners do not have access to a large and balanced set of vowel productions from a talker when they first encounter them. Effective speech perception thus requires mechanisms that can incrementally infer the relevant quantities (here</w:t>
      </w:r>
      <w:r>
        <w:t xml:space="preserve"> </w:t>
      </w:r>
      <m:oMath>
        <m:sSub>
          <m:e>
            <m:r>
              <m:t>ψ</m:t>
            </m:r>
          </m:e>
          <m:sub>
            <m:r>
              <m:t>s</m:t>
            </m:r>
          </m:sub>
        </m:sSub>
      </m:oMath>
      <w:r>
        <w:t xml:space="preserve">) based on prior expectations and other available information (e.g.,</w:t>
      </w:r>
      <w:r>
        <w:t xml:space="preserve"> </w:t>
      </w:r>
      <m:oMath>
        <m:r>
          <m:t>f</m:t>
        </m:r>
        <m:r>
          <m:t>0</m:t>
        </m:r>
      </m:oMath>
      <w:r>
        <w:t xml:space="preserve">, as in method 6).</w:t>
      </w:r>
    </w:p>
    <w:p>
      <w:pPr>
        <w:pStyle w:val="BodyText"/>
      </w:pPr>
      <w:r>
        <w:t xml:space="preserve">Just how well method 6 performs is further highlighted by the comparison against the normalization approach that arguably remains the most popular, Lobanov normalization. While Lobanov normalization provides the best fit to the intended vowel category, it is one of the worst models of listener responses. This lends additional emphasis to a point we have made elsewhere: just because a normalization procedure excels at reducing cross-talker formant variability this does</w:t>
      </w:r>
      <w:r>
        <w:t xml:space="preserve"> </w:t>
      </w:r>
      <w:r>
        <w:rPr>
          <w:i/>
          <w:iCs/>
        </w:rPr>
        <w:t xml:space="preserve">not</w:t>
      </w:r>
      <w:r>
        <w:t xml:space="preserve"> </w:t>
      </w:r>
      <w:r>
        <w:t xml:space="preserve">mean it is an adequate model of human perception</w:t>
      </w:r>
      <w:r>
        <w:t xml:space="preserve"> </w:t>
      </w:r>
      <w:r>
        <w:t xml:space="preserve">(e.g., Barreda 2021; Persson, Barreda, and Jaeger 2025)</w:t>
      </w:r>
      <w:r>
        <w:t xml:space="preserve">.</w:t>
      </w:r>
    </w:p>
    <w:p>
      <w:pPr>
        <w:pStyle w:val="BodyText"/>
      </w:pPr>
      <w:r>
        <w:t xml:space="preserve">Method 6 also outperforms method 1 when the latter is applied trial-by-trial. We included this variant of method 1</w:t>
      </w:r>
      <w:r>
        <w:t xml:space="preserve"> </w:t>
      </w:r>
      <w:r>
        <w:t xml:space="preserve">(not considered in Nearey and Assmann 2007)</w:t>
      </w:r>
      <w:r>
        <w:t xml:space="preserve"> </w:t>
      </w:r>
      <w:r>
        <w:t xml:space="preserve">as a more direct baseline to the single-trial methods 2, 3, and 6. The fact that the single-trial variant of method 1 performs so poorly that it is not even visible in</w:t>
      </w:r>
      <w:r>
        <w:t xml:space="preserve"> </w:t>
      </w:r>
      <w:hyperlink w:anchor="fig-bootboxplot">
        <w:r>
          <w:rPr>
            <w:rStyle w:val="Hyperlink"/>
          </w:rPr>
          <w:t xml:space="preserve">Figure 4</w:t>
        </w:r>
      </w:hyperlink>
      <w:r>
        <w:t xml:space="preserve"> </w:t>
      </w:r>
      <w:r>
        <w:t xml:space="preserve">(a) validates the issues we raised in section</w:t>
      </w:r>
      <w:r>
        <w:t xml:space="preserve"> </w:t>
      </w:r>
      <w:hyperlink w:anchor="sec-methods">
        <w:r>
          <w:rPr>
            <w:rStyle w:val="Hyperlink"/>
          </w:rPr>
          <w:t xml:space="preserve">Section 4</w:t>
        </w:r>
      </w:hyperlink>
      <w:r>
        <w:t xml:space="preserve"> </w:t>
      </w:r>
      <w:r>
        <w:t xml:space="preserve">about method 1: it would lead to highly unstable vowel perception, and listeners do not seem to use it.</w:t>
      </w:r>
    </w:p>
    <w:p>
      <w:pPr>
        <w:pStyle w:val="BodyText"/>
      </w:pPr>
      <w:r>
        <w:t xml:space="preserve">Finally, another appealing feature of the STM is that it provides estimates of</w:t>
      </w:r>
      <w:r>
        <w:t xml:space="preserve"> </w:t>
      </w:r>
      <m:oMath>
        <m:sSub>
          <m:e>
            <m:r>
              <m:t>ψ</m:t>
            </m:r>
          </m:e>
          <m:sub>
            <m:r>
              <m:t>s</m:t>
            </m:r>
          </m:sub>
        </m:sSub>
      </m:oMath>
      <w:r>
        <w:t xml:space="preserve"> </w:t>
      </w:r>
      <w:r>
        <w:t xml:space="preserve">‘</w:t>
      </w:r>
      <w:r>
        <w:t xml:space="preserve">for free</w:t>
      </w:r>
      <w:r>
        <w:t xml:space="preserve">’</w:t>
      </w:r>
      <w:r>
        <w:t xml:space="preserve">, naturally tying together speech perception and the perception of speaker size. Since we do not known listeners’ estimates of</w:t>
      </w:r>
      <w:r>
        <w:t xml:space="preserve"> </w:t>
      </w:r>
      <m:oMath>
        <m:sSub>
          <m:e>
            <m:r>
              <m:t>ψ</m:t>
            </m:r>
          </m:e>
          <m:sub>
            <m:r>
              <m:t>s</m:t>
            </m:r>
          </m:sub>
        </m:sSub>
      </m:oMath>
      <w:r>
        <w:t xml:space="preserve">, we cannot directly compare the different methods against that ground truth. We can, however, compare how accurately the incremental PSTM methods estimate the</w:t>
      </w:r>
      <w:r>
        <w:t xml:space="preserve"> </w:t>
      </w:r>
      <m:oMath>
        <m:sSub>
          <m:e>
            <m:r>
              <m:t>ψ</m:t>
            </m:r>
          </m:e>
          <m:sub>
            <m:r>
              <m:t>s</m:t>
            </m:r>
          </m:sub>
        </m:sSub>
      </m:oMath>
      <w:r>
        <w:t xml:space="preserve"> </w:t>
      </w:r>
      <w:r>
        <w:t xml:space="preserve">that would result from calculating</w:t>
      </w:r>
      <w:r>
        <w:t xml:space="preserve"> </w:t>
      </w:r>
      <m:oMath>
        <m:sSub>
          <m:e>
            <m:r>
              <m:t>ψ</m:t>
            </m:r>
          </m:e>
          <m:sub>
            <m:r>
              <m:t>s</m:t>
            </m:r>
          </m:sub>
        </m:sSub>
      </m:oMath>
      <w:r>
        <w:t xml:space="preserve"> </w:t>
      </w:r>
      <w:r>
        <w:t xml:space="preserve">over the entire data from the talker (our best estimate of</w:t>
      </w:r>
      <w:r>
        <w:t xml:space="preserve"> </w:t>
      </w:r>
      <m:oMath>
        <m:sSub>
          <m:e>
            <m:r>
              <m:t>ψ</m:t>
            </m:r>
          </m:e>
          <m:sub>
            <m:r>
              <m:t>s</m:t>
            </m:r>
          </m:sub>
        </m:sSub>
      </m:oMath>
      <w:r>
        <w:t xml:space="preserve">).</w:t>
      </w:r>
      <w:r>
        <w:t xml:space="preserve"> </w:t>
      </w:r>
      <w:hyperlink w:anchor="fig-bootboxplot">
        <w:r>
          <w:rPr>
            <w:rStyle w:val="Hyperlink"/>
          </w:rPr>
          <w:t xml:space="preserve">Figure 4</w:t>
        </w:r>
      </w:hyperlink>
      <w:r>
        <w:t xml:space="preserve"> </w:t>
      </w:r>
      <w:r>
        <w:t xml:space="preserve">(c) shows that method 6 again performed best (lowest RMS errors).</w:t>
      </w:r>
    </w:p>
    <w:bookmarkEnd w:id="67"/>
    <w:bookmarkEnd w:id="68"/>
    <w:bookmarkStart w:id="69" w:name="conclusions-and-future-directions"/>
    <w:p>
      <w:pPr>
        <w:pStyle w:val="Heading1"/>
      </w:pPr>
      <w:r>
        <w:t xml:space="preserve">6. Conclusions and Future Directions</w:t>
      </w:r>
    </w:p>
    <w:p>
      <w:pPr>
        <w:pStyle w:val="FirstParagraph"/>
      </w:pPr>
      <w:r>
        <w:t xml:space="preserve">Almost two decades after its introduction, the PSTM remains the only published fully spelled-out model of incremental formant normalization and vowel perception. By making available the code for this model in the form of an R package, we hope to make the advantages of the PSTM and its extensions more accessible to other researchers. The PSTM’s approach to normalization, uniform scaling, has been consistently found to provide a better fit against listeners’ perception than other influential methods, such as Lobanov normalization</w:t>
      </w:r>
      <w:r>
        <w:t xml:space="preserve"> </w:t>
      </w:r>
      <w:r>
        <w:t xml:space="preserve">(Barreda 2021; Persson, Barreda, and Jaeger 2025; Richter et al. 2017)</w:t>
      </w:r>
      <w:r>
        <w:t xml:space="preserve">.</w:t>
      </w:r>
    </w:p>
    <w:p>
      <w:pPr>
        <w:pStyle w:val="BodyText"/>
      </w:pPr>
      <w:r>
        <w:t xml:space="preserve">Here, we show that the predictive power of the PSTM improves further, and in non-subtle ways, once the</w:t>
      </w:r>
      <w:r>
        <w:t xml:space="preserve"> </w:t>
      </w:r>
      <w:r>
        <w:rPr>
          <w:i/>
          <w:iCs/>
        </w:rPr>
        <w:t xml:space="preserve">incremental</w:t>
      </w:r>
      <w:r>
        <w:t xml:space="preserve"> </w:t>
      </w:r>
      <w:r>
        <w:t xml:space="preserve">inferences listeners need to make are adequately modeled. Our bootstrap simulations confirm that method 6—which assumes that listeners consider both intrinsic and extrinsic information in guiding their prior expectations about</w:t>
      </w:r>
      <w:r>
        <w:t xml:space="preserve"> </w:t>
      </w:r>
      <m:oMath>
        <m:sSub>
          <m:e>
            <m:r>
              <m:t>ψ</m:t>
            </m:r>
          </m:e>
          <m:sub>
            <m:r>
              <m:t>s</m:t>
            </m:r>
          </m:sub>
        </m:sSub>
      </m:oMath>
      <w:r>
        <w:t xml:space="preserve">—best explains listeners’ behavior in the data from</w:t>
      </w:r>
      <w:r>
        <w:t xml:space="preserve"> </w:t>
      </w:r>
      <w:r>
        <w:t xml:space="preserve">Hillenbrand et al. (1995)</w:t>
      </w:r>
      <w:r>
        <w:t xml:space="preserve">.</w:t>
      </w:r>
    </w:p>
    <w:p>
      <w:pPr>
        <w:pStyle w:val="BodyText"/>
      </w:pPr>
      <w:r>
        <w:t xml:space="preserve">The general framework for incremental normalization presented here can be extended to a wide range of other normalization methods. This will allow comparisons between different approaches to incremental formant normalization and beyond. In particular, future work can investigate how incremental normalization can be integrated into modern ASR architectures, to improve the suitability of these architectures as a model of human speech perception. This will also researchers to move beyond normalization of formant point estimates (e.g., F1-F3 at the start and end of the vowel), addressing longstanding concerns that human listeners use a much broader sets of acoustic features when identifying vowels</w:t>
      </w:r>
      <w:r>
        <w:t xml:space="preserve"> </w:t>
      </w:r>
      <w:r>
        <w:t xml:space="preserve">Barreda and Nearey (2012)</w:t>
      </w:r>
      <w:r>
        <w:t xml:space="preserve">.</w:t>
      </w:r>
    </w:p>
    <w:bookmarkEnd w:id="69"/>
    <w:bookmarkStart w:id="107" w:name="references"/>
    <w:p>
      <w:pPr>
        <w:pStyle w:val="Heading1"/>
      </w:pPr>
      <w:r>
        <w:t xml:space="preserve">7. References</w:t>
      </w:r>
    </w:p>
    <w:bookmarkStart w:id="106" w:name="refs"/>
    <w:bookmarkStart w:id="70" w:name="ref-ak00"/>
    <w:p>
      <w:pPr>
        <w:pStyle w:val="Bibliography"/>
      </w:pPr>
      <w:r>
        <w:t xml:space="preserve">Assmann, Peter F, and William F Katz. 2000.</w:t>
      </w:r>
      <w:r>
        <w:t xml:space="preserve"> </w:t>
      </w:r>
      <w:r>
        <w:t xml:space="preserve">“Time-Varying Spectral Change in the Vowels of Children and Adults.”</w:t>
      </w:r>
      <w:r>
        <w:t xml:space="preserve"> </w:t>
      </w:r>
      <w:r>
        <w:rPr>
          <w:i/>
          <w:iCs/>
        </w:rPr>
        <w:t xml:space="preserve">The Journal of the Acoustical Society of America</w:t>
      </w:r>
      <w:r>
        <w:t xml:space="preserve"> </w:t>
      </w:r>
      <w:r>
        <w:t xml:space="preserve">108 (4): 1856–66.</w:t>
      </w:r>
    </w:p>
    <w:bookmarkEnd w:id="70"/>
    <w:bookmarkStart w:id="71" w:name="ref-barreda2012"/>
    <w:p>
      <w:pPr>
        <w:pStyle w:val="Bibliography"/>
      </w:pPr>
      <w:r>
        <w:t xml:space="preserve">Barreda, Santiago. 2012.</w:t>
      </w:r>
      <w:r>
        <w:t xml:space="preserve"> </w:t>
      </w:r>
      <w:r>
        <w:t xml:space="preserve">“Vowel Normalization and the Perception of Speaker Changes: An Exploration of the Contextual Tuning Hypothesis.”</w:t>
      </w:r>
      <w:r>
        <w:t xml:space="preserve"> </w:t>
      </w:r>
      <w:r>
        <w:rPr>
          <w:i/>
          <w:iCs/>
        </w:rPr>
        <w:t xml:space="preserve">The Journal of the Acoustical Society of America</w:t>
      </w:r>
      <w:r>
        <w:t xml:space="preserve"> </w:t>
      </w:r>
      <w:r>
        <w:t xml:space="preserve">132 (5): 3453–64.</w:t>
      </w:r>
    </w:p>
    <w:bookmarkEnd w:id="71"/>
    <w:bookmarkStart w:id="72" w:name="ref-b20"/>
    <w:p>
      <w:pPr>
        <w:pStyle w:val="Bibliography"/>
      </w:pPr>
      <w:r>
        <w:t xml:space="preserve">———. 2020.</w:t>
      </w:r>
      <w:r>
        <w:t xml:space="preserve"> </w:t>
      </w:r>
      <w:r>
        <w:t xml:space="preserve">“Vowel Normalization as Perceptual Constancy.”</w:t>
      </w:r>
      <w:r>
        <w:t xml:space="preserve"> </w:t>
      </w:r>
      <w:r>
        <w:rPr>
          <w:i/>
          <w:iCs/>
        </w:rPr>
        <w:t xml:space="preserve">Language</w:t>
      </w:r>
      <w:r>
        <w:t xml:space="preserve"> </w:t>
      </w:r>
      <w:r>
        <w:t xml:space="preserve">96 (2).</w:t>
      </w:r>
    </w:p>
    <w:bookmarkEnd w:id="72"/>
    <w:bookmarkStart w:id="73" w:name="ref-b21"/>
    <w:p>
      <w:pPr>
        <w:pStyle w:val="Bibliography"/>
      </w:pPr>
      <w:r>
        <w:t xml:space="preserve">———. 2021.</w:t>
      </w:r>
      <w:r>
        <w:t xml:space="preserve"> </w:t>
      </w:r>
      <w:r>
        <w:t xml:space="preserve">“Perceptual Validation of Vowel Normalization Methods for Variationist Research.”</w:t>
      </w:r>
      <w:r>
        <w:t xml:space="preserve"> </w:t>
      </w:r>
      <w:r>
        <w:rPr>
          <w:i/>
          <w:iCs/>
        </w:rPr>
        <w:t xml:space="preserve">Language Variation and Change</w:t>
      </w:r>
      <w:r>
        <w:t xml:space="preserve">, 1–27.</w:t>
      </w:r>
    </w:p>
    <w:bookmarkEnd w:id="73"/>
    <w:bookmarkStart w:id="74" w:name="ref-bn2012"/>
    <w:p>
      <w:pPr>
        <w:pStyle w:val="Bibliography"/>
      </w:pPr>
      <w:r>
        <w:t xml:space="preserve">Barreda, Santiago, and Terrance M Nearey. 2012.</w:t>
      </w:r>
      <w:r>
        <w:t xml:space="preserve"> </w:t>
      </w:r>
      <w:r>
        <w:t xml:space="preserve">“The Direct and Indirect Roles of Fundamental Frequency in Vowel Perception.”</w:t>
      </w:r>
      <w:r>
        <w:t xml:space="preserve"> </w:t>
      </w:r>
      <w:r>
        <w:rPr>
          <w:i/>
          <w:iCs/>
        </w:rPr>
        <w:t xml:space="preserve">The Journal of the Acoustical Society of America</w:t>
      </w:r>
      <w:r>
        <w:t xml:space="preserve"> </w:t>
      </w:r>
      <w:r>
        <w:t xml:space="preserve">131 (1): 466–77.</w:t>
      </w:r>
    </w:p>
    <w:bookmarkEnd w:id="74"/>
    <w:bookmarkStart w:id="75" w:name="ref-barreda-nearey2018"/>
    <w:p>
      <w:pPr>
        <w:pStyle w:val="Bibliography"/>
      </w:pPr>
      <w:r>
        <w:t xml:space="preserve">———. 2018.</w:t>
      </w:r>
      <w:r>
        <w:t xml:space="preserve"> </w:t>
      </w:r>
      <w:r>
        <w:t xml:space="preserve">“A Regression Approach to Vowel Normalization for Missing and Unbalanced Data.”</w:t>
      </w:r>
      <w:r>
        <w:t xml:space="preserve"> </w:t>
      </w:r>
      <w:r>
        <w:rPr>
          <w:i/>
          <w:iCs/>
        </w:rPr>
        <w:t xml:space="preserve">The Journal of the Acoustical Society of America</w:t>
      </w:r>
      <w:r>
        <w:t xml:space="preserve"> </w:t>
      </w:r>
      <w:r>
        <w:t xml:space="preserve">144 (1): 500–520.</w:t>
      </w:r>
    </w:p>
    <w:bookmarkEnd w:id="75"/>
    <w:bookmarkStart w:id="76" w:name="ref-charlton2012"/>
    <w:p>
      <w:pPr>
        <w:pStyle w:val="Bibliography"/>
      </w:pPr>
      <w:r>
        <w:t xml:space="preserve">Charlton, Benjamin D, William AH Ellis, Rebecca Larkin, and W Tecumseh Fitch. 2012.</w:t>
      </w:r>
      <w:r>
        <w:t xml:space="preserve"> </w:t>
      </w:r>
      <w:r>
        <w:t xml:space="preserve">“Perception of Size-Related Formant Information in Male Koalas (Phascolarctos Cinereus).”</w:t>
      </w:r>
      <w:r>
        <w:t xml:space="preserve"> </w:t>
      </w:r>
      <w:r>
        <w:rPr>
          <w:i/>
          <w:iCs/>
        </w:rPr>
        <w:t xml:space="preserve">Animal Cognition</w:t>
      </w:r>
      <w:r>
        <w:t xml:space="preserve"> </w:t>
      </w:r>
      <w:r>
        <w:t xml:space="preserve">15: 999–1006.</w:t>
      </w:r>
    </w:p>
    <w:bookmarkEnd w:id="76"/>
    <w:bookmarkStart w:id="77" w:name="ref-chernyak2024"/>
    <w:p>
      <w:pPr>
        <w:pStyle w:val="Bibliography"/>
      </w:pPr>
      <w:r>
        <w:t xml:space="preserve">Chernyak, Bronya R., Ann R. Bradlow, Joseph Keshet, and Matthew Goldrick. 2024.</w:t>
      </w:r>
      <w:r>
        <w:t xml:space="preserve"> </w:t>
      </w:r>
      <w:r>
        <w:t xml:space="preserve">“A Perceptual Similarity Space for Speech Based on Self-Supervised Speech Representations.”</w:t>
      </w:r>
      <w:r>
        <w:t xml:space="preserve"> </w:t>
      </w:r>
      <w:r>
        <w:rPr>
          <w:i/>
          <w:iCs/>
        </w:rPr>
        <w:t xml:space="preserve">JASA</w:t>
      </w:r>
      <w:r>
        <w:t xml:space="preserve"> </w:t>
      </w:r>
      <w:r>
        <w:t xml:space="preserve">155 (6): 3915–29.</w:t>
      </w:r>
    </w:p>
    <w:bookmarkEnd w:id="77"/>
    <w:bookmarkStart w:id="78" w:name="ref-h2000"/>
    <w:p>
      <w:pPr>
        <w:pStyle w:val="Bibliography"/>
      </w:pPr>
      <w:r>
        <w:t xml:space="preserve">Hillenbrand, James M, Michael J Clark, and Robert A Houde. 2000.</w:t>
      </w:r>
      <w:r>
        <w:t xml:space="preserve"> </w:t>
      </w:r>
      <w:r>
        <w:t xml:space="preserve">“Some Effects of Duration on Vowel Recognition.”</w:t>
      </w:r>
      <w:r>
        <w:t xml:space="preserve"> </w:t>
      </w:r>
      <w:r>
        <w:rPr>
          <w:i/>
          <w:iCs/>
        </w:rPr>
        <w:t xml:space="preserve">The Journal of the Acoustical Society of America</w:t>
      </w:r>
      <w:r>
        <w:t xml:space="preserve"> </w:t>
      </w:r>
      <w:r>
        <w:t xml:space="preserve">108 (6): 3013–22.</w:t>
      </w:r>
    </w:p>
    <w:bookmarkEnd w:id="78"/>
    <w:bookmarkStart w:id="80" w:name="ref-h95"/>
    <w:p>
      <w:pPr>
        <w:pStyle w:val="Bibliography"/>
      </w:pPr>
      <w:r>
        <w:t xml:space="preserve">Hillenbrand, James M, Laura A Getty, Michael J Clark, and Kevin Wheeler. 1995.</w:t>
      </w:r>
      <w:r>
        <w:t xml:space="preserve"> </w:t>
      </w:r>
      <w:r>
        <w:t xml:space="preserve">“Acoustic Characteristics of</w:t>
      </w:r>
      <w:r>
        <w:t xml:space="preserve"> </w:t>
      </w:r>
      <w:r>
        <w:t xml:space="preserve">American</w:t>
      </w:r>
      <w:r>
        <w:t xml:space="preserve"> </w:t>
      </w:r>
      <w:r>
        <w:t xml:space="preserve">English</w:t>
      </w:r>
      <w:r>
        <w:t xml:space="preserve"> </w:t>
      </w:r>
      <w:r>
        <w:t xml:space="preserve">Vowels.”</w:t>
      </w:r>
      <w:r>
        <w:t xml:space="preserve"> </w:t>
      </w:r>
      <w:r>
        <w:rPr>
          <w:i/>
          <w:iCs/>
        </w:rPr>
        <w:t xml:space="preserve">The Journal of the Acoustical Society of America</w:t>
      </w:r>
      <w:r>
        <w:t xml:space="preserve"> </w:t>
      </w:r>
      <w:r>
        <w:t xml:space="preserve">97 (5): 3099.</w:t>
      </w:r>
      <w:r>
        <w:t xml:space="preserve"> </w:t>
      </w:r>
      <w:hyperlink r:id="rId79">
        <w:r>
          <w:rPr>
            <w:rStyle w:val="Hyperlink"/>
          </w:rPr>
          <w:t xml:space="preserve">https://doi.org/10.1121/1.413041</w:t>
        </w:r>
      </w:hyperlink>
      <w:r>
        <w:t xml:space="preserve">.</w:t>
      </w:r>
    </w:p>
    <w:bookmarkEnd w:id="80"/>
    <w:bookmarkStart w:id="81" w:name="ref-hn99"/>
    <w:p>
      <w:pPr>
        <w:pStyle w:val="Bibliography"/>
      </w:pPr>
      <w:r>
        <w:t xml:space="preserve">Hillenbrand, James M, and Terrance M Nearey. 1999.</w:t>
      </w:r>
      <w:r>
        <w:t xml:space="preserve"> </w:t>
      </w:r>
      <w:r>
        <w:t xml:space="preserve">“Identification of Resynthesized/hVd/Utterances: Effects of Formant Contour.”</w:t>
      </w:r>
      <w:r>
        <w:t xml:space="preserve"> </w:t>
      </w:r>
      <w:r>
        <w:rPr>
          <w:i/>
          <w:iCs/>
        </w:rPr>
        <w:t xml:space="preserve">The Journal of the Acoustical Society of America</w:t>
      </w:r>
      <w:r>
        <w:t xml:space="preserve"> </w:t>
      </w:r>
      <w:r>
        <w:t xml:space="preserve">105 (6): 3509–23.</w:t>
      </w:r>
    </w:p>
    <w:bookmarkEnd w:id="81"/>
    <w:bookmarkStart w:id="82" w:name="ref-jin2025"/>
    <w:p>
      <w:pPr>
        <w:pStyle w:val="Bibliography"/>
      </w:pPr>
      <w:r>
        <w:t xml:space="preserve">Jin, Zhengyang, Yuhao Zhu, and T. Florian Jaeger. 2025.</w:t>
      </w:r>
      <w:r>
        <w:t xml:space="preserve"> </w:t>
      </w:r>
      <w:r>
        <w:t xml:space="preserve">“Latent Speech Representations Learned Through Self-Supervised Learning Predict Listeners’ Generalization of Adaptation Across Talkers.”</w:t>
      </w:r>
    </w:p>
    <w:bookmarkEnd w:id="82"/>
    <w:bookmarkStart w:id="83" w:name="ref-johnson1997"/>
    <w:p>
      <w:pPr>
        <w:pStyle w:val="Bibliography"/>
      </w:pPr>
      <w:r>
        <w:t xml:space="preserve">Johnson, K. 1997.</w:t>
      </w:r>
      <w:r>
        <w:t xml:space="preserve"> </w:t>
      </w:r>
      <w:r>
        <w:t xml:space="preserve">“Speech Perception Without Speaker Normalization.”</w:t>
      </w:r>
      <w:r>
        <w:t xml:space="preserve"> </w:t>
      </w:r>
      <w:r>
        <w:t xml:space="preserve">In</w:t>
      </w:r>
      <w:r>
        <w:t xml:space="preserve"> </w:t>
      </w:r>
      <w:r>
        <w:rPr>
          <w:i/>
          <w:iCs/>
        </w:rPr>
        <w:t xml:space="preserve">Talker Variability in Speech Processing</w:t>
      </w:r>
      <w:r>
        <w:t xml:space="preserve">, edited by K Johnson and J W Mullennix, 145–46. San Diego: Academic Press.</w:t>
      </w:r>
    </w:p>
    <w:bookmarkEnd w:id="83"/>
    <w:bookmarkStart w:id="84" w:name="ref-kim2024"/>
    <w:p>
      <w:pPr>
        <w:pStyle w:val="Bibliography"/>
      </w:pPr>
      <w:r>
        <w:t xml:space="preserve">Kim, Seung-Eun, Bronya R Chernyak, Olga Seleznova, Joseph Keshet, Matthew Goldrick, and Ann R Bradlow. 2024.</w:t>
      </w:r>
      <w:r>
        <w:t xml:space="preserve"> </w:t>
      </w:r>
      <w:r>
        <w:t xml:space="preserve">“Automatic Recognition of Second Language Speech-in-Noise.”</w:t>
      </w:r>
      <w:r>
        <w:t xml:space="preserve"> </w:t>
      </w:r>
      <w:r>
        <w:rPr>
          <w:i/>
          <w:iCs/>
        </w:rPr>
        <w:t xml:space="preserve">JASA Express Letters</w:t>
      </w:r>
      <w:r>
        <w:t xml:space="preserve"> </w:t>
      </w:r>
      <w:r>
        <w:t xml:space="preserve">4 (2).</w:t>
      </w:r>
    </w:p>
    <w:bookmarkEnd w:id="84"/>
    <w:bookmarkStart w:id="85" w:name="ref-kleinschmidt-jaeger2015"/>
    <w:p>
      <w:pPr>
        <w:pStyle w:val="Bibliography"/>
      </w:pPr>
      <w:r>
        <w:t xml:space="preserve">Kleinschmidt, Dave F, and T Florian Jaeger. 2015.</w:t>
      </w:r>
      <w:r>
        <w:t xml:space="preserve"> </w:t>
      </w:r>
      <w:r>
        <w:t xml:space="preserve">“Robust Speech Perception: Recognize the Familiar, Generalize to the Similar, and Adapt to the Novel.”</w:t>
      </w:r>
      <w:r>
        <w:t xml:space="preserve"> </w:t>
      </w:r>
      <w:r>
        <w:rPr>
          <w:i/>
          <w:iCs/>
        </w:rPr>
        <w:t xml:space="preserve">Psychological Review</w:t>
      </w:r>
      <w:r>
        <w:t xml:space="preserve"> </w:t>
      </w:r>
      <w:r>
        <w:t xml:space="preserve">122 (2): 148.</w:t>
      </w:r>
    </w:p>
    <w:bookmarkEnd w:id="85"/>
    <w:bookmarkStart w:id="86" w:name="ref-kleinschmidt2018"/>
    <w:p>
      <w:pPr>
        <w:pStyle w:val="Bibliography"/>
      </w:pPr>
      <w:r>
        <w:t xml:space="preserve">Kleinschmidt, Dave F, Kodi Weatherholtz, and T Florian Jaeger. 2018.</w:t>
      </w:r>
      <w:r>
        <w:t xml:space="preserve"> </w:t>
      </w:r>
      <w:r>
        <w:t xml:space="preserve">“Sociolinguistic Perception as Inference Under Uncertainty.”</w:t>
      </w:r>
      <w:r>
        <w:t xml:space="preserve"> </w:t>
      </w:r>
      <w:r>
        <w:rPr>
          <w:i/>
          <w:iCs/>
        </w:rPr>
        <w:t xml:space="preserve">Topics in Cognitive Science</w:t>
      </w:r>
      <w:r>
        <w:t xml:space="preserve"> </w:t>
      </w:r>
      <w:r>
        <w:t xml:space="preserve">10 (4): 818–34.</w:t>
      </w:r>
    </w:p>
    <w:bookmarkEnd w:id="86"/>
    <w:bookmarkStart w:id="87" w:name="ref-lobanov1971"/>
    <w:p>
      <w:pPr>
        <w:pStyle w:val="Bibliography"/>
      </w:pPr>
      <w:r>
        <w:t xml:space="preserve">Lobanov, Boris M. 1971.</w:t>
      </w:r>
      <w:r>
        <w:t xml:space="preserve"> </w:t>
      </w:r>
      <w:r>
        <w:t xml:space="preserve">“Classification of Russian Vowels Spoken by Different Speakers.”</w:t>
      </w:r>
      <w:r>
        <w:t xml:space="preserve"> </w:t>
      </w:r>
      <w:r>
        <w:rPr>
          <w:i/>
          <w:iCs/>
        </w:rPr>
        <w:t xml:space="preserve">Journal of the Acoustical Society of America</w:t>
      </w:r>
      <w:r>
        <w:t xml:space="preserve"> </w:t>
      </w:r>
      <w:r>
        <w:t xml:space="preserve">49 (2B): 606–8.</w:t>
      </w:r>
    </w:p>
    <w:bookmarkEnd w:id="87"/>
    <w:bookmarkStart w:id="88" w:name="ref-luce-pisoni1998"/>
    <w:p>
      <w:pPr>
        <w:pStyle w:val="Bibliography"/>
      </w:pPr>
      <w:r>
        <w:t xml:space="preserve">Luce, Paul A, and David B Pisoni. 1998.</w:t>
      </w:r>
      <w:r>
        <w:t xml:space="preserve"> </w:t>
      </w:r>
      <w:r>
        <w:t xml:space="preserve">“Recognizing Spoken Words: The Neighborhood Activation Model.”</w:t>
      </w:r>
      <w:r>
        <w:t xml:space="preserve"> </w:t>
      </w:r>
      <w:r>
        <w:rPr>
          <w:i/>
          <w:iCs/>
        </w:rPr>
        <w:t xml:space="preserve">Ear and Hearing</w:t>
      </w:r>
      <w:r>
        <w:t xml:space="preserve"> </w:t>
      </w:r>
      <w:r>
        <w:t xml:space="preserve">19 (1): 1–36.</w:t>
      </w:r>
    </w:p>
    <w:bookmarkEnd w:id="88"/>
    <w:bookmarkStart w:id="89" w:name="ref-magnuson-nusbaum2007"/>
    <w:p>
      <w:pPr>
        <w:pStyle w:val="Bibliography"/>
      </w:pPr>
      <w:r>
        <w:t xml:space="preserve">Magnuson, James S, and Howard C Nusbaum. 2007.</w:t>
      </w:r>
      <w:r>
        <w:t xml:space="preserve"> </w:t>
      </w:r>
      <w:r>
        <w:t xml:space="preserve">“Acoustic Differences, Listener Expectations, and the Perceptual Accommodation of Talker Variability.”</w:t>
      </w:r>
      <w:r>
        <w:t xml:space="preserve"> </w:t>
      </w:r>
      <w:r>
        <w:rPr>
          <w:i/>
          <w:iCs/>
        </w:rPr>
        <w:t xml:space="preserve">Journal of Experimental Psychology: Human Perception and Performance</w:t>
      </w:r>
      <w:r>
        <w:t xml:space="preserve"> </w:t>
      </w:r>
      <w:r>
        <w:t xml:space="preserve">33 (2): 391.</w:t>
      </w:r>
    </w:p>
    <w:bookmarkEnd w:id="89"/>
    <w:bookmarkStart w:id="90" w:name="ref-massaro-friedman1990"/>
    <w:p>
      <w:pPr>
        <w:pStyle w:val="Bibliography"/>
      </w:pPr>
      <w:r>
        <w:t xml:space="preserve">Massaro, Dominic W, and Daniel Friedman. 1990.</w:t>
      </w:r>
      <w:r>
        <w:t xml:space="preserve"> </w:t>
      </w:r>
      <w:r>
        <w:t xml:space="preserve">“Models of Integration Given Multiple Sources of Information.”</w:t>
      </w:r>
      <w:r>
        <w:t xml:space="preserve"> </w:t>
      </w:r>
      <w:r>
        <w:rPr>
          <w:i/>
          <w:iCs/>
        </w:rPr>
        <w:t xml:space="preserve">Psychological Review</w:t>
      </w:r>
      <w:r>
        <w:t xml:space="preserve"> </w:t>
      </w:r>
      <w:r>
        <w:t xml:space="preserve">97 (2): 225.</w:t>
      </w:r>
    </w:p>
    <w:bookmarkEnd w:id="90"/>
    <w:bookmarkStart w:id="91" w:name="ref-NA07"/>
    <w:p>
      <w:pPr>
        <w:pStyle w:val="Bibliography"/>
      </w:pPr>
      <w:r>
        <w:t xml:space="preserve">Nearey, T M, and Peter F Assmann. 2007.</w:t>
      </w:r>
      <w:r>
        <w:t xml:space="preserve"> </w:t>
      </w:r>
      <w:r>
        <w:t xml:space="preserve">“Probabilistic</w:t>
      </w:r>
      <w:r>
        <w:t xml:space="preserve"> </w:t>
      </w:r>
      <w:r>
        <w:t xml:space="preserve">‘Sliding-Template’</w:t>
      </w:r>
      <w:r>
        <w:t xml:space="preserve"> </w:t>
      </w:r>
      <w:r>
        <w:t xml:space="preserve">Models for Indirect Vowel Normalization.”</w:t>
      </w:r>
      <w:r>
        <w:t xml:space="preserve"> </w:t>
      </w:r>
      <w:r>
        <w:rPr>
          <w:i/>
          <w:iCs/>
        </w:rPr>
        <w:t xml:space="preserve">Experimental Approaches to Phonology</w:t>
      </w:r>
      <w:r>
        <w:t xml:space="preserve"> </w:t>
      </w:r>
      <w:r>
        <w:t xml:space="preserve">246.</w:t>
      </w:r>
    </w:p>
    <w:bookmarkEnd w:id="91"/>
    <w:bookmarkStart w:id="92" w:name="ref-norris-mcqueen2008"/>
    <w:p>
      <w:pPr>
        <w:pStyle w:val="Bibliography"/>
      </w:pPr>
      <w:r>
        <w:t xml:space="preserve">Norris, Dennis, and James M McQueen. 2008.</w:t>
      </w:r>
      <w:r>
        <w:t xml:space="preserve"> </w:t>
      </w:r>
      <w:r>
        <w:t xml:space="preserve">“Shortlist b: A Bayesian Model of Continuous Speech Recognition.”</w:t>
      </w:r>
      <w:r>
        <w:t xml:space="preserve"> </w:t>
      </w:r>
      <w:r>
        <w:rPr>
          <w:i/>
          <w:iCs/>
        </w:rPr>
        <w:t xml:space="preserve">Psychological Review</w:t>
      </w:r>
      <w:r>
        <w:t xml:space="preserve"> </w:t>
      </w:r>
      <w:r>
        <w:t xml:space="preserve">115 (2): 357.</w:t>
      </w:r>
    </w:p>
    <w:bookmarkEnd w:id="92"/>
    <w:bookmarkStart w:id="93" w:name="ref-persson2025"/>
    <w:p>
      <w:pPr>
        <w:pStyle w:val="Bibliography"/>
      </w:pPr>
      <w:r>
        <w:t xml:space="preserve">Persson, Anna, Santiago Barreda, and T Florian Jaeger. 2025.</w:t>
      </w:r>
      <w:r>
        <w:t xml:space="preserve"> </w:t>
      </w:r>
      <w:r>
        <w:t xml:space="preserve">“Comparing Accounts of Formant Normalization Against US English Listeners’ Vowel Perception.”</w:t>
      </w:r>
      <w:r>
        <w:t xml:space="preserve"> </w:t>
      </w:r>
      <w:r>
        <w:rPr>
          <w:i/>
          <w:iCs/>
        </w:rPr>
        <w:t xml:space="preserve">Journal of the Acoustical Society of America</w:t>
      </w:r>
      <w:r>
        <w:t xml:space="preserve"> </w:t>
      </w:r>
      <w:r>
        <w:t xml:space="preserve">157: 1458–82.</w:t>
      </w:r>
    </w:p>
    <w:bookmarkEnd w:id="93"/>
    <w:bookmarkStart w:id="95" w:name="ref-pb52"/>
    <w:p>
      <w:pPr>
        <w:pStyle w:val="Bibliography"/>
      </w:pPr>
      <w:r>
        <w:t xml:space="preserve">Peterson, Gordon E., and Harold L. Barney. 1952.</w:t>
      </w:r>
      <w:r>
        <w:t xml:space="preserve"> </w:t>
      </w:r>
      <w:r>
        <w:t xml:space="preserve">“Control</w:t>
      </w:r>
      <w:r>
        <w:t xml:space="preserve"> </w:t>
      </w:r>
      <w:r>
        <w:t xml:space="preserve">Methods</w:t>
      </w:r>
      <w:r>
        <w:t xml:space="preserve"> </w:t>
      </w:r>
      <w:r>
        <w:t xml:space="preserve">Used</w:t>
      </w:r>
      <w:r>
        <w:t xml:space="preserve"> </w:t>
      </w:r>
      <w:r>
        <w:t xml:space="preserve">in a</w:t>
      </w:r>
      <w:r>
        <w:t xml:space="preserve"> </w:t>
      </w:r>
      <w:r>
        <w:t xml:space="preserve">Study</w:t>
      </w:r>
      <w:r>
        <w:t xml:space="preserve"> </w:t>
      </w:r>
      <w:r>
        <w:t xml:space="preserve">of the</w:t>
      </w:r>
      <w:r>
        <w:t xml:space="preserve"> </w:t>
      </w:r>
      <w:r>
        <w:t xml:space="preserve">Vowels</w:t>
      </w:r>
      <w:r>
        <w:t xml:space="preserve">.”</w:t>
      </w:r>
      <w:r>
        <w:t xml:space="preserve"> </w:t>
      </w:r>
      <w:r>
        <w:rPr>
          <w:i/>
          <w:iCs/>
        </w:rPr>
        <w:t xml:space="preserve">The Journal of the Acoustical Society of America</w:t>
      </w:r>
      <w:r>
        <w:t xml:space="preserve"> </w:t>
      </w:r>
      <w:r>
        <w:t xml:space="preserve">24 (2): 175–84.</w:t>
      </w:r>
      <w:r>
        <w:t xml:space="preserve"> </w:t>
      </w:r>
      <w:hyperlink r:id="rId94">
        <w:r>
          <w:rPr>
            <w:rStyle w:val="Hyperlink"/>
          </w:rPr>
          <w:t xml:space="preserve">https://doi.org/10.1121/1.1906875</w:t>
        </w:r>
      </w:hyperlink>
      <w:r>
        <w:t xml:space="preserve">.</w:t>
      </w:r>
    </w:p>
    <w:bookmarkEnd w:id="95"/>
    <w:bookmarkStart w:id="97" w:name="ref-R"/>
    <w:p>
      <w:pPr>
        <w:pStyle w:val="Bibliography"/>
      </w:pPr>
      <w:r>
        <w:t xml:space="preserve">R Core Team. 2023.</w:t>
      </w:r>
      <w:r>
        <w:t xml:space="preserve"> </w:t>
      </w:r>
      <w:r>
        <w:rPr>
          <w:i/>
          <w:iCs/>
        </w:rPr>
        <w:t xml:space="preserve">R: A Language and Environment for Statistical Computing</w:t>
      </w:r>
      <w:r>
        <w:t xml:space="preserve">. Vienna, Austria: R Foundation for Statistical Computing.</w:t>
      </w:r>
      <w:r>
        <w:t xml:space="preserve"> </w:t>
      </w:r>
      <w:hyperlink r:id="rId96">
        <w:r>
          <w:rPr>
            <w:rStyle w:val="Hyperlink"/>
          </w:rPr>
          <w:t xml:space="preserve">https://www.R-project.org/</w:t>
        </w:r>
      </w:hyperlink>
      <w:r>
        <w:t xml:space="preserve">.</w:t>
      </w:r>
    </w:p>
    <w:bookmarkEnd w:id="97"/>
    <w:bookmarkStart w:id="98" w:name="ref-reby2005"/>
    <w:p>
      <w:pPr>
        <w:pStyle w:val="Bibliography"/>
      </w:pPr>
      <w:r>
        <w:t xml:space="preserve">Reby, David, Karen McComb, Bruno Cargnelutti, Chris Darwin, W Tecumseh Fitch, and Tim Clutton-Brock. 2005.</w:t>
      </w:r>
      <w:r>
        <w:t xml:space="preserve"> </w:t>
      </w:r>
      <w:r>
        <w:t xml:space="preserve">“Red Deer Stags Use Formants as Assessment Cues During Intrasexual Agonistic Interactions.”</w:t>
      </w:r>
      <w:r>
        <w:t xml:space="preserve"> </w:t>
      </w:r>
      <w:r>
        <w:rPr>
          <w:i/>
          <w:iCs/>
        </w:rPr>
        <w:t xml:space="preserve">Proceedings of the Royal Society B: Biological Sciences</w:t>
      </w:r>
      <w:r>
        <w:t xml:space="preserve"> </w:t>
      </w:r>
      <w:r>
        <w:t xml:space="preserve">272 (1566): 941–47.</w:t>
      </w:r>
    </w:p>
    <w:bookmarkEnd w:id="98"/>
    <w:bookmarkStart w:id="100" w:name="ref-richter2017"/>
    <w:p>
      <w:pPr>
        <w:pStyle w:val="Bibliography"/>
      </w:pPr>
      <w:r>
        <w:t xml:space="preserve">Richter, Caitlin, Naomi H. Feldman, Harini Salgado, and Aren Jansen. 2017.</w:t>
      </w:r>
      <w:r>
        <w:t xml:space="preserve"> </w:t>
      </w:r>
      <w:r>
        <w:t xml:space="preserve">“Evaluating Low-Level Speech Features Against Human Perceptual Data.”</w:t>
      </w:r>
      <w:r>
        <w:t xml:space="preserve"> </w:t>
      </w:r>
      <w:r>
        <w:rPr>
          <w:i/>
          <w:iCs/>
        </w:rPr>
        <w:t xml:space="preserve">Transactions of the Association for Computational Linguistics</w:t>
      </w:r>
      <w:r>
        <w:t xml:space="preserve"> </w:t>
      </w:r>
      <w:r>
        <w:t xml:space="preserve">5: 425–40.</w:t>
      </w:r>
      <w:r>
        <w:t xml:space="preserve"> </w:t>
      </w:r>
      <w:hyperlink r:id="rId99">
        <w:r>
          <w:rPr>
            <w:rStyle w:val="Hyperlink"/>
          </w:rPr>
          <w:t xml:space="preserve">https://doi.org/10.1162/tacl_a_00071</w:t>
        </w:r>
      </w:hyperlink>
      <w:r>
        <w:t xml:space="preserve">.</w:t>
      </w:r>
    </w:p>
    <w:bookmarkEnd w:id="100"/>
    <w:bookmarkStart w:id="102" w:name="ref-RStudio"/>
    <w:p>
      <w:pPr>
        <w:pStyle w:val="Bibliography"/>
      </w:pPr>
      <w:r>
        <w:t xml:space="preserve">RStudio Team. 2024.</w:t>
      </w:r>
      <w:r>
        <w:t xml:space="preserve"> </w:t>
      </w:r>
      <w:r>
        <w:rPr>
          <w:i/>
          <w:iCs/>
        </w:rPr>
        <w:t xml:space="preserve">RStudio: Integrated Development Environment for r</w:t>
      </w:r>
      <w:r>
        <w:t xml:space="preserve">. Boston, MA: RStudio, PBC.</w:t>
      </w:r>
      <w:r>
        <w:t xml:space="preserve"> </w:t>
      </w:r>
      <w:hyperlink r:id="rId101">
        <w:r>
          <w:rPr>
            <w:rStyle w:val="Hyperlink"/>
          </w:rPr>
          <w:t xml:space="preserve">http://www.rstudio.com/</w:t>
        </w:r>
      </w:hyperlink>
      <w:r>
        <w:t xml:space="preserve">.</w:t>
      </w:r>
    </w:p>
    <w:bookmarkEnd w:id="102"/>
    <w:bookmarkStart w:id="103" w:name="ref-sumner2011"/>
    <w:p>
      <w:pPr>
        <w:pStyle w:val="Bibliography"/>
      </w:pPr>
      <w:r>
        <w:t xml:space="preserve">Sumner, Meghan. 2011.</w:t>
      </w:r>
      <w:r>
        <w:t xml:space="preserve"> </w:t>
      </w:r>
      <w:r>
        <w:t xml:space="preserve">“The Role of Variation in the Perception of Accented Speech.”</w:t>
      </w:r>
      <w:r>
        <w:t xml:space="preserve"> </w:t>
      </w:r>
      <w:r>
        <w:rPr>
          <w:i/>
          <w:iCs/>
        </w:rPr>
        <w:t xml:space="preserve">Cognition</w:t>
      </w:r>
      <w:r>
        <w:t xml:space="preserve"> </w:t>
      </w:r>
      <w:r>
        <w:t xml:space="preserve">119 (1): 131–36.</w:t>
      </w:r>
    </w:p>
    <w:bookmarkEnd w:id="103"/>
    <w:bookmarkStart w:id="104" w:name="ref-taylor2010"/>
    <w:p>
      <w:pPr>
        <w:pStyle w:val="Bibliography"/>
      </w:pPr>
      <w:r>
        <w:t xml:space="preserve">Taylor, AM, David Reby, and Karen McComb. 2010.</w:t>
      </w:r>
      <w:r>
        <w:t xml:space="preserve"> </w:t>
      </w:r>
      <w:r>
        <w:t xml:space="preserve">“Size Communication in Domestic Dog, Canis Familiaris, Growls.”</w:t>
      </w:r>
      <w:r>
        <w:t xml:space="preserve"> </w:t>
      </w:r>
      <w:r>
        <w:rPr>
          <w:i/>
          <w:iCs/>
        </w:rPr>
        <w:t xml:space="preserve">Animal Behaviour</w:t>
      </w:r>
      <w:r>
        <w:t xml:space="preserve"> </w:t>
      </w:r>
      <w:r>
        <w:t xml:space="preserve">79 (1): 205–10.</w:t>
      </w:r>
    </w:p>
    <w:bookmarkEnd w:id="104"/>
    <w:bookmarkStart w:id="105" w:name="ref-xie2023"/>
    <w:p>
      <w:pPr>
        <w:pStyle w:val="Bibliography"/>
      </w:pPr>
      <w:r>
        <w:t xml:space="preserve">Xie, Xin, T Florian Jaeger, and Chigusa Kurumada. 2023.</w:t>
      </w:r>
      <w:r>
        <w:t xml:space="preserve"> </w:t>
      </w:r>
      <w:r>
        <w:t xml:space="preserve">“What We Do (Not) Know about the Mechanisms Underlying Adaptive Speech Perception: A Computational Framework and Review.”</w:t>
      </w:r>
      <w:r>
        <w:t xml:space="preserve"> </w:t>
      </w:r>
      <w:r>
        <w:rPr>
          <w:i/>
          <w:iCs/>
        </w:rPr>
        <w:t xml:space="preserve">Cortex</w:t>
      </w:r>
      <w:r>
        <w:t xml:space="preserve"> </w:t>
      </w:r>
      <w:r>
        <w:t xml:space="preserve">166: 377–424.</w:t>
      </w:r>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We assume independence of</w:t>
      </w:r>
      <w:r>
        <w:t xml:space="preserve"> </w:t>
      </w:r>
      <m:oMath>
        <m:r>
          <m:t>P</m:t>
        </m:r>
        <m:d>
          <m:dPr>
            <m:begChr m:val="("/>
            <m:endChr m:val=")"/>
            <m:sepChr m:val=""/>
            <m:grow/>
          </m:dPr>
          <m:e>
            <m:sSub>
              <m:e>
                <m:r>
                  <m:t>ψ</m:t>
                </m:r>
              </m:e>
              <m:sub>
                <m:r>
                  <m:t>s</m:t>
                </m:r>
              </m:sub>
            </m:sSub>
          </m:e>
        </m:d>
      </m:oMath>
      <w:r>
        <w:t xml:space="preserve"> </w:t>
      </w:r>
      <w:r>
        <w:t xml:space="preserve">and</w:t>
      </w:r>
      <w:r>
        <w:t xml:space="preserve"> </w:t>
      </w:r>
      <m:oMath>
        <m:r>
          <m:t>P</m:t>
        </m:r>
        <m:sSub>
          <m:e>
            <m:d>
              <m:dPr>
                <m:begChr m:val="("/>
                <m:endChr m:val=")"/>
                <m:sepChr m:val=""/>
                <m:grow/>
              </m:dPr>
              <m:e>
                <m:r>
                  <m:rPr>
                    <m:nor/>
                    <m:sty m:val="p"/>
                  </m:rPr>
                  <m:t>v</m:t>
                </m:r>
              </m:e>
            </m:d>
          </m:e>
          <m:sub>
            <m:r>
              <m:t>j</m:t>
            </m:r>
          </m:sub>
        </m:sSub>
      </m:oMath>
      <w:r>
        <w:t xml:space="preserve"> </w:t>
      </w:r>
      <w:r>
        <w:t xml:space="preserve">since the prior distribution over</w:t>
      </w:r>
      <w:r>
        <w:t xml:space="preserve"> </w:t>
      </w:r>
      <m:oMath>
        <m:r>
          <m:t>p</m:t>
        </m:r>
        <m:r>
          <m:t>s</m:t>
        </m:r>
        <m:sSub>
          <m:e>
            <m:r>
              <m:t>i</m:t>
            </m:r>
          </m:e>
          <m:sub>
            <m:r>
              <m:t>s</m:t>
            </m:r>
          </m:sub>
        </m:sSub>
      </m:oMath>
      <w:r>
        <w:t xml:space="preserve"> </w:t>
      </w:r>
      <w:r>
        <w:t xml:space="preserve">is unlikely to depend on the prior probability of the different vowels in the current context.</w:t>
      </w:r>
    </w:p>
  </w:footnote>
  <w:footnote w:id="47">
    <w:p>
      <w:pPr>
        <w:pStyle w:val="FootnoteText"/>
      </w:pPr>
      <w:r>
        <w:rPr>
          <w:rStyle w:val="FootnoteReference"/>
        </w:rPr>
        <w:footnoteRef/>
      </w:r>
      <w:r>
        <w:t xml:space="preserve"> </w:t>
      </w:r>
      <w:r>
        <w:t xml:space="preserve">The</w:t>
      </w:r>
      <w:r>
        <w:t xml:space="preserve"> </w:t>
      </w:r>
      <w:r>
        <w:rPr>
          <w:rStyle w:val="VerbatimChar"/>
        </w:rPr>
        <w:t xml:space="preserve">STM package</w:t>
      </w:r>
      <w:r>
        <w:t xml:space="preserve"> </w:t>
      </w:r>
      <w:r>
        <w:t xml:space="preserve">allows researchers to use other data sources to replace or refine these estimates.</w:t>
      </w:r>
    </w:p>
  </w:footnote>
  <w:footnote w:id="54">
    <w:p>
      <w:pPr>
        <w:pStyle w:val="FootnoteText"/>
      </w:pPr>
      <w:r>
        <w:rPr>
          <w:rStyle w:val="FootnoteReference"/>
        </w:rPr>
        <w:footnoteRef/>
      </w:r>
      <w:r>
        <w:t xml:space="preserve"> </w:t>
      </w:r>
      <w:r>
        <w:t xml:space="preserve">The database used for this purpose should have formant and</w:t>
      </w:r>
      <w:r>
        <w:t xml:space="preserve"> </w:t>
      </w:r>
      <m:oMath>
        <m:r>
          <m:t>f</m:t>
        </m:r>
        <m:r>
          <m:t>0</m:t>
        </m:r>
      </m:oMath>
      <w:r>
        <w:t xml:space="preserve"> </w:t>
      </w:r>
      <w:r>
        <w:t xml:space="preserve">measurements for all vowels, and should be balanced with equally many instances of each vowel both within and across recorded talkers. Otherwise the mean of the log-formants,</w:t>
      </w:r>
      <w:r>
        <w:t xml:space="preserve"> </w:t>
      </w:r>
      <m:oMath>
        <m:sSub>
          <m:e>
            <m:acc>
              <m:accPr>
                <m:chr m:val="‾"/>
              </m:accPr>
              <m:e>
                <m:r>
                  <m:t>G</m:t>
                </m:r>
              </m:e>
            </m:acc>
          </m:e>
          <m:sub>
            <m:r>
              <m:t>s</m:t>
            </m:r>
          </m:sub>
        </m:sSub>
      </m:oMath>
      <w:r>
        <w:t xml:space="preserve">, will be systematically biased by differences in the distribution of vowel instances across talkers.</w:t>
      </w:r>
    </w:p>
  </w:footnote>
  <w:footnote w:id="60">
    <w:p>
      <w:pPr>
        <w:pStyle w:val="FootnoteText"/>
      </w:pPr>
      <w:r>
        <w:rPr>
          <w:rStyle w:val="FootnoteReference"/>
        </w:rPr>
        <w:footnoteRef/>
      </w:r>
      <w:r>
        <w:t xml:space="preserve"> </w:t>
      </w:r>
      <w:r>
        <w:t xml:space="preserve">The data used to estimate vowel templates should reflect the sort of listener that the researcher aims to model. E.g., a template trained on a database of Canadian English will not be suitable to model the perception of an Irish English listener</w:t>
      </w:r>
      <w:r>
        <w:t xml:space="preserve"> </w:t>
      </w:r>
      <w:r>
        <w:t xml:space="preserve">(see discussion in Persson, Barreda, and Jaeger 2025)</w:t>
      </w:r>
      <w:r>
        <w:t xml:space="preserve">.</w:t>
      </w:r>
    </w:p>
  </w:footnote>
  <w:footnote w:id="61">
    <w:p>
      <w:pPr>
        <w:pStyle w:val="FootnoteText"/>
      </w:pPr>
      <w:r>
        <w:rPr>
          <w:rStyle w:val="FootnoteReference"/>
        </w:rPr>
        <w:footnoteRef/>
      </w:r>
      <w:r>
        <w:t xml:space="preserve"> </w:t>
      </w:r>
      <w:r>
        <w:t xml:space="preserve">We follow</w:t>
      </w:r>
      <w:r>
        <w:t xml:space="preserve"> </w:t>
      </w:r>
      <w:r>
        <w:t xml:space="preserve">Nearey and Assmann (2007)</w:t>
      </w:r>
      <w:r>
        <w:t xml:space="preserve"> </w:t>
      </w:r>
      <w:r>
        <w:t xml:space="preserve">in estimating a single pooled covariance matrix across all vowel categories. It is an open questions whether category-specific covariance matrices, as in</w:t>
      </w:r>
      <w:r>
        <w:t xml:space="preserve"> </w:t>
      </w:r>
      <w:hyperlink w:anchor="eq-posterior-G">
        <w:r>
          <w:rPr>
            <w:rStyle w:val="Hyperlink"/>
          </w:rPr>
          <w:t xml:space="preserve">Equation 4</w:t>
        </w:r>
      </w:hyperlink>
      <w:r>
        <w:t xml:space="preserve">, provide a better fit to listener’s responses. The</w:t>
      </w:r>
      <w:r>
        <w:t xml:space="preserve"> </w:t>
      </w:r>
      <w:r>
        <w:rPr>
          <w:rStyle w:val="VerbatimChar"/>
        </w:rPr>
        <w:t xml:space="preserve">STM</w:t>
      </w:r>
      <w:r>
        <w:t xml:space="preserve"> </w:t>
      </w:r>
      <w:r>
        <w:t xml:space="preserve">package supports either option.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24" Target="media/rId24.png" /><Relationship Type="http://schemas.openxmlformats.org/officeDocument/2006/relationships/hyperlink" Id="rId101" Target="http://www.rstudio.com/" TargetMode="External" /><Relationship Type="http://schemas.openxmlformats.org/officeDocument/2006/relationships/hyperlink" Id="rId94" Target="https://doi.org/10.1121/1.1906875" TargetMode="External" /><Relationship Type="http://schemas.openxmlformats.org/officeDocument/2006/relationships/hyperlink" Id="rId79" Target="https://doi.org/10.1121/1.413041" TargetMode="External" /><Relationship Type="http://schemas.openxmlformats.org/officeDocument/2006/relationships/hyperlink" Id="rId99" Target="https://doi.org/10.1162/tacl_a_00071" TargetMode="External" /><Relationship Type="http://schemas.openxmlformats.org/officeDocument/2006/relationships/hyperlink" Id="rId96"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01" Target="http://www.rstudio.com/" TargetMode="External" /><Relationship Type="http://schemas.openxmlformats.org/officeDocument/2006/relationships/hyperlink" Id="rId94" Target="https://doi.org/10.1121/1.1906875" TargetMode="External" /><Relationship Type="http://schemas.openxmlformats.org/officeDocument/2006/relationships/hyperlink" Id="rId79" Target="https://doi.org/10.1121/1.413041" TargetMode="External" /><Relationship Type="http://schemas.openxmlformats.org/officeDocument/2006/relationships/hyperlink" Id="rId99" Target="https://doi.org/10.1162/tacl_a_00071" TargetMode="External" /><Relationship Type="http://schemas.openxmlformats.org/officeDocument/2006/relationships/hyperlink" Id="rId9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Re-introducing and testing the probabilistic sliding template model of vowel perception</dc:title>
  <dc:creator>Santiago Barreda and T. Florian Jaeger</dc:creator>
  <cp:keywords/>
  <dcterms:created xsi:type="dcterms:W3CDTF">2025-05-20T19:34:22Z</dcterms:created>
  <dcterms:modified xsi:type="dcterms:W3CDTF">2025-05-20T19:34:22Z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Normalization of the speech signal onto comparatively invariant phonetic representations is critical to speech perception. Assumptions about this process also play a central role in phonetics and phonology. Yet, despite the importance of these assumptions, popular normalization accounts continue to incorrectly assume that the relevant normalization parameters are ‘known’—e.g., because the researcher can estimate them from a fully balanced set of recordings. Listeners, however, have to incrementally infer these parameters from the speech input. We re-introduce a seminal, but still underappreciated, model of this inference process—the Probabilistic Sliding Template Model of vowel normalization and perception (PSTM, Nearey and Assmann, 2007)—and show why researchers cannot afford to ignore it. We provide the R package STM, which makes it trivial to apply the PSTM to new data. We present the first quantitative assessment of the PSTM against human perception. We show that the model excel at predicting listeners’ vowel categorization behavior, clearly outperforming the popular Lobanov normalization.</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ath">
    <vt:lpwstr>True</vt:lpwstr>
  </property>
  <property fmtid="{D5CDD505-2E9C-101B-9397-08002B2CF9AE}" pid="12" name="toc-title">
    <vt:lpwstr>Table of contents</vt:lpwstr>
  </property>
</Properties>
</file>