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r>
        <w:t xml:space="preserve"> </w:t>
      </w:r>
      <w:r>
        <w:t xml:space="preserve">Title</w:t>
      </w:r>
    </w:p>
    <w:p>
      <w:pPr>
        <w:pStyle w:val="Author"/>
      </w:pPr>
      <w:r>
        <w:t xml:space="preserve">Researcher</w:t>
      </w:r>
      <w:r>
        <w:t xml:space="preserve"> </w:t>
      </w:r>
      <w:r>
        <w:t xml:space="preserve">Name</w:t>
      </w:r>
    </w:p>
    <w:p>
      <w:pPr>
        <w:pStyle w:val="Date"/>
      </w:pPr>
      <w:r>
        <w:t xml:space="preserve">2024-09-24</w:t>
      </w:r>
    </w:p>
    <w:p>
      <w:pPr>
        <w:pStyle w:val="Abstract"/>
      </w:pPr>
      <w:r>
        <w:t xml:space="preserve">An</w:t>
      </w:r>
      <w:r>
        <w:t xml:space="preserve"> </w:t>
      </w:r>
      <w:r>
        <w:t xml:space="preserve">example</w:t>
      </w:r>
      <w:r>
        <w:t xml:space="preserve"> </w:t>
      </w:r>
      <w:r>
        <w:t xml:space="preserve">assignment.</w:t>
      </w:r>
      <w:r>
        <w:t xml:space="preserve"> </w:t>
      </w:r>
      <w:r>
        <w:t xml:space="preserve">You</w:t>
      </w:r>
      <w:r>
        <w:t xml:space="preserve"> </w:t>
      </w:r>
      <w:r>
        <w:t xml:space="preserve">don’t</w:t>
      </w:r>
      <w:r>
        <w:t xml:space="preserve"> </w:t>
      </w:r>
      <w:r>
        <w:t xml:space="preserve">actually</w:t>
      </w:r>
      <w:r>
        <w:t xml:space="preserve"> </w:t>
      </w:r>
      <w:r>
        <w:t xml:space="preserve">need</w:t>
      </w:r>
      <w:r>
        <w:t xml:space="preserve"> </w:t>
      </w:r>
      <w:r>
        <w:t xml:space="preserve">to</w:t>
      </w:r>
      <w:r>
        <w:t xml:space="preserve"> </w:t>
      </w:r>
      <w:r>
        <w:t xml:space="preserve">include</w:t>
      </w:r>
      <w:r>
        <w:t xml:space="preserve"> </w:t>
      </w:r>
      <w:r>
        <w:t xml:space="preserve">an</w:t>
      </w:r>
      <w:r>
        <w:t xml:space="preserve"> </w:t>
      </w:r>
      <w:r>
        <w:t xml:space="preserve">abstract,</w:t>
      </w:r>
      <w:r>
        <w:t xml:space="preserve"> </w:t>
      </w:r>
      <w:r>
        <w:t xml:space="preserve">I</w:t>
      </w:r>
      <w:r>
        <w:t xml:space="preserve"> </w:t>
      </w:r>
      <w:r>
        <w:t xml:space="preserve">am</w:t>
      </w:r>
      <w:r>
        <w:t xml:space="preserve"> </w:t>
      </w:r>
      <w:r>
        <w:t xml:space="preserve">just</w:t>
      </w:r>
      <w:r>
        <w:t xml:space="preserve"> </w:t>
      </w:r>
      <w:r>
        <w:t xml:space="preserve">including</w:t>
      </w:r>
      <w:r>
        <w:t xml:space="preserve"> </w:t>
      </w:r>
      <w:r>
        <w:t xml:space="preserve">this</w:t>
      </w:r>
      <w:r>
        <w:t xml:space="preserve"> </w:t>
      </w:r>
      <w:r>
        <w:t xml:space="preserve">in</w:t>
      </w:r>
      <w:r>
        <w:t xml:space="preserve"> </w:t>
      </w:r>
      <w:r>
        <w:t xml:space="preserve">the</w:t>
      </w:r>
      <w:r>
        <w:t xml:space="preserve"> </w:t>
      </w:r>
      <w:r>
        <w:t xml:space="preserve">qmd</w:t>
      </w:r>
      <w:r>
        <w:t xml:space="preserve"> </w:t>
      </w:r>
      <w:r>
        <w:t xml:space="preserve">file</w:t>
      </w:r>
      <w:r>
        <w:t xml:space="preserve"> </w:t>
      </w:r>
      <w:r>
        <w:t xml:space="preserve">as</w:t>
      </w:r>
      <w:r>
        <w:t xml:space="preserve"> </w:t>
      </w:r>
      <w:r>
        <w:t xml:space="preserve">an</w:t>
      </w:r>
      <w:r>
        <w:t xml:space="preserve"> </w:t>
      </w:r>
      <w:r>
        <w:t xml:space="preserve">example.</w:t>
      </w:r>
    </w:p>
    <w:bookmarkStart w:id="20" w:name="sec-intro"/>
    <w:p>
      <w:pPr>
        <w:pStyle w:val="Heading1"/>
      </w:pPr>
      <w:r>
        <w:t xml:space="preserve">1. Introduction</w:t>
      </w:r>
    </w:p>
    <w:p>
      <w:pPr>
        <w:pStyle w:val="FirstParagraph"/>
      </w:pPr>
      <w:r>
        <w:t xml:space="preserve">In the paper I will use our experimental data to investigate how apparent speaker category affects the perception of apparent speaker height. It is expected that listeners will identify adult males as tallest, adult females as second tallest, and children as shortest. There is no clear expectation regarding the relative heights of boys and girls, though gender stereotypes might leads listeners to identify boys as taller despite the lack of any actual difference in height for children of this age.</w:t>
      </w:r>
    </w:p>
    <w:bookmarkEnd w:id="20"/>
    <w:bookmarkStart w:id="23" w:name="sec-methods"/>
    <w:p>
      <w:pPr>
        <w:pStyle w:val="Heading1"/>
      </w:pPr>
      <w:r>
        <w:t xml:space="preserve">2. Methods</w:t>
      </w:r>
    </w:p>
    <w:p>
      <w:pPr>
        <w:pStyle w:val="FirstParagraph"/>
      </w:pPr>
      <w:r>
        <w:t xml:space="preserve">Our data consists of height judgments provided by 15 listeners for tokens of</w:t>
      </w:r>
      <w:r>
        <w:t xml:space="preserve"> </w:t>
      </w:r>
      <w:r>
        <w:t xml:space="preserve">‘</w:t>
      </w:r>
      <w:r>
        <w:t xml:space="preserve">heed</w:t>
      </w:r>
      <w:r>
        <w:t xml:space="preserve">’</w:t>
      </w:r>
      <w:r>
        <w:t xml:space="preserve"> </w:t>
      </w:r>
      <w:r>
        <w:t xml:space="preserve">produced by 139 speakers for a total of 2085 observations, one per speaker per listener. For each trial, listeners were asked to estimate the height of speakers in feet and inches (converted to cm for the analysis), and to determine whether the speaker was an adult female, and adult male, a boy, or a girl.</w:t>
      </w:r>
    </w:p>
    <w:bookmarkStart w:id="22" w:name="sec-analysis"/>
    <w:p>
      <w:pPr>
        <w:pStyle w:val="Heading2"/>
      </w:pPr>
      <w:r>
        <w:t xml:space="preserve">2.1 Analysis</w:t>
      </w:r>
    </w:p>
    <w:p>
      <w:pPr>
        <w:pStyle w:val="FirstParagraph"/>
      </w:pPr>
      <w:r>
        <w:t xml:space="preserve">Results will be analyzed with a Bayesian multilevel model using the brms package</w:t>
      </w:r>
      <w:r>
        <w:t xml:space="preserve"> </w:t>
      </w:r>
      <w:r>
        <w:t xml:space="preserve">(Bürkner, 2018)</w:t>
      </w:r>
      <w:r>
        <w:t xml:space="preserve">, and Stan</w:t>
      </w:r>
      <w:r>
        <w:t xml:space="preserve"> </w:t>
      </w:r>
      <w:r>
        <w:t xml:space="preserve">(Team, 2024)</w:t>
      </w:r>
      <w:r>
        <w:t xml:space="preserve"> </w:t>
      </w:r>
      <w:r>
        <w:t xml:space="preserve">in R</w:t>
      </w:r>
      <w:r>
        <w:t xml:space="preserve"> </w:t>
      </w:r>
      <w:r>
        <w:t xml:space="preserve">(R Core Team, 2023)</w:t>
      </w:r>
      <w:r>
        <w:t xml:space="preserve">. Our model predicts apparent speaker height as a function of a single fixed-effect predictor, apparent speaker category. Speaker category was coded as a sum-coded factor with four levels: boy, girl, man, woman. The model also included random by-listener intercepts and effects for apparent speaker category, and random by-speaker intercepts. The model formula in standard R formula syntax is seen in</w:t>
      </w:r>
      <w:r>
        <w:t xml:space="preserve"> </w:t>
      </w:r>
      <w:hyperlink w:anchor="eq-eq1">
        <w:r>
          <w:rPr>
            <w:rStyle w:val="Hyperlink"/>
          </w:rPr>
          <w:t xml:space="preserve">Equation 1</w:t>
        </w:r>
      </w:hyperlink>
      <w:r>
        <w:t xml:space="preserve">.</w:t>
      </w:r>
    </w:p>
    <w:p>
      <w:pPr>
        <w:pStyle w:val="BodyText"/>
      </w:pPr>
      <w:bookmarkStart w:id="21" w:name="eq-eq1"/>
      <m:oMathPara>
        <m:oMathParaPr>
          <m:jc m:val="center"/>
        </m:oMathParaPr>
        <m:oMath>
          <m:r>
            <m:rPr>
              <m:nor/>
              <m:sty m:val="p"/>
            </m:rPr>
            <m:t>height</m:t>
          </m:r>
          <m:r>
            <m:rPr>
              <m:sty m:val="p"/>
            </m:rPr>
            <m:t>∼</m:t>
          </m:r>
          <m:r>
            <m:t>C</m:t>
          </m:r>
          <m:r>
            <m:t>a</m:t>
          </m:r>
          <m:r>
            <m:t>t</m:t>
          </m:r>
          <m:r>
            <m:t>e</m:t>
          </m:r>
          <m:r>
            <m:t>g</m:t>
          </m:r>
          <m:r>
            <m:t>o</m:t>
          </m:r>
          <m:r>
            <m:t>r</m:t>
          </m:r>
          <m:r>
            <m:t>y</m:t>
          </m:r>
          <m:r>
            <m:rPr>
              <m:sty m:val="p"/>
            </m:rPr>
            <m:t>+</m:t>
          </m:r>
          <m:d>
            <m:dPr>
              <m:begChr m:val="("/>
              <m:endChr m:val=")"/>
              <m:sepChr m:val=""/>
              <m:grow/>
            </m:dPr>
            <m:e>
              <m:r>
                <m:t>C</m:t>
              </m:r>
              <m:r>
                <m:t>a</m:t>
              </m:r>
              <m:r>
                <m:t>t</m:t>
              </m:r>
              <m:r>
                <m:t>e</m:t>
              </m:r>
              <m:r>
                <m:t>g</m:t>
              </m:r>
              <m:r>
                <m:t>o</m:t>
              </m:r>
              <m:r>
                <m:t>r</m:t>
              </m:r>
              <m:r>
                <m:t>y</m:t>
              </m:r>
              <m:r>
                <m:rPr>
                  <m:sty m:val="p"/>
                </m:rPr>
                <m:t>|</m:t>
              </m:r>
              <m:r>
                <m:t>L</m:t>
              </m:r>
              <m:r>
                <m:t>i</m:t>
              </m:r>
              <m:r>
                <m:t>s</m:t>
              </m:r>
              <m:r>
                <m:t>t</m:t>
              </m:r>
              <m:r>
                <m:t>e</m:t>
              </m:r>
              <m:r>
                <m:t>n</m:t>
              </m:r>
              <m:r>
                <m:t>e</m:t>
              </m:r>
              <m:r>
                <m:t>r</m:t>
              </m:r>
            </m:e>
          </m:d>
          <m:r>
            <m:rPr>
              <m:sty m:val="p"/>
            </m:rPr>
            <m:t>+</m:t>
          </m:r>
          <m:d>
            <m:dPr>
              <m:begChr m:val="("/>
              <m:endChr m:val=")"/>
              <m:sepChr m:val=""/>
              <m:grow/>
            </m:dPr>
            <m:e>
              <m:r>
                <m:t>1</m:t>
              </m:r>
              <m:r>
                <m:rPr>
                  <m:sty m:val="p"/>
                </m:rPr>
                <m:t>|</m:t>
              </m:r>
              <m:r>
                <m:t>S</m:t>
              </m:r>
              <m:r>
                <m:t>p</m:t>
              </m:r>
              <m:r>
                <m:t>e</m:t>
              </m:r>
              <m:r>
                <m:t>a</m:t>
              </m:r>
              <m:r>
                <m:t>k</m:t>
              </m:r>
              <m:r>
                <m:t>e</m:t>
              </m:r>
              <m:r>
                <m:t>r</m:t>
              </m:r>
            </m:e>
          </m:d>
          <m:r>
            <m:t>  </m:t>
          </m:r>
          <m:d>
            <m:dPr>
              <m:begChr m:val="("/>
              <m:endChr m:val=")"/>
              <m:sepChr m:val=""/>
              <m:grow/>
            </m:dPr>
            <m:e>
              <m:r>
                <m:t>1</m:t>
              </m:r>
            </m:e>
          </m:d>
        </m:oMath>
      </m:oMathPara>
      <w:bookmarkEnd w:id="21"/>
    </w:p>
    <w:p>
      <w:pPr>
        <w:pStyle w:val="FirstParagraph"/>
      </w:pPr>
      <w:r>
        <w:t xml:space="preserve">Or presented as code:</w:t>
      </w:r>
    </w:p>
    <w:p>
      <w:pPr>
        <w:pStyle w:val="BodyText"/>
      </w:pPr>
      <w:r>
        <w:rPr>
          <w:rStyle w:val="VerbatimChar"/>
        </w:rPr>
        <w:t xml:space="preserve">height ~ Category + (Category|Listener) + (1|Speaker)</w:t>
      </w:r>
    </w:p>
    <w:bookmarkEnd w:id="22"/>
    <w:bookmarkEnd w:id="23"/>
    <w:bookmarkStart w:id="33" w:name="sec-results"/>
    <w:p>
      <w:pPr>
        <w:pStyle w:val="Heading1"/>
      </w:pPr>
      <w:r>
        <w:t xml:space="preserve">3. Results and Discussion</w:t>
      </w:r>
    </w:p>
    <w:p>
      <w:pPr>
        <w:pStyle w:val="FirstParagraph"/>
      </w:pPr>
      <w:r>
        <w:t xml:space="preserve">The distribution of apparent height judgments as a function of apparent speaker category responses is presented in</w:t>
      </w:r>
      <w:r>
        <w:t xml:space="preserve"> </w:t>
      </w:r>
      <w:hyperlink w:anchor="fig-fig1">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7" w:name="fig-fig1"/>
          <w:p>
            <w:pPr>
              <w:jc w:val="center"/>
            </w:pPr>
            <w:r>
              <w:drawing>
                <wp:inline>
                  <wp:extent cx="5334000" cy="1800224"/>
                  <wp:effectExtent b="0" l="0" r="0" t="0"/>
                  <wp:docPr descr="" title="" id="25" name="Picture"/>
                  <a:graphic>
                    <a:graphicData uri="http://schemas.openxmlformats.org/drawingml/2006/picture">
                      <pic:pic>
                        <pic:nvPicPr>
                          <pic:cNvPr descr="example_assignment_files/figure-docx/fig-fig1-1.png" id="26" name="Picture"/>
                          <pic:cNvPicPr>
                            <a:picLocks noChangeArrowheads="1" noChangeAspect="1"/>
                          </pic:cNvPicPr>
                        </pic:nvPicPr>
                        <pic:blipFill>
                          <a:blip r:embed="rId24"/>
                          <a:stretch>
                            <a:fillRect/>
                          </a:stretch>
                        </pic:blipFill>
                        <pic:spPr bwMode="auto">
                          <a:xfrm>
                            <a:off x="0" y="0"/>
                            <a:ext cx="5334000" cy="1800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1 - Distribution of apparent height judgments as a function of apparent speaker category: boys (b), girls (g), mean (m), and women (w).</w:t>
            </w:r>
          </w:p>
          <w:bookmarkEnd w:id="27"/>
        </w:tc>
      </w:tr>
    </w:tbl>
    <w:p>
      <w:pPr>
        <w:pStyle w:val="BodyText"/>
      </w:pPr>
      <w:hyperlink w:anchor="tbl-tbl1">
        <w:r>
          <w:rPr>
            <w:rStyle w:val="Hyperlink"/>
          </w:rPr>
          <w:t xml:space="preserve">Table 1</w:t>
        </w:r>
      </w:hyperlink>
      <w:r>
        <w:t xml:space="preserve"> </w:t>
      </w:r>
      <w:r>
        <w:t xml:space="preserve">presents information regarding the posterior distributions of our model fixed effects.</w:t>
      </w:r>
    </w:p>
    <w:bookmarkStart w:id="28" w:name="tbl-tbl1"/>
    <w:p>
      <w:pPr>
        <w:pStyle w:val="TableCaption"/>
      </w:pPr>
      <w:r>
        <w:t xml:space="preserve">Table 1: Table 1 - Fixed effect posterior means, the standard deviation (s.d.) of the posterior, and the 2.5% and 97.5% credible intervals (CI) of the posterior distributions.</w:t>
      </w:r>
    </w:p>
    <w:tbl>
      <w:tblPr>
        <w:tblStyle w:val="Table"/>
        <w:tblW w:type="auto" w:w="0"/>
        <w:tblLook w:firstRow="1" w:lastRow="0" w:firstColumn="0" w:lastColumn="0" w:noHBand="0" w:noVBand="0" w:val="0020"/>
        <w:jc w:val="start"/>
        <w:tblCaption w:val="Table 1: Table 1 - Fixed effect posterior means, the standard deviation (s.d.) of the posterior, and the 2.5% and 97.5% credible intervals (CI) of the posterior distributions."/>
      </w:tblPr>
      <w:tblGrid>
        <w:gridCol w:w="1584"/>
        <w:gridCol w:w="1584"/>
        <w:gridCol w:w="1584"/>
        <w:gridCol w:w="1584"/>
        <w:gridCol w:w="1584"/>
      </w:tblGrid>
      <w:tr>
        <w:trPr>
          <w:tblHeader w:val="true"/>
        </w:trPr>
        <w:tc>
          <w:tcPr/>
          <w:p>
            <w:pPr>
              <w:pStyle w:val="Compact"/>
            </w:pPr>
          </w:p>
        </w:tc>
        <w:tc>
          <w:tcPr/>
          <w:p>
            <w:pPr>
              <w:pStyle w:val="Compact"/>
              <w:jc w:val="right"/>
            </w:pPr>
            <w:r>
              <w:t xml:space="preserve">Mean</w:t>
            </w:r>
          </w:p>
        </w:tc>
        <w:tc>
          <w:tcPr/>
          <w:p>
            <w:pPr>
              <w:pStyle w:val="Compact"/>
              <w:jc w:val="right"/>
            </w:pPr>
            <w:r>
              <w:t xml:space="preserve">s.d.</w:t>
            </w:r>
          </w:p>
        </w:tc>
        <w:tc>
          <w:tcPr/>
          <w:p>
            <w:pPr>
              <w:pStyle w:val="Compact"/>
              <w:jc w:val="right"/>
            </w:pPr>
            <w:r>
              <w:t xml:space="preserve">2.5%CI</w:t>
            </w:r>
          </w:p>
        </w:tc>
        <w:tc>
          <w:tcPr/>
          <w:p>
            <w:pPr>
              <w:pStyle w:val="Compact"/>
              <w:jc w:val="right"/>
            </w:pPr>
            <w:r>
              <w:t xml:space="preserve">97.5%CI</w:t>
            </w:r>
          </w:p>
        </w:tc>
      </w:tr>
      <w:tr>
        <w:tc>
          <w:tcPr/>
          <w:p>
            <w:pPr>
              <w:pStyle w:val="Compact"/>
              <w:jc w:val="left"/>
            </w:pPr>
            <w:r>
              <w:t xml:space="preserve">Intercept</w:t>
            </w:r>
          </w:p>
        </w:tc>
        <w:tc>
          <w:tcPr/>
          <w:p>
            <w:pPr>
              <w:pStyle w:val="Compact"/>
              <w:jc w:val="right"/>
            </w:pPr>
            <w:r>
              <w:t xml:space="preserve">158.58</w:t>
            </w:r>
          </w:p>
        </w:tc>
        <w:tc>
          <w:tcPr/>
          <w:p>
            <w:pPr>
              <w:pStyle w:val="Compact"/>
              <w:jc w:val="right"/>
            </w:pPr>
            <w:r>
              <w:t xml:space="preserve">1.08</w:t>
            </w:r>
          </w:p>
        </w:tc>
        <w:tc>
          <w:tcPr/>
          <w:p>
            <w:pPr>
              <w:pStyle w:val="Compact"/>
              <w:jc w:val="right"/>
            </w:pPr>
            <w:r>
              <w:t xml:space="preserve">156.41</w:t>
            </w:r>
          </w:p>
        </w:tc>
        <w:tc>
          <w:tcPr/>
          <w:p>
            <w:pPr>
              <w:pStyle w:val="Compact"/>
              <w:jc w:val="right"/>
            </w:pPr>
            <w:r>
              <w:t xml:space="preserve">160.69</w:t>
            </w:r>
          </w:p>
        </w:tc>
      </w:tr>
      <w:tr>
        <w:tc>
          <w:tcPr/>
          <w:p>
            <w:pPr>
              <w:pStyle w:val="Compact"/>
              <w:jc w:val="left"/>
            </w:pPr>
            <w:r>
              <w:t xml:space="preserve">C1</w:t>
            </w:r>
          </w:p>
        </w:tc>
        <w:tc>
          <w:tcPr/>
          <w:p>
            <w:pPr>
              <w:pStyle w:val="Compact"/>
              <w:jc w:val="right"/>
            </w:pPr>
            <w:r>
              <w:t xml:space="preserve">-9.32</w:t>
            </w:r>
          </w:p>
        </w:tc>
        <w:tc>
          <w:tcPr/>
          <w:p>
            <w:pPr>
              <w:pStyle w:val="Compact"/>
              <w:jc w:val="right"/>
            </w:pPr>
            <w:r>
              <w:t xml:space="preserve">1.31</w:t>
            </w:r>
          </w:p>
        </w:tc>
        <w:tc>
          <w:tcPr/>
          <w:p>
            <w:pPr>
              <w:pStyle w:val="Compact"/>
              <w:jc w:val="right"/>
            </w:pPr>
            <w:r>
              <w:t xml:space="preserve">-11.87</w:t>
            </w:r>
          </w:p>
        </w:tc>
        <w:tc>
          <w:tcPr/>
          <w:p>
            <w:pPr>
              <w:pStyle w:val="Compact"/>
              <w:jc w:val="right"/>
            </w:pPr>
            <w:r>
              <w:t xml:space="preserve">-6.68</w:t>
            </w:r>
          </w:p>
        </w:tc>
      </w:tr>
      <w:tr>
        <w:tc>
          <w:tcPr/>
          <w:p>
            <w:pPr>
              <w:pStyle w:val="Compact"/>
              <w:jc w:val="left"/>
            </w:pPr>
            <w:r>
              <w:t xml:space="preserve">C2</w:t>
            </w:r>
          </w:p>
        </w:tc>
        <w:tc>
          <w:tcPr/>
          <w:p>
            <w:pPr>
              <w:pStyle w:val="Compact"/>
              <w:jc w:val="right"/>
            </w:pPr>
            <w:r>
              <w:t xml:space="preserve">-12.08</w:t>
            </w:r>
          </w:p>
        </w:tc>
        <w:tc>
          <w:tcPr/>
          <w:p>
            <w:pPr>
              <w:pStyle w:val="Compact"/>
              <w:jc w:val="right"/>
            </w:pPr>
            <w:r>
              <w:t xml:space="preserve">1.49</w:t>
            </w:r>
          </w:p>
        </w:tc>
        <w:tc>
          <w:tcPr/>
          <w:p>
            <w:pPr>
              <w:pStyle w:val="Compact"/>
              <w:jc w:val="right"/>
            </w:pPr>
            <w:r>
              <w:t xml:space="preserve">-15.07</w:t>
            </w:r>
          </w:p>
        </w:tc>
        <w:tc>
          <w:tcPr/>
          <w:p>
            <w:pPr>
              <w:pStyle w:val="Compact"/>
              <w:jc w:val="right"/>
            </w:pPr>
            <w:r>
              <w:t xml:space="preserve">-9.11</w:t>
            </w:r>
          </w:p>
        </w:tc>
      </w:tr>
      <w:tr>
        <w:tc>
          <w:tcPr/>
          <w:p>
            <w:pPr>
              <w:pStyle w:val="Compact"/>
              <w:jc w:val="left"/>
            </w:pPr>
            <w:r>
              <w:t xml:space="preserve">C3</w:t>
            </w:r>
          </w:p>
        </w:tc>
        <w:tc>
          <w:tcPr/>
          <w:p>
            <w:pPr>
              <w:pStyle w:val="Compact"/>
              <w:jc w:val="right"/>
            </w:pPr>
            <w:r>
              <w:t xml:space="preserve">15.29</w:t>
            </w:r>
          </w:p>
        </w:tc>
        <w:tc>
          <w:tcPr/>
          <w:p>
            <w:pPr>
              <w:pStyle w:val="Compact"/>
              <w:jc w:val="right"/>
            </w:pPr>
            <w:r>
              <w:t xml:space="preserve">1.33</w:t>
            </w:r>
          </w:p>
        </w:tc>
        <w:tc>
          <w:tcPr/>
          <w:p>
            <w:pPr>
              <w:pStyle w:val="Compact"/>
              <w:jc w:val="right"/>
            </w:pPr>
            <w:r>
              <w:t xml:space="preserve">12.59</w:t>
            </w:r>
          </w:p>
        </w:tc>
        <w:tc>
          <w:tcPr/>
          <w:p>
            <w:pPr>
              <w:pStyle w:val="Compact"/>
              <w:jc w:val="right"/>
            </w:pPr>
            <w:r>
              <w:t xml:space="preserve">17.95</w:t>
            </w:r>
          </w:p>
        </w:tc>
      </w:tr>
    </w:tbl>
    <w:bookmarkEnd w:id="28"/>
    <w:p>
      <w:pPr>
        <w:pStyle w:val="BodyText"/>
      </w:pPr>
      <w:hyperlink w:anchor="fig-fig2">
        <w:r>
          <w:rPr>
            <w:rStyle w:val="Hyperlink"/>
          </w:rPr>
          <w:t xml:space="preserve">Figure 2</w:t>
        </w:r>
      </w:hyperlink>
      <w:r>
        <w:t xml:space="preserve">(a) presents the effects for apparent speaker category. Clearly, there are large differences based on speakers based on apparent speaker category, in particular between adults and children. Figure 2b presents the difference between the effects for apparent boys and girls, and between apparent men and women. Effectively, this is testing for an effect for gender for children, and for adults separately. We can see that there are clear differences between apparent men and women (mean = 9.17, s.d. = 1.48, 95% C.I = [6.19, 9.17]). However, the difference between boys and girls is smaller in magnitude (mean = 2.76, s.d. = 1.9, 95% C.I = [-0.97, 6.55]).</w:t>
      </w:r>
    </w:p>
    <w:tbl>
      <w:tblPr>
        <w:tblStyle w:val="Table"/>
        <w:tblW w:type="pct" w:w="5000"/>
        <w:tblLook w:firstRow="0" w:lastRow="0" w:firstColumn="0" w:lastColumn="0" w:noHBand="0" w:noVBand="0" w:val="0000"/>
        <w:jc w:val="start"/>
      </w:tblPr>
      <w:tblGrid>
        <w:gridCol w:w="7920"/>
      </w:tblGrid>
      <w:tr>
        <w:tc>
          <w:tcPr/>
          <w:bookmarkStart w:id="32" w:name="fig-fig2"/>
          <w:p>
            <w:pPr>
              <w:jc w:val="center"/>
            </w:pPr>
            <w:r>
              <w:drawing>
                <wp:inline>
                  <wp:extent cx="5334000" cy="1800224"/>
                  <wp:effectExtent b="0" l="0" r="0" t="0"/>
                  <wp:docPr descr="" title="" id="30" name="Picture"/>
                  <a:graphic>
                    <a:graphicData uri="http://schemas.openxmlformats.org/drawingml/2006/picture">
                      <pic:pic>
                        <pic:nvPicPr>
                          <pic:cNvPr descr="example_assignment_files/figure-docx/fig-fig2-1.png" id="31" name="Picture"/>
                          <pic:cNvPicPr>
                            <a:picLocks noChangeArrowheads="1" noChangeAspect="1"/>
                          </pic:cNvPicPr>
                        </pic:nvPicPr>
                        <pic:blipFill>
                          <a:blip r:embed="rId29"/>
                          <a:stretch>
                            <a:fillRect/>
                          </a:stretch>
                        </pic:blipFill>
                        <pic:spPr bwMode="auto">
                          <a:xfrm>
                            <a:off x="0" y="0"/>
                            <a:ext cx="5334000" cy="1800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Posterior means and 95% credible intervals for the effects for apparent speaker category. (b) Posterior means and 95% credible intervals for difference between selected effects for apparent speaker category.</w:t>
            </w:r>
          </w:p>
          <w:bookmarkEnd w:id="32"/>
        </w:tc>
      </w:tr>
    </w:tbl>
    <w:bookmarkEnd w:id="33"/>
    <w:bookmarkStart w:id="41" w:name="references"/>
    <w:p>
      <w:pPr>
        <w:pStyle w:val="Heading1"/>
      </w:pPr>
      <w:r>
        <w:t xml:space="preserve">4. References</w:t>
      </w:r>
    </w:p>
    <w:bookmarkStart w:id="40" w:name="refs"/>
    <w:bookmarkStart w:id="35" w:name="ref-brms"/>
    <w:p>
      <w:pPr>
        <w:pStyle w:val="Bibliography"/>
      </w:pPr>
      <w:r>
        <w:t xml:space="preserve">Bürkner, P.-C. (2018). Advanced</w:t>
      </w:r>
      <w:r>
        <w:t xml:space="preserve"> </w:t>
      </w:r>
      <w:r>
        <w:t xml:space="preserve">Bayesian</w:t>
      </w:r>
      <w:r>
        <w:t xml:space="preserve"> </w:t>
      </w:r>
      <w:r>
        <w:t xml:space="preserve">Multilevel</w:t>
      </w:r>
      <w:r>
        <w:t xml:space="preserve"> </w:t>
      </w:r>
      <w:r>
        <w:t xml:space="preserve">Modeling</w:t>
      </w:r>
      <w:r>
        <w:t xml:space="preserve"> </w:t>
      </w:r>
      <w:r>
        <w:t xml:space="preserve">with the</w:t>
      </w:r>
      <w:r>
        <w:t xml:space="preserve"> </w:t>
      </w:r>
      <w:r>
        <w:t xml:space="preserve">R</w:t>
      </w:r>
      <w:r>
        <w:t xml:space="preserve"> </w:t>
      </w:r>
      <w:r>
        <w:t xml:space="preserve">Package</w:t>
      </w:r>
      <w:r>
        <w:t xml:space="preserve"> </w:t>
      </w:r>
      <w:r>
        <w:t xml:space="preserve">brms.</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34">
        <w:r>
          <w:rPr>
            <w:rStyle w:val="Hyperlink"/>
          </w:rPr>
          <w:t xml:space="preserve">https://journal.r-project.org/archive/2018/RJ-2018-017/index.html</w:t>
        </w:r>
      </w:hyperlink>
    </w:p>
    <w:bookmarkEnd w:id="35"/>
    <w:bookmarkStart w:id="37" w:name="ref-rlang"/>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w:t>
      </w:r>
      <w:r>
        <w:rPr>
          <w:iCs/>
          <w:i/>
        </w:rPr>
        <w:t xml:space="preserve"> </w:t>
      </w:r>
      <w:r>
        <w:rPr>
          <w:iCs/>
          <w:i/>
        </w:rPr>
        <w:t xml:space="preserve">Computing</w:t>
      </w:r>
      <w:r>
        <w:t xml:space="preserve">. R Foundation for Statistical Computing.</w:t>
      </w:r>
      <w:r>
        <w:t xml:space="preserve"> </w:t>
      </w:r>
      <w:hyperlink r:id="rId36">
        <w:r>
          <w:rPr>
            <w:rStyle w:val="Hyperlink"/>
          </w:rPr>
          <w:t xml:space="preserve">http://www.R-project.org</w:t>
        </w:r>
      </w:hyperlink>
    </w:p>
    <w:bookmarkEnd w:id="37"/>
    <w:bookmarkStart w:id="39" w:name="ref-stan"/>
    <w:p>
      <w:pPr>
        <w:pStyle w:val="Bibliography"/>
      </w:pPr>
      <w:r>
        <w:t xml:space="preserve">Team, S. D. (2024).</w:t>
      </w:r>
      <w:r>
        <w:t xml:space="preserve"> </w:t>
      </w:r>
      <w:r>
        <w:rPr>
          <w:iCs/>
          <w:i/>
        </w:rPr>
        <w:t xml:space="preserve">Stan: A probabilistic programming language</w:t>
      </w:r>
      <w:r>
        <w:t xml:space="preserve">. Stan Development Team.</w:t>
      </w:r>
      <w:r>
        <w:t xml:space="preserve"> </w:t>
      </w:r>
      <w:hyperlink r:id="rId38">
        <w:r>
          <w:rPr>
            <w:rStyle w:val="Hyperlink"/>
          </w:rPr>
          <w:t xml:space="preserve">https://mc-stan.org/</w:t>
        </w:r>
      </w:hyperlink>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36" Target="http://www.R-project.org" TargetMode="External" /><Relationship Type="http://schemas.openxmlformats.org/officeDocument/2006/relationships/hyperlink" Id="rId34" Target="https://journal.r-project.org/archive/2018/RJ-2018-017/index.html" TargetMode="External" /><Relationship Type="http://schemas.openxmlformats.org/officeDocument/2006/relationships/hyperlink" Id="rId38" Target="https://mc-stan.org/" TargetMode="External" /></Relationships>
</file>

<file path=word/_rels/footnotes.xml.rels><?xml version="1.0" encoding="UTF-8"?><Relationships xmlns="http://schemas.openxmlformats.org/package/2006/relationships"><Relationship Type="http://schemas.openxmlformats.org/officeDocument/2006/relationships/hyperlink" Id="rId36" Target="http://www.R-project.org" TargetMode="External" /><Relationship Type="http://schemas.openxmlformats.org/officeDocument/2006/relationships/hyperlink" Id="rId34" Target="https://journal.r-project.org/archive/2018/RJ-2018-017/index.html" TargetMode="External" /><Relationship Type="http://schemas.openxmlformats.org/officeDocument/2006/relationships/hyperlink" Id="rId38" Target="https://mc-sta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Researcher Name</dc:creator>
  <cp:keywords>TBD</cp:keywords>
  <dcterms:created xsi:type="dcterms:W3CDTF">2024-09-27T15:39:00Z</dcterms:created>
  <dcterms:modified xsi:type="dcterms:W3CDTF">2024-09-27T15:39:00Z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example assignment. You don’t actually need to include an abstract, I am just including this in the qmd file as an example.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https://raw.githubusercontent.com/citation-style-language/styles/master/apa.csl</vt:lpwstr>
  </property>
  <property fmtid="{D5CDD505-2E9C-101B-9397-08002B2CF9AE}" pid="10" name="date">
    <vt:lpwstr>2024-09-24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