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p>
    <w:p>
      <w:pPr>
        <w:spacing w:after="0" w:before="0" w:line="480" w:lineRule="auto"/>
        <w:jc w:val="center"/>
      </w:pPr>
    </w:p>
    <w:p>
      <w:pPr>
        <w:spacing w:after="0" w:before="0" w:line="480" w:lineRule="auto"/>
        <w:jc w:val="center"/>
      </w:pPr>
    </w:p>
    <w:p>
      <w:pPr>
        <w:spacing w:after="0" w:before="0" w:line="480" w:lineRule="auto"/>
        <w:jc w:val="center"/>
      </w:pPr>
    </w:p>
    <w:p>
      <w:pPr>
        <w:spacing w:after="0" w:before="0" w:line="480" w:lineRule="auto"/>
        <w:jc w:val="center"/>
      </w:pPr>
      <w:r>
        <w:rPr>
          <w:rFonts w:ascii="Times New Roman" w:cs="Times New Roman" w:eastAsia="Times New Roman" w:hAnsi="Times New Roman"/>
          <w:b/>
          <w:bCs/>
          <w:color w:val="000000"/>
          <w:sz w:val="24"/>
          <w:szCs w:val="24"/>
        </w:rPr>
        <w:t xml:space="preserve">Actividad de Aprendizaje 3: Descubriendo las Herramientas de Calidad</w:t>
      </w:r>
      <w:r>
        <w:rPr>
          <w:rFonts w:ascii="Times New Roman" w:cs="Times New Roman" w:eastAsia="Times New Roman" w:hAnsi="Times New Roman"/>
          <w:b/>
          <w:bCs/>
          <w:color w:val="000000"/>
          <w:sz w:val="24"/>
          <w:szCs w:val="24"/>
        </w:rPr>
        <w:br/>
        <w:t xml:space="preserve">Caso de estudio: causas de retraso en la entrega de pedidos de una empresa de logística</w:t>
      </w:r>
    </w:p>
    <w:p>
      <w:pPr>
        <w:spacing w:after="0" w:before="0" w:line="480" w:lineRule="auto"/>
        <w:jc w:val="center"/>
      </w:pPr>
    </w:p>
    <w:p>
      <w:pPr>
        <w:spacing w:after="0" w:before="0" w:line="480" w:lineRule="auto"/>
        <w:jc w:val="center"/>
      </w:pPr>
      <w:r>
        <w:rPr>
          <w:rFonts w:ascii="Times New Roman" w:cs="Times New Roman" w:eastAsia="Times New Roman" w:hAnsi="Times New Roman"/>
          <w:color w:val="000000"/>
          <w:sz w:val="24"/>
          <w:szCs w:val="24"/>
        </w:rPr>
        <w:t xml:space="preserve">Santiago Bustamante Molina</w:t>
      </w:r>
    </w:p>
    <w:p>
      <w:pPr>
        <w:spacing w:after="0" w:before="0" w:line="480" w:lineRule="auto"/>
        <w:jc w:val="center"/>
      </w:pPr>
      <w:r>
        <w:rPr>
          <w:rFonts w:ascii="Times New Roman" w:cs="Times New Roman" w:eastAsia="Times New Roman" w:hAnsi="Times New Roman"/>
          <w:color w:val="000000"/>
          <w:sz w:val="24"/>
          <w:szCs w:val="24"/>
        </w:rPr>
        <w:t xml:space="preserve">Facultad de Ingeniería, Universidad Cooperativa de Colombia</w:t>
      </w:r>
    </w:p>
    <w:p>
      <w:pPr>
        <w:spacing w:after="0" w:before="0" w:line="480" w:lineRule="auto"/>
        <w:jc w:val="center"/>
      </w:pPr>
      <w:r>
        <w:rPr>
          <w:rFonts w:ascii="Times New Roman" w:cs="Times New Roman" w:eastAsia="Times New Roman" w:hAnsi="Times New Roman"/>
          <w:color w:val="000000"/>
          <w:sz w:val="24"/>
          <w:szCs w:val="24"/>
        </w:rPr>
        <w:t xml:space="preserve">Programa de Ingeniería de Sistemas</w:t>
      </w:r>
    </w:p>
    <w:p>
      <w:pPr>
        <w:spacing w:after="0" w:before="0" w:line="480" w:lineRule="auto"/>
        <w:jc w:val="center"/>
      </w:pPr>
      <w:r>
        <w:rPr>
          <w:rFonts w:ascii="Times New Roman" w:cs="Times New Roman" w:eastAsia="Times New Roman" w:hAnsi="Times New Roman"/>
          <w:color w:val="000000"/>
          <w:sz w:val="24"/>
          <w:szCs w:val="24"/>
        </w:rPr>
        <w:t xml:space="preserve">Gestión y Calidad del Software</w:t>
      </w:r>
    </w:p>
    <w:p>
      <w:pPr>
        <w:spacing w:after="0" w:before="0" w:line="480" w:lineRule="auto"/>
        <w:jc w:val="center"/>
      </w:pPr>
      <w:r>
        <w:rPr>
          <w:rFonts w:ascii="Times New Roman" w:cs="Times New Roman" w:eastAsia="Times New Roman" w:hAnsi="Times New Roman"/>
          <w:color w:val="000000"/>
          <w:sz w:val="24"/>
          <w:szCs w:val="24"/>
        </w:rPr>
        <w:t xml:space="preserve">Jimmy Garzón</w:t>
      </w:r>
    </w:p>
    <w:p>
      <w:pPr>
        <w:spacing w:after="0" w:before="0" w:line="480" w:lineRule="auto"/>
        <w:jc w:val="center"/>
      </w:pPr>
      <w:r>
        <w:rPr>
          <w:rFonts w:ascii="Times New Roman" w:cs="Times New Roman" w:eastAsia="Times New Roman" w:hAnsi="Times New Roman"/>
          <w:color w:val="000000"/>
          <w:sz w:val="24"/>
          <w:szCs w:val="24"/>
        </w:rPr>
        <w:t xml:space="preserve">Bogotá D.C., 9 de septiembre de 2026</w:t>
      </w:r>
    </w:p>
    <w:p>
      <w:r>
        <w:br w:type="pag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Introducción</w:t>
      </w:r>
    </w:p>
    <w:p>
      <w:pPr>
        <w:spacing w:after="0" w:before="0" w:line="480" w:lineRule="auto"/>
        <w:ind w:firstLine="720"/>
        <w:jc w:val="both"/>
      </w:pPr>
      <w:r>
        <w:rPr>
          <w:rFonts w:ascii="Times New Roman" w:cs="Times New Roman" w:eastAsia="Times New Roman" w:hAnsi="Times New Roman"/>
          <w:color w:val="000000"/>
          <w:sz w:val="24"/>
          <w:szCs w:val="24"/>
        </w:rPr>
        <w:t xml:space="preserve">La gestión de la calidad busca que los procesos, productos y servicios de una organización cumplan de forma consistente con las expectativas de sus clientes. Para lograrlo, existen siete herramientas básicas de calidad —diagrama de Pareto, diagrama de causa-efecto (Ishikawa), hoja de verificación, histograma, diagrama de dispersión, gráfico de control y estratificación— que permiten recolectar, organizar e interpretar datos de un problema real de forma objetiva, en lugar de basar las decisiones únicamente en la percepción o la experiencia individual.</w:t>
      </w:r>
    </w:p>
    <w:p>
      <w:pPr>
        <w:spacing w:after="0" w:before="0" w:line="480" w:lineRule="auto"/>
        <w:ind w:firstLine="720"/>
        <w:jc w:val="both"/>
      </w:pPr>
      <w:r>
        <w:rPr>
          <w:rFonts w:ascii="Times New Roman" w:cs="Times New Roman" w:eastAsia="Times New Roman" w:hAnsi="Times New Roman"/>
          <w:color w:val="000000"/>
          <w:sz w:val="24"/>
          <w:szCs w:val="24"/>
        </w:rPr>
        <w:t xml:space="preserve">El presente informe documenta la aplicación práctica del </w:t>
      </w:r>
      <w:r>
        <w:rPr>
          <w:rFonts w:ascii="Times New Roman" w:cs="Times New Roman" w:eastAsia="Times New Roman" w:hAnsi="Times New Roman"/>
          <w:b/>
          <w:bCs/>
          <w:color w:val="000000"/>
          <w:sz w:val="24"/>
          <w:szCs w:val="24"/>
        </w:rPr>
        <w:t xml:space="preserve">diagrama de Pareto</w:t>
      </w:r>
      <w:r>
        <w:rPr>
          <w:rFonts w:ascii="Times New Roman" w:cs="Times New Roman" w:eastAsia="Times New Roman" w:hAnsi="Times New Roman"/>
          <w:color w:val="000000"/>
          <w:sz w:val="24"/>
          <w:szCs w:val="24"/>
        </w:rPr>
        <w:t xml:space="preserve"> a un problema de retrasos en la entrega de pedidos de una empresa de logística, como parte de la Actividad de Aprendizaje 3 del curso Gestión y Calidad del Software. Para ello se desarrolló una aplicación en Python que automatiza el cálculo, la graficación y la interpretación de la herramienta, cuyo código fuente y resultados se documentan a lo largo de este documento.</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Descripción del Problema</w:t>
      </w:r>
    </w:p>
    <w:p>
      <w:pPr>
        <w:spacing w:after="0" w:before="0" w:line="480" w:lineRule="auto"/>
        <w:ind w:firstLine="720"/>
        <w:jc w:val="both"/>
      </w:pPr>
      <w:r>
        <w:rPr>
          <w:rFonts w:ascii="Times New Roman" w:cs="Times New Roman" w:eastAsia="Times New Roman" w:hAnsi="Times New Roman"/>
          <w:color w:val="000000"/>
          <w:sz w:val="24"/>
          <w:szCs w:val="24"/>
        </w:rPr>
        <w:t xml:space="preserve">Una empresa de logística que gestiona la última milla de entrega de pedidos para comercio electrónico ha identificado un incremento sostenido en las quejas de clientes relacionadas con </w:t>
      </w:r>
      <w:r>
        <w:rPr>
          <w:rFonts w:ascii="Times New Roman" w:cs="Times New Roman" w:eastAsia="Times New Roman" w:hAnsi="Times New Roman"/>
          <w:b/>
          <w:bCs/>
          <w:color w:val="000000"/>
          <w:sz w:val="24"/>
          <w:szCs w:val="24"/>
        </w:rPr>
        <w:t xml:space="preserve">retrasos en la entrega</w:t>
      </w:r>
      <w:r>
        <w:rPr>
          <w:rFonts w:ascii="Times New Roman" w:cs="Times New Roman" w:eastAsia="Times New Roman" w:hAnsi="Times New Roman"/>
          <w:color w:val="000000"/>
          <w:sz w:val="24"/>
          <w:szCs w:val="24"/>
        </w:rPr>
        <w:t xml:space="preserve">. Este problema genera sobrecostos operativos (reprocesos, llamadas de servicio al cliente, compensaciones), afecta la reputación de la empresa frente a sus clientes y compromete los acuerdos de nivel de servicio (SLA) pactados con los comercios aliados.</w:t>
      </w:r>
    </w:p>
    <w:p>
      <w:pPr>
        <w:spacing w:after="0" w:before="0" w:line="480" w:lineRule="auto"/>
        <w:ind w:firstLine="720"/>
        <w:jc w:val="both"/>
      </w:pPr>
      <w:r>
        <w:rPr>
          <w:rFonts w:ascii="Times New Roman" w:cs="Times New Roman" w:eastAsia="Times New Roman" w:hAnsi="Times New Roman"/>
          <w:color w:val="000000"/>
          <w:sz w:val="24"/>
          <w:szCs w:val="24"/>
        </w:rPr>
        <w:t xml:space="preserve">El equipo de operaciones sabe, de forma empírica, que existen múltiples causas posibles detrás de un envío retrasado —congestión vehicular, faltantes de inventario, errores en la dirección de entrega, trámites aduaneros, fallas mecánicas, entre otras—, pero no cuenta con evidencia cuantitativa de </w:t>
      </w:r>
      <w:r>
        <w:rPr>
          <w:rFonts w:ascii="Times New Roman" w:cs="Times New Roman" w:eastAsia="Times New Roman" w:hAnsi="Times New Roman"/>
          <w:b/>
          <w:bCs/>
          <w:color w:val="000000"/>
          <w:sz w:val="24"/>
          <w:szCs w:val="24"/>
        </w:rPr>
        <w:t xml:space="preserve">cuáles de estas causas concentran realmente la mayor parte del problema</w:t>
      </w:r>
      <w:r>
        <w:rPr>
          <w:rFonts w:ascii="Times New Roman" w:cs="Times New Roman" w:eastAsia="Times New Roman" w:hAnsi="Times New Roman"/>
          <w:color w:val="000000"/>
          <w:sz w:val="24"/>
          <w:szCs w:val="24"/>
        </w:rPr>
        <w:t xml:space="preserve">. Sin esa priorización, los esfuerzos de mejora corren el riesgo de dispersarse en causas de bajo impacto, en lugar de concentrarse donde generarían el mayor beneficio con los recursos disponibles.</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Datos Utilizados</w:t>
      </w:r>
    </w:p>
    <w:p>
      <w:pPr>
        <w:spacing w:after="0" w:before="0" w:line="480" w:lineRule="auto"/>
        <w:ind w:firstLine="720"/>
        <w:jc w:val="both"/>
      </w:pPr>
      <w:r>
        <w:rPr>
          <w:rFonts w:ascii="Times New Roman" w:cs="Times New Roman" w:eastAsia="Times New Roman" w:hAnsi="Times New Roman"/>
          <w:color w:val="000000"/>
          <w:sz w:val="24"/>
          <w:szCs w:val="24"/>
        </w:rPr>
        <w:t xml:space="preserve">Dado que no se contó con acceso a datos reales de una empresa para esta actividad académica, se generó de manera programática un </w:t>
      </w:r>
      <w:r>
        <w:rPr>
          <w:rFonts w:ascii="Times New Roman" w:cs="Times New Roman" w:eastAsia="Times New Roman" w:hAnsi="Times New Roman"/>
          <w:b/>
          <w:bCs/>
          <w:color w:val="000000"/>
          <w:sz w:val="24"/>
          <w:szCs w:val="24"/>
        </w:rPr>
        <w:t xml:space="preserve">dataset sintético pero estadísticamente realista</w:t>
      </w:r>
      <w:r>
        <w:rPr>
          <w:rFonts w:ascii="Times New Roman" w:cs="Times New Roman" w:eastAsia="Times New Roman" w:hAnsi="Times New Roman"/>
          <w:color w:val="000000"/>
          <w:sz w:val="24"/>
          <w:szCs w:val="24"/>
        </w:rPr>
        <w:t xml:space="preserve">, diseñado para reproducir el comportamiento típico de un proceso logístico con oportunidades de mejora. El conjunto de datos simula </w:t>
      </w:r>
      <w:r>
        <w:rPr>
          <w:rFonts w:ascii="Times New Roman" w:cs="Times New Roman" w:eastAsia="Times New Roman" w:hAnsi="Times New Roman"/>
          <w:b/>
          <w:bCs/>
          <w:color w:val="000000"/>
          <w:sz w:val="24"/>
          <w:szCs w:val="24"/>
        </w:rPr>
        <w:t xml:space="preserve">700 envíos</w:t>
      </w:r>
      <w:r>
        <w:rPr>
          <w:rFonts w:ascii="Times New Roman" w:cs="Times New Roman" w:eastAsia="Times New Roman" w:hAnsi="Times New Roman"/>
          <w:color w:val="000000"/>
          <w:sz w:val="24"/>
          <w:szCs w:val="24"/>
        </w:rPr>
        <w:t xml:space="preserve"> realizados durante un período de operación de 30 días, de los cuales </w:t>
      </w:r>
      <w:r>
        <w:rPr>
          <w:rFonts w:ascii="Times New Roman" w:cs="Times New Roman" w:eastAsia="Times New Roman" w:hAnsi="Times New Roman"/>
          <w:b/>
          <w:bCs/>
          <w:color w:val="000000"/>
          <w:sz w:val="24"/>
          <w:szCs w:val="24"/>
        </w:rPr>
        <w:t xml:space="preserve">261 (37.3 %)</w:t>
      </w:r>
      <w:r>
        <w:rPr>
          <w:rFonts w:ascii="Times New Roman" w:cs="Times New Roman" w:eastAsia="Times New Roman" w:hAnsi="Times New Roman"/>
          <w:color w:val="000000"/>
          <w:sz w:val="24"/>
          <w:szCs w:val="24"/>
        </w:rPr>
        <w:t xml:space="preserve"> presentaron algún tipo de retraso.</w:t>
      </w:r>
    </w:p>
    <w:p>
      <w:pPr>
        <w:spacing w:after="0" w:before="0" w:line="480" w:lineRule="auto"/>
        <w:ind w:firstLine="720"/>
        <w:jc w:val="both"/>
      </w:pPr>
      <w:r>
        <w:rPr>
          <w:rFonts w:ascii="Times New Roman" w:cs="Times New Roman" w:eastAsia="Times New Roman" w:hAnsi="Times New Roman"/>
          <w:color w:val="000000"/>
          <w:sz w:val="24"/>
          <w:szCs w:val="24"/>
        </w:rPr>
        <w:t xml:space="preserve">A cada envío retrasado se le asignó una causa entre 9 posibles categorías, usando pesos de probabilidad distintos y no uniformes (por ejemplo, la congestión vehicular es mucho más frecuente que una falla del sistema de rastreo). Esto es clave desde el punto de vista metodológico: un patrón 80/20 solo emerge de datos con una distribución de causas desigual, tal como ocurre en un proceso logístico real; un dataset con causas equiprobables no permitiría aplicar el principio de Pareto de forma significativa.</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Estructura del Conjunto de Datos</w:t>
      </w:r>
    </w:p>
    <w:p>
      <w:pPr>
        <w:spacing w:after="0" w:before="0" w:line="480" w:lineRule="auto"/>
        <w:jc w:val="left"/>
      </w:pPr>
      <w:r>
        <w:rPr>
          <w:rFonts w:ascii="Times New Roman" w:cs="Times New Roman" w:eastAsia="Times New Roman" w:hAnsi="Times New Roman"/>
          <w:b/>
          <w:bCs/>
          <w:color w:val="000000"/>
          <w:sz w:val="24"/>
          <w:szCs w:val="24"/>
        </w:rPr>
        <w:t xml:space="preserve">Tabla 1</w:t>
      </w:r>
    </w:p>
    <w:p>
      <w:pPr>
        <w:spacing w:after="0" w:before="0" w:line="480" w:lineRule="auto"/>
        <w:jc w:val="left"/>
      </w:pPr>
      <w:r>
        <w:rPr>
          <w:rFonts w:ascii="Times New Roman" w:cs="Times New Roman" w:eastAsia="Times New Roman" w:hAnsi="Times New Roman"/>
          <w:i/>
          <w:iCs/>
          <w:color w:val="000000"/>
          <w:sz w:val="24"/>
          <w:szCs w:val="24"/>
        </w:rPr>
        <w:t xml:space="preserve">Estructura del Conjunto de Datos de Envíos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1800"/>
        <w:gridCol w:w="5160"/>
      </w:tblGrid>
      <w:tr>
        <w:trPr>
          <w:tblHeader/>
        </w:trPr>
        <w:tc>
          <w:tcPr>
            <w:tcBorders>
              <w:top w:val="single" w:color="000000" w:sz="4"/>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bCs/>
                <w:color w:val="000000"/>
                <w:sz w:val="22"/>
                <w:szCs w:val="22"/>
              </w:rPr>
              <w:t xml:space="preserve">Columna</w:t>
            </w:r>
          </w:p>
        </w:tc>
        <w:tc>
          <w:tcPr>
            <w:tcBorders>
              <w:top w:val="single" w:color="000000" w:sz="4"/>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bCs/>
                <w:color w:val="000000"/>
                <w:sz w:val="22"/>
                <w:szCs w:val="22"/>
              </w:rPr>
              <w:t xml:space="preserve">Tipo</w:t>
            </w:r>
          </w:p>
        </w:tc>
        <w:tc>
          <w:tcPr>
            <w:tcBorders>
              <w:top w:val="single" w:color="000000" w:sz="4"/>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bCs/>
                <w:color w:val="000000"/>
                <w:sz w:val="22"/>
                <w:szCs w:val="22"/>
              </w:rPr>
              <w:t xml:space="preserve">Descripción</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id_envio</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Texto</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Identificador único del envío</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fecha</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Fecha</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Fecha en la que se despachó el envío</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region</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Categórica</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Región de destino (Norte, Sur, Centro, Oriente, Occidente)</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transportador</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Categórica</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Transportador asignado al envío</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distancia_km</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Numérica</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Distancia recorrida del envío, en kilómetros</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retrasado</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Booleana</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Indica si el envío presentó retraso</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causa_retraso</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Categórica</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Causa del retraso (vacía si no hubo retraso)</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categoria_6m</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Categórica</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Categoría 6M asociada a la causa (para Ishikawa)</w:t>
            </w:r>
          </w:p>
        </w:tc>
      </w:tr>
      <w:tr>
        <w:trPr>
          <w:tblHeader w:val="false"/>
        </w:trPr>
        <w:tc>
          <w:tcPr>
            <w:tcBorders>
              <w:top w:val="none" w:color="FFFFFF" w:sz="0"/>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tiempo_retraso_horas</w:t>
            </w:r>
          </w:p>
        </w:tc>
        <w:tc>
          <w:tcPr>
            <w:tcBorders>
              <w:top w:val="none" w:color="FFFFFF" w:sz="0"/>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Numérica</w:t>
            </w:r>
          </w:p>
        </w:tc>
        <w:tc>
          <w:tcPr>
            <w:tcBorders>
              <w:top w:val="none" w:color="FFFFFF" w:sz="0"/>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Horas de retraso sobre el tiempo estimado de entrega</w:t>
            </w:r>
          </w:p>
        </w:tc>
      </w:tr>
    </w:tbl>
    <w:p>
      <w:pPr>
        <w:spacing w:after="0" w:before="6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 dataset y su generador (quality_tools/data_loader.py) forman parte del software desarrollado para esta actividad, el cual también admite cargar un archivo CSV propio.</w:t>
      </w:r>
    </w:p>
    <w:p>
      <w:pPr>
        <w:spacing w:after="0" w:before="0" w:line="480" w:lineRule="auto"/>
        <w:jc w:val="left"/>
      </w:pP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Herramienta Seleccionada</w:t>
      </w:r>
    </w:p>
    <w:p>
      <w:pPr>
        <w:spacing w:after="0" w:before="0" w:line="480" w:lineRule="auto"/>
        <w:ind w:firstLine="720"/>
        <w:jc w:val="both"/>
      </w:pPr>
      <w:r>
        <w:rPr>
          <w:rFonts w:ascii="Times New Roman" w:cs="Times New Roman" w:eastAsia="Times New Roman" w:hAnsi="Times New Roman"/>
          <w:color w:val="000000"/>
          <w:sz w:val="24"/>
          <w:szCs w:val="24"/>
        </w:rPr>
        <w:t xml:space="preserve">La herramienta de calidad seleccionada para analizar este problema es el </w:t>
      </w:r>
      <w:r>
        <w:rPr>
          <w:rFonts w:ascii="Times New Roman" w:cs="Times New Roman" w:eastAsia="Times New Roman" w:hAnsi="Times New Roman"/>
          <w:b/>
          <w:bCs/>
          <w:color w:val="000000"/>
          <w:sz w:val="24"/>
          <w:szCs w:val="24"/>
        </w:rPr>
        <w:t xml:space="preserve">Diagrama de Pareto</w:t>
      </w:r>
      <w:r>
        <w:rPr>
          <w:rFonts w:ascii="Times New Roman" w:cs="Times New Roman" w:eastAsia="Times New Roman" w:hAnsi="Times New Roman"/>
          <w:color w:val="000000"/>
          <w:sz w:val="24"/>
          <w:szCs w:val="24"/>
        </w:rPr>
        <w:t xml:space="preserve">, basado en el principio 80/20 formulado por Vilfredo Pareto y popularizado en el ámbito de la calidad por Joseph Juran: en la mayoría de los problemas, un pequeño número de causas ("pocas vitales") es responsable de la mayor parte del efecto observado, mientras que un gran número de causas restantes ("muchas triviales") tiene un impacto marginal.</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Justificación de la Selección</w:t>
      </w:r>
    </w:p>
    <w:p>
      <w:pPr>
        <w:spacing w:after="0" w:before="0" w:line="480" w:lineRule="auto"/>
        <w:ind w:firstLine="720"/>
        <w:jc w:val="both"/>
      </w:pPr>
      <w:r>
        <w:rPr>
          <w:rFonts w:ascii="Times New Roman" w:cs="Times New Roman" w:eastAsia="Times New Roman" w:hAnsi="Times New Roman"/>
          <w:color w:val="000000"/>
          <w:sz w:val="24"/>
          <w:szCs w:val="24"/>
        </w:rPr>
        <w:t xml:space="preserve">El diagrama de Pareto es la herramienta más adecuada como </w:t>
      </w:r>
      <w:r>
        <w:rPr>
          <w:rFonts w:ascii="Times New Roman" w:cs="Times New Roman" w:eastAsia="Times New Roman" w:hAnsi="Times New Roman"/>
          <w:b/>
          <w:bCs/>
          <w:color w:val="000000"/>
          <w:sz w:val="24"/>
          <w:szCs w:val="24"/>
        </w:rPr>
        <w:t xml:space="preserve">punto de partida</w:t>
      </w:r>
      <w:r>
        <w:rPr>
          <w:rFonts w:ascii="Times New Roman" w:cs="Times New Roman" w:eastAsia="Times New Roman" w:hAnsi="Times New Roman"/>
          <w:color w:val="000000"/>
          <w:sz w:val="24"/>
          <w:szCs w:val="24"/>
        </w:rPr>
        <w:t xml:space="preserve"> para este problema por las siguientes razones:</w:t>
      </w:r>
    </w:p>
    <w:p>
      <w:pPr>
        <w:pStyle w:val="ListParagraph"/>
        <w:numPr>
          <w:ilvl w:val="0"/>
          <w:numId w:val="2"/>
        </w:numPr>
        <w:spacing w:after="0" w:before="0" w:line="480" w:lineRule="auto"/>
        <w:jc w:val="both"/>
      </w:pPr>
      <w:r>
        <w:rPr>
          <w:rFonts w:ascii="Times New Roman" w:cs="Times New Roman" w:eastAsia="Times New Roman" w:hAnsi="Times New Roman"/>
          <w:color w:val="000000"/>
          <w:sz w:val="24"/>
          <w:szCs w:val="24"/>
        </w:rPr>
        <w:t xml:space="preserve">El problema presenta </w:t>
      </w:r>
      <w:r>
        <w:rPr>
          <w:rFonts w:ascii="Times New Roman" w:cs="Times New Roman" w:eastAsia="Times New Roman" w:hAnsi="Times New Roman"/>
          <w:b/>
          <w:bCs/>
          <w:color w:val="000000"/>
          <w:sz w:val="24"/>
          <w:szCs w:val="24"/>
        </w:rPr>
        <w:t xml:space="preserve">múltiples causas candidatas</w:t>
      </w:r>
      <w:r>
        <w:rPr>
          <w:rFonts w:ascii="Times New Roman" w:cs="Times New Roman" w:eastAsia="Times New Roman" w:hAnsi="Times New Roman"/>
          <w:color w:val="000000"/>
          <w:sz w:val="24"/>
          <w:szCs w:val="24"/>
        </w:rPr>
        <w:t xml:space="preserve"> (9 identificadas) y no existe claridad previa sobre cuáles priorizar; el Pareto está diseñado exactamente para responder esa pregunta.</w:t>
      </w:r>
    </w:p>
    <w:p>
      <w:pPr>
        <w:pStyle w:val="ListParagraph"/>
        <w:numPr>
          <w:ilvl w:val="0"/>
          <w:numId w:val="2"/>
        </w:numPr>
        <w:spacing w:after="0" w:before="0" w:line="480" w:lineRule="auto"/>
        <w:jc w:val="both"/>
      </w:pPr>
      <w:r>
        <w:rPr>
          <w:rFonts w:ascii="Times New Roman" w:cs="Times New Roman" w:eastAsia="Times New Roman" w:hAnsi="Times New Roman"/>
          <w:color w:val="000000"/>
          <w:sz w:val="24"/>
          <w:szCs w:val="24"/>
        </w:rPr>
        <w:t xml:space="preserve">Los recursos de mejora (tiempo, presupuesto, personal) son limitados, por lo que se requiere </w:t>
      </w:r>
      <w:r>
        <w:rPr>
          <w:rFonts w:ascii="Times New Roman" w:cs="Times New Roman" w:eastAsia="Times New Roman" w:hAnsi="Times New Roman"/>
          <w:b/>
          <w:bCs/>
          <w:color w:val="000000"/>
          <w:sz w:val="24"/>
          <w:szCs w:val="24"/>
        </w:rPr>
        <w:t xml:space="preserve">enfocar los esfuerzos donde generen el mayor impacto</w:t>
      </w:r>
      <w:r>
        <w:rPr>
          <w:rFonts w:ascii="Times New Roman" w:cs="Times New Roman" w:eastAsia="Times New Roman" w:hAnsi="Times New Roman"/>
          <w:color w:val="000000"/>
          <w:sz w:val="24"/>
          <w:szCs w:val="24"/>
        </w:rPr>
        <w:t xml:space="preserve">, en lugar de repartirlos uniformemente entre todas las causas.</w:t>
      </w:r>
    </w:p>
    <w:p>
      <w:pPr>
        <w:pStyle w:val="ListParagraph"/>
        <w:numPr>
          <w:ilvl w:val="0"/>
          <w:numId w:val="2"/>
        </w:numPr>
        <w:spacing w:after="0" w:before="0" w:line="480" w:lineRule="auto"/>
        <w:jc w:val="both"/>
      </w:pPr>
      <w:r>
        <w:rPr>
          <w:rFonts w:ascii="Times New Roman" w:cs="Times New Roman" w:eastAsia="Times New Roman" w:hAnsi="Times New Roman"/>
          <w:color w:val="000000"/>
          <w:sz w:val="24"/>
          <w:szCs w:val="24"/>
        </w:rPr>
        <w:t xml:space="preserve">Es una herramienta </w:t>
      </w:r>
      <w:r>
        <w:rPr>
          <w:rFonts w:ascii="Times New Roman" w:cs="Times New Roman" w:eastAsia="Times New Roman" w:hAnsi="Times New Roman"/>
          <w:b/>
          <w:bCs/>
          <w:color w:val="000000"/>
          <w:sz w:val="24"/>
          <w:szCs w:val="24"/>
        </w:rPr>
        <w:t xml:space="preserve">visual, cuantitativa y de fácil comunicación</w:t>
      </w:r>
      <w:r>
        <w:rPr>
          <w:rFonts w:ascii="Times New Roman" w:cs="Times New Roman" w:eastAsia="Times New Roman" w:hAnsi="Times New Roman"/>
          <w:color w:val="000000"/>
          <w:sz w:val="24"/>
          <w:szCs w:val="24"/>
        </w:rPr>
        <w:t xml:space="preserve"> hacia la gerencia, ya que traduce un problema complejo en una sola gráfica con una conclusión accionable.</w:t>
      </w:r>
    </w:p>
    <w:p>
      <w:pPr>
        <w:pStyle w:val="ListParagraph"/>
        <w:numPr>
          <w:ilvl w:val="0"/>
          <w:numId w:val="2"/>
        </w:numPr>
        <w:spacing w:after="0" w:before="0" w:line="480" w:lineRule="auto"/>
        <w:jc w:val="both"/>
      </w:pPr>
      <w:r>
        <w:rPr>
          <w:rFonts w:ascii="Times New Roman" w:cs="Times New Roman" w:eastAsia="Times New Roman" w:hAnsi="Times New Roman"/>
          <w:color w:val="000000"/>
          <w:sz w:val="24"/>
          <w:szCs w:val="24"/>
        </w:rPr>
        <w:t xml:space="preserve">Sirve como </w:t>
      </w:r>
      <w:r>
        <w:rPr>
          <w:rFonts w:ascii="Times New Roman" w:cs="Times New Roman" w:eastAsia="Times New Roman" w:hAnsi="Times New Roman"/>
          <w:b/>
          <w:bCs/>
          <w:color w:val="000000"/>
          <w:sz w:val="24"/>
          <w:szCs w:val="24"/>
        </w:rPr>
        <w:t xml:space="preserve">filtro previo</w:t>
      </w:r>
      <w:r>
        <w:rPr>
          <w:rFonts w:ascii="Times New Roman" w:cs="Times New Roman" w:eastAsia="Times New Roman" w:hAnsi="Times New Roman"/>
          <w:color w:val="000000"/>
          <w:sz w:val="24"/>
          <w:szCs w:val="24"/>
        </w:rPr>
        <w:t xml:space="preserve"> a herramientas de análisis más profundo (como el diagrama de Ishikawa), evitando invertir tiempo de investigación de causa raíz en categorías de bajo impacto.</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Desarrollo de la Herramienta</w:t>
      </w:r>
    </w:p>
    <w:p>
      <w:pPr>
        <w:spacing w:after="0" w:before="0" w:line="480" w:lineRule="auto"/>
        <w:ind w:firstLine="720"/>
        <w:jc w:val="both"/>
      </w:pPr>
      <w:r>
        <w:rPr>
          <w:rFonts w:ascii="Times New Roman" w:cs="Times New Roman" w:eastAsia="Times New Roman" w:hAnsi="Times New Roman"/>
          <w:color w:val="000000"/>
          <w:sz w:val="24"/>
          <w:szCs w:val="24"/>
        </w:rPr>
        <w:t xml:space="preserve">El análisis se implementó en Python (pandas, matplotlib) dentro de un módulo dedicado (quality_tools/pareto.py, clase AnalisisPareto), ejecutado desde la línea de comandos con python main.py --tool pareto. El procedimiento seguido fue:</w:t>
      </w:r>
    </w:p>
    <w:p>
      <w:pPr>
        <w:pStyle w:val="ListParagraph"/>
        <w:numPr>
          <w:ilvl w:val="0"/>
          <w:numId w:val="3"/>
        </w:numPr>
        <w:spacing w:after="0" w:before="0" w:line="480" w:lineRule="auto"/>
        <w:jc w:val="both"/>
      </w:pPr>
      <w:r>
        <w:rPr>
          <w:rFonts w:ascii="Times New Roman" w:cs="Times New Roman" w:eastAsia="Times New Roman" w:hAnsi="Times New Roman"/>
          <w:color w:val="000000"/>
          <w:sz w:val="24"/>
          <w:szCs w:val="24"/>
        </w:rPr>
        <w:t xml:space="preserve">Cargar el conjunto de datos de envíos (generado o desde un CSV propio).</w:t>
      </w:r>
    </w:p>
    <w:p>
      <w:pPr>
        <w:pStyle w:val="ListParagraph"/>
        <w:numPr>
          <w:ilvl w:val="0"/>
          <w:numId w:val="3"/>
        </w:numPr>
        <w:spacing w:after="0" w:before="0" w:line="480" w:lineRule="auto"/>
        <w:jc w:val="both"/>
      </w:pPr>
      <w:r>
        <w:rPr>
          <w:rFonts w:ascii="Times New Roman" w:cs="Times New Roman" w:eastAsia="Times New Roman" w:hAnsi="Times New Roman"/>
          <w:color w:val="000000"/>
          <w:sz w:val="24"/>
          <w:szCs w:val="24"/>
        </w:rPr>
        <w:t xml:space="preserve">Filtrar únicamente los envíos que presentaron retraso.</w:t>
      </w:r>
    </w:p>
    <w:p>
      <w:pPr>
        <w:pStyle w:val="ListParagraph"/>
        <w:numPr>
          <w:ilvl w:val="0"/>
          <w:numId w:val="3"/>
        </w:numPr>
        <w:spacing w:after="0" w:before="0" w:line="480" w:lineRule="auto"/>
        <w:jc w:val="both"/>
      </w:pPr>
      <w:r>
        <w:rPr>
          <w:rFonts w:ascii="Times New Roman" w:cs="Times New Roman" w:eastAsia="Times New Roman" w:hAnsi="Times New Roman"/>
          <w:color w:val="000000"/>
          <w:sz w:val="24"/>
          <w:szCs w:val="24"/>
        </w:rPr>
        <w:t xml:space="preserve">Contar la frecuencia de ocurrencia de cada causa de retraso (value_counts).</w:t>
      </w:r>
    </w:p>
    <w:p>
      <w:pPr>
        <w:pStyle w:val="ListParagraph"/>
        <w:numPr>
          <w:ilvl w:val="0"/>
          <w:numId w:val="3"/>
        </w:numPr>
        <w:spacing w:after="0" w:before="0" w:line="480" w:lineRule="auto"/>
        <w:jc w:val="both"/>
      </w:pPr>
      <w:r>
        <w:rPr>
          <w:rFonts w:ascii="Times New Roman" w:cs="Times New Roman" w:eastAsia="Times New Roman" w:hAnsi="Times New Roman"/>
          <w:color w:val="000000"/>
          <w:sz w:val="24"/>
          <w:szCs w:val="24"/>
        </w:rPr>
        <w:t xml:space="preserve">Ordenar las causas de mayor a menor frecuencia.</w:t>
      </w:r>
    </w:p>
    <w:p>
      <w:pPr>
        <w:pStyle w:val="ListParagraph"/>
        <w:numPr>
          <w:ilvl w:val="0"/>
          <w:numId w:val="3"/>
        </w:numPr>
        <w:spacing w:after="0" w:before="0" w:line="480" w:lineRule="auto"/>
        <w:jc w:val="both"/>
      </w:pPr>
      <w:r>
        <w:rPr>
          <w:rFonts w:ascii="Times New Roman" w:cs="Times New Roman" w:eastAsia="Times New Roman" w:hAnsi="Times New Roman"/>
          <w:color w:val="000000"/>
          <w:sz w:val="24"/>
          <w:szCs w:val="24"/>
        </w:rPr>
        <w:t xml:space="preserve">Calcular el porcentaje individual y el porcentaje acumulado de cada causa.</w:t>
      </w:r>
    </w:p>
    <w:p>
      <w:pPr>
        <w:pStyle w:val="ListParagraph"/>
        <w:numPr>
          <w:ilvl w:val="0"/>
          <w:numId w:val="3"/>
        </w:numPr>
        <w:spacing w:after="0" w:before="0" w:line="480" w:lineRule="auto"/>
        <w:jc w:val="both"/>
      </w:pPr>
      <w:r>
        <w:rPr>
          <w:rFonts w:ascii="Times New Roman" w:cs="Times New Roman" w:eastAsia="Times New Roman" w:hAnsi="Times New Roman"/>
          <w:color w:val="000000"/>
          <w:sz w:val="24"/>
          <w:szCs w:val="24"/>
        </w:rPr>
        <w:t xml:space="preserve">Graficar las barras de frecuencia junto con la línea de porcentaje acumulado y una línea de referencia en el 80 %.</w:t>
      </w:r>
    </w:p>
    <w:p>
      <w:pPr>
        <w:pStyle w:val="ListParagraph"/>
        <w:numPr>
          <w:ilvl w:val="0"/>
          <w:numId w:val="3"/>
        </w:numPr>
        <w:spacing w:after="0" w:before="0" w:line="480" w:lineRule="auto"/>
        <w:jc w:val="both"/>
      </w:pPr>
      <w:r>
        <w:rPr>
          <w:rFonts w:ascii="Times New Roman" w:cs="Times New Roman" w:eastAsia="Times New Roman" w:hAnsi="Times New Roman"/>
          <w:color w:val="000000"/>
          <w:sz w:val="24"/>
          <w:szCs w:val="24"/>
        </w:rPr>
        <w:t xml:space="preserve">Identificar automáticamente las causas "vitales": las primeras causas cuyo porcentaje acumulado alcanza o supera el 80 %.</w:t>
      </w:r>
    </w:p>
    <w:p>
      <w:pPr>
        <w:pStyle w:val="ListParagraph"/>
        <w:numPr>
          <w:ilvl w:val="0"/>
          <w:numId w:val="3"/>
        </w:numPr>
        <w:spacing w:after="0" w:before="0" w:line="480" w:lineRule="auto"/>
        <w:jc w:val="both"/>
      </w:pPr>
      <w:r>
        <w:rPr>
          <w:rFonts w:ascii="Times New Roman" w:cs="Times New Roman" w:eastAsia="Times New Roman" w:hAnsi="Times New Roman"/>
          <w:color w:val="000000"/>
          <w:sz w:val="24"/>
          <w:szCs w:val="24"/>
        </w:rPr>
        <w:t xml:space="preserve">Generar un texto interpretativo automático con los hallazgos.</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Evidencia de Ejecución del Software</w:t>
      </w:r>
    </w:p>
    <w:p>
      <w:pPr>
        <w:spacing w:after="0" w:before="0" w:line="480" w:lineRule="auto"/>
        <w:ind w:firstLine="720"/>
        <w:jc w:val="both"/>
      </w:pPr>
      <w:r>
        <w:rPr>
          <w:rFonts w:ascii="Times New Roman" w:cs="Times New Roman" w:eastAsia="Times New Roman" w:hAnsi="Times New Roman"/>
          <w:color w:val="000000"/>
          <w:sz w:val="24"/>
          <w:szCs w:val="24"/>
        </w:rPr>
        <w:t xml:space="preserve">A continuación se presenta la salida real de consola obtenida al ejecutar el software sobre el conjunto de datos descrito, como evidencia de la aplicación de la herramienta:</w:t>
      </w:r>
    </w:p>
    <w:p>
      <w:pPr>
        <w:spacing w:after="0" w:before="0" w:line="480" w:lineRule="auto"/>
        <w:jc w:val="left"/>
      </w:pPr>
      <w:r>
        <w:rPr>
          <w:rFonts w:ascii="Times New Roman" w:cs="Times New Roman" w:eastAsia="Times New Roman" w:hAnsi="Times New Roman"/>
          <w:b/>
          <w:bCs/>
          <w:color w:val="000000"/>
          <w:sz w:val="24"/>
          <w:szCs w:val="24"/>
        </w:rPr>
        <w:t xml:space="preserve">Figura 1</w:t>
      </w:r>
    </w:p>
    <w:p>
      <w:pPr>
        <w:spacing w:after="0" w:before="0" w:line="480" w:lineRule="auto"/>
        <w:jc w:val="left"/>
      </w:pPr>
      <w:r>
        <w:rPr>
          <w:rFonts w:ascii="Times New Roman" w:cs="Times New Roman" w:eastAsia="Times New Roman" w:hAnsi="Times New Roman"/>
          <w:i/>
          <w:iCs/>
          <w:color w:val="000000"/>
          <w:sz w:val="24"/>
          <w:szCs w:val="24"/>
        </w:rPr>
        <w:t xml:space="preserve">Salida de Consola del Software Ejecutando el Análisis de Pareto</w:t>
      </w:r>
    </w:p>
    <w:p>
      <w:pPr>
        <w:spacing w:after="0" w:before="100" w:line="480" w:lineRule="auto"/>
        <w:jc w:val="center"/>
      </w:pPr>
      <w:r>
        <w:drawing>
          <wp:inline distT="0" distB="0" distL="0" distR="0">
            <wp:extent cx="482917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29175" cy="3124200"/>
                    </a:xfrm>
                    <a:prstGeom prst="rect">
                      <a:avLst/>
                    </a:prstGeom>
                  </pic:spPr>
                </pic:pic>
              </a:graphicData>
            </a:graphic>
          </wp:inline>
        </w:drawing>
      </w:r>
    </w:p>
    <w:p>
      <w:pPr>
        <w:spacing w:after="0" w:before="6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Captura de la ejecución de python main.py --tool pareto, mostrando el resultado del análisis de Pareto generado por el software.</w:t>
      </w:r>
    </w:p>
    <w:p>
      <w:pPr>
        <w:spacing w:after="0" w:before="0" w:line="480" w:lineRule="auto"/>
        <w:jc w:val="left"/>
      </w:pPr>
    </w:p>
    <w:p>
      <w:r>
        <w:br w:type="pag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Resultado Obtenido</w:t>
      </w:r>
    </w:p>
    <w:p>
      <w:pPr>
        <w:spacing w:after="0" w:before="0" w:line="480" w:lineRule="auto"/>
        <w:ind w:firstLine="720"/>
        <w:jc w:val="both"/>
      </w:pPr>
      <w:r>
        <w:rPr>
          <w:rFonts w:ascii="Times New Roman" w:cs="Times New Roman" w:eastAsia="Times New Roman" w:hAnsi="Times New Roman"/>
          <w:color w:val="000000"/>
          <w:sz w:val="24"/>
          <w:szCs w:val="24"/>
        </w:rPr>
        <w:t xml:space="preserve">La Tabla 2 resume la frecuencia, el porcentaje individual y el porcentaje acumulado de cada causa de retraso identificada, calculados directamente por el software sobre los 261 envíos retrasados:</w:t>
      </w:r>
    </w:p>
    <w:p>
      <w:pPr>
        <w:spacing w:after="0" w:before="0" w:line="480" w:lineRule="auto"/>
        <w:jc w:val="left"/>
      </w:pPr>
      <w:r>
        <w:rPr>
          <w:rFonts w:ascii="Times New Roman" w:cs="Times New Roman" w:eastAsia="Times New Roman" w:hAnsi="Times New Roman"/>
          <w:b/>
          <w:bCs/>
          <w:color w:val="000000"/>
          <w:sz w:val="24"/>
          <w:szCs w:val="24"/>
        </w:rPr>
        <w:t xml:space="preserve">Tabla 2</w:t>
      </w:r>
    </w:p>
    <w:p>
      <w:pPr>
        <w:spacing w:after="0" w:before="0" w:line="480" w:lineRule="auto"/>
        <w:jc w:val="left"/>
      </w:pPr>
      <w:r>
        <w:rPr>
          <w:rFonts w:ascii="Times New Roman" w:cs="Times New Roman" w:eastAsia="Times New Roman" w:hAnsi="Times New Roman"/>
          <w:i/>
          <w:iCs/>
          <w:color w:val="000000"/>
          <w:sz w:val="24"/>
          <w:szCs w:val="24"/>
        </w:rPr>
        <w:t xml:space="preserve">Causas de Retraso Ordenadas de Mayor a Menor Frecuencia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3260"/>
        <w:gridCol w:w="1800"/>
        <w:gridCol w:w="1800"/>
        <w:gridCol w:w="1800"/>
      </w:tblGrid>
      <w:tr>
        <w:trPr>
          <w:tblHeader/>
        </w:trPr>
        <w:tc>
          <w:tcPr>
            <w:tcBorders>
              <w:top w:val="single" w:color="000000" w:sz="4"/>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N.º</w:t>
            </w:r>
          </w:p>
        </w:tc>
        <w:tc>
          <w:tcPr>
            <w:tcBorders>
              <w:top w:val="single" w:color="000000" w:sz="4"/>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bCs/>
                <w:color w:val="000000"/>
                <w:sz w:val="22"/>
                <w:szCs w:val="22"/>
              </w:rPr>
              <w:t xml:space="preserve">Causa de retraso</w:t>
            </w:r>
          </w:p>
        </w:tc>
        <w:tc>
          <w:tcPr>
            <w:tcBorders>
              <w:top w:val="single" w:color="000000" w:sz="4"/>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Frecuencia</w:t>
            </w:r>
          </w:p>
        </w:tc>
        <w:tc>
          <w:tcPr>
            <w:tcBorders>
              <w:top w:val="single" w:color="000000" w:sz="4"/>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 individual</w:t>
            </w:r>
          </w:p>
        </w:tc>
        <w:tc>
          <w:tcPr>
            <w:tcBorders>
              <w:top w:val="single" w:color="000000" w:sz="4"/>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 acumulado</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1</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bCs/>
                <w:color w:val="000000"/>
                <w:sz w:val="22"/>
                <w:szCs w:val="22"/>
              </w:rPr>
              <w:t xml:space="preserve">Tráfico o congestión vial</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79</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30.3 %</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30.3 %</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2</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bCs/>
                <w:color w:val="000000"/>
                <w:sz w:val="22"/>
                <w:szCs w:val="22"/>
              </w:rPr>
              <w:t xml:space="preserve">Falta de stock en bodega</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65</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24.9 %</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55.2 %</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3</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bCs/>
                <w:color w:val="000000"/>
                <w:sz w:val="22"/>
                <w:szCs w:val="22"/>
              </w:rPr>
              <w:t xml:space="preserve">Dirección incorrecta o incompleta</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35</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13.4 %</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68.6 %</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4</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bCs/>
                <w:color w:val="000000"/>
                <w:sz w:val="22"/>
                <w:szCs w:val="22"/>
              </w:rPr>
              <w:t xml:space="preserve">Mal etiquetado del paquete</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24</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9.2 %</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77.8 %</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5</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bCs/>
                <w:color w:val="000000"/>
                <w:sz w:val="22"/>
                <w:szCs w:val="22"/>
              </w:rPr>
              <w:t xml:space="preserve">Retraso en aduana o documentación</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19</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7.3 %</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color w:val="000000"/>
                <w:sz w:val="22"/>
                <w:szCs w:val="22"/>
              </w:rPr>
              <w:t xml:space="preserve">85.1 %</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6</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Sobrecarga del centro de distribución</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17</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6.5 %</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91.6 %</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7</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Falla mecánica del vehículo</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9</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3.4 %</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95.0 %</w:t>
            </w:r>
          </w:p>
        </w:tc>
      </w:tr>
      <w:tr>
        <w:trPr>
          <w:tblHeader w:val="false"/>
        </w:trPr>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8</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Error en sistema de rastreo (GPS/WMS)</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7</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2.7 %</w:t>
            </w:r>
          </w:p>
        </w:tc>
        <w:tc>
          <w:tcPr>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97.7 %</w:t>
            </w:r>
          </w:p>
        </w:tc>
      </w:tr>
      <w:tr>
        <w:trPr>
          <w:tblHeader w:val="false"/>
        </w:trPr>
        <w:tc>
          <w:tcPr>
            <w:tcBorders>
              <w:top w:val="none" w:color="FFFFFF" w:sz="0"/>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9</w:t>
            </w:r>
          </w:p>
        </w:tc>
        <w:tc>
          <w:tcPr>
            <w:tcBorders>
              <w:top w:val="none" w:color="FFFFFF" w:sz="0"/>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left"/>
            </w:pPr>
            <w:r>
              <w:rPr>
                <w:rFonts w:ascii="Times New Roman" w:cs="Times New Roman" w:eastAsia="Times New Roman" w:hAnsi="Times New Roman"/>
                <w:b w:val="false"/>
                <w:bCs w:val="false"/>
                <w:color w:val="000000"/>
                <w:sz w:val="22"/>
                <w:szCs w:val="22"/>
              </w:rPr>
              <w:t xml:space="preserve">Condiciones climáticas adversas</w:t>
            </w:r>
          </w:p>
        </w:tc>
        <w:tc>
          <w:tcPr>
            <w:tcBorders>
              <w:top w:val="none" w:color="FFFFFF" w:sz="0"/>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6</w:t>
            </w:r>
          </w:p>
        </w:tc>
        <w:tc>
          <w:tcPr>
            <w:tcBorders>
              <w:top w:val="none" w:color="FFFFFF" w:sz="0"/>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2.3 %</w:t>
            </w:r>
          </w:p>
        </w:tc>
        <w:tc>
          <w:tcPr>
            <w:tcBorders>
              <w:top w:val="none" w:color="FFFFFF" w:sz="0"/>
              <w:left w:val="none" w:color="FFFFFF" w:sz="0"/>
              <w:bottom w:val="single" w:color="000000" w:sz="4"/>
              <w:right w:val="none" w:color="FFFFFF" w:sz="0"/>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color w:val="000000"/>
                <w:sz w:val="22"/>
                <w:szCs w:val="22"/>
              </w:rPr>
              <w:t xml:space="preserve">100.0 %</w:t>
            </w:r>
          </w:p>
        </w:tc>
      </w:tr>
    </w:tbl>
    <w:p>
      <w:pPr>
        <w:spacing w:after="0" w:before="6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Las filas en negrita corresponden a las causas "vitales", que acumulan el 85.1 % del total. Fuente: elaboración propia con el software desarrollado.</w:t>
      </w:r>
    </w:p>
    <w:p>
      <w:pPr>
        <w:spacing w:after="0" w:before="0" w:line="480" w:lineRule="auto"/>
        <w:jc w:val="left"/>
      </w:pPr>
    </w:p>
    <w:p>
      <w:pPr>
        <w:spacing w:after="0" w:before="0" w:line="480" w:lineRule="auto"/>
        <w:jc w:val="left"/>
      </w:pPr>
      <w:r>
        <w:rPr>
          <w:rFonts w:ascii="Times New Roman" w:cs="Times New Roman" w:eastAsia="Times New Roman" w:hAnsi="Times New Roman"/>
          <w:b/>
          <w:bCs/>
          <w:color w:val="000000"/>
          <w:sz w:val="24"/>
          <w:szCs w:val="24"/>
        </w:rPr>
        <w:t xml:space="preserve">Figura 2</w:t>
      </w:r>
    </w:p>
    <w:p>
      <w:pPr>
        <w:spacing w:after="0" w:before="0" w:line="480" w:lineRule="auto"/>
        <w:jc w:val="left"/>
      </w:pPr>
      <w:r>
        <w:rPr>
          <w:rFonts w:ascii="Times New Roman" w:cs="Times New Roman" w:eastAsia="Times New Roman" w:hAnsi="Times New Roman"/>
          <w:i/>
          <w:iCs/>
          <w:color w:val="000000"/>
          <w:sz w:val="24"/>
          <w:szCs w:val="24"/>
        </w:rPr>
        <w:t xml:space="preserve">Diagrama de Pareto de las Causas de Retraso en la Entrega</w:t>
      </w:r>
    </w:p>
    <w:p>
      <w:pPr>
        <w:spacing w:after="0" w:before="100" w:line="480" w:lineRule="auto"/>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0" w:before="6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Barras de frecuencia y línea de porcentaje acumulado, con línea de corte en el 80 %. Fuente: elaboración propia con el software desarrollado.</w:t>
      </w:r>
    </w:p>
    <w:p>
      <w:pPr>
        <w:spacing w:after="0" w:before="0" w:line="480" w:lineRule="auto"/>
        <w:jc w:val="left"/>
      </w:pP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Interpretación de los Resultados</w:t>
      </w:r>
    </w:p>
    <w:p>
      <w:pPr>
        <w:spacing w:after="0" w:before="0" w:line="480" w:lineRule="auto"/>
        <w:ind w:firstLine="720"/>
        <w:jc w:val="both"/>
      </w:pPr>
      <w:r>
        <w:rPr>
          <w:rFonts w:ascii="Times New Roman" w:cs="Times New Roman" w:eastAsia="Times New Roman" w:hAnsi="Times New Roman"/>
          <w:color w:val="000000"/>
          <w:sz w:val="24"/>
          <w:szCs w:val="24"/>
        </w:rPr>
        <w:t xml:space="preserve">El diagrama muestra un patrón de Pareto muy marcado: de las </w:t>
      </w:r>
      <w:r>
        <w:rPr>
          <w:rFonts w:ascii="Times New Roman" w:cs="Times New Roman" w:eastAsia="Times New Roman" w:hAnsi="Times New Roman"/>
          <w:b/>
          <w:bCs/>
          <w:color w:val="000000"/>
          <w:sz w:val="24"/>
          <w:szCs w:val="24"/>
        </w:rPr>
        <w:t xml:space="preserve">9 causas</w:t>
      </w:r>
      <w:r>
        <w:rPr>
          <w:rFonts w:ascii="Times New Roman" w:cs="Times New Roman" w:eastAsia="Times New Roman" w:hAnsi="Times New Roman"/>
          <w:color w:val="000000"/>
          <w:sz w:val="24"/>
          <w:szCs w:val="24"/>
        </w:rPr>
        <w:t xml:space="preserve"> identificadas, solo </w:t>
      </w:r>
      <w:r>
        <w:rPr>
          <w:rFonts w:ascii="Times New Roman" w:cs="Times New Roman" w:eastAsia="Times New Roman" w:hAnsi="Times New Roman"/>
          <w:b/>
          <w:bCs/>
          <w:color w:val="000000"/>
          <w:sz w:val="24"/>
          <w:szCs w:val="24"/>
        </w:rPr>
        <w:t xml:space="preserve">5</w:t>
      </w:r>
      <w:r>
        <w:rPr>
          <w:rFonts w:ascii="Times New Roman" w:cs="Times New Roman" w:eastAsia="Times New Roman" w:hAnsi="Times New Roman"/>
          <w:color w:val="000000"/>
          <w:sz w:val="24"/>
          <w:szCs w:val="24"/>
        </w:rPr>
        <w:t xml:space="preserve"> concentran el </w:t>
      </w:r>
      <w:r>
        <w:rPr>
          <w:rFonts w:ascii="Times New Roman" w:cs="Times New Roman" w:eastAsia="Times New Roman" w:hAnsi="Times New Roman"/>
          <w:b/>
          <w:bCs/>
          <w:color w:val="000000"/>
          <w:sz w:val="24"/>
          <w:szCs w:val="24"/>
        </w:rPr>
        <w:t xml:space="preserve">85.1 %</w:t>
      </w:r>
      <w:r>
        <w:rPr>
          <w:rFonts w:ascii="Times New Roman" w:cs="Times New Roman" w:eastAsia="Times New Roman" w:hAnsi="Times New Roman"/>
          <w:color w:val="000000"/>
          <w:sz w:val="24"/>
          <w:szCs w:val="24"/>
        </w:rPr>
        <w:t xml:space="preserve"> de los envíos retrasados. Estas cinco causas "vitales" son, en orden de impacto: tráfico o congestión vial (30.3 %), falta de stock en bodega (24.9 %), dirección incorrecta o incompleta (13.4 %), mal etiquetado del paquete (9.2 %) y retraso en aduana o documentación (7.3 %).</w:t>
      </w:r>
    </w:p>
    <w:p>
      <w:pPr>
        <w:spacing w:after="0" w:before="0" w:line="480" w:lineRule="auto"/>
        <w:ind w:firstLine="720"/>
        <w:jc w:val="both"/>
      </w:pPr>
      <w:r>
        <w:rPr>
          <w:rFonts w:ascii="Times New Roman" w:cs="Times New Roman" w:eastAsia="Times New Roman" w:hAnsi="Times New Roman"/>
          <w:color w:val="000000"/>
          <w:sz w:val="24"/>
          <w:szCs w:val="24"/>
        </w:rPr>
        <w:t xml:space="preserve">Dos hallazgos son particularmente relevantes para la toma de decisiones:</w:t>
      </w:r>
    </w:p>
    <w:p>
      <w:pPr>
        <w:pStyle w:val="ListParagraph"/>
        <w:numPr>
          <w:ilvl w:val="0"/>
          <w:numId w:val="2"/>
        </w:numPr>
        <w:spacing w:after="0" w:before="0" w:line="480" w:lineRule="auto"/>
        <w:jc w:val="both"/>
      </w:pPr>
      <w:r>
        <w:rPr>
          <w:rFonts w:ascii="Times New Roman" w:cs="Times New Roman" w:eastAsia="Times New Roman" w:hAnsi="Times New Roman"/>
          <w:color w:val="000000"/>
          <w:sz w:val="24"/>
          <w:szCs w:val="24"/>
        </w:rPr>
        <w:t xml:space="preserve">Las </w:t>
      </w:r>
      <w:r>
        <w:rPr>
          <w:rFonts w:ascii="Times New Roman" w:cs="Times New Roman" w:eastAsia="Times New Roman" w:hAnsi="Times New Roman"/>
          <w:b/>
          <w:bCs/>
          <w:color w:val="000000"/>
          <w:sz w:val="24"/>
          <w:szCs w:val="24"/>
        </w:rPr>
        <w:t xml:space="preserve">dos primeras causas</w:t>
      </w:r>
      <w:r>
        <w:rPr>
          <w:rFonts w:ascii="Times New Roman" w:cs="Times New Roman" w:eastAsia="Times New Roman" w:hAnsi="Times New Roman"/>
          <w:color w:val="000000"/>
          <w:sz w:val="24"/>
          <w:szCs w:val="24"/>
        </w:rPr>
        <w:t xml:space="preserve"> (tráfico y falta de stock) ya representan por sí solas más de la mitad del problema (55.2 %). Una intervención dirigida específicamente a estas dos causas tendría, en teoría, un impacto mayor que cualquier iniciativa genérica que abarque las nueve causas por igual.</w:t>
      </w:r>
    </w:p>
    <w:p>
      <w:pPr>
        <w:pStyle w:val="ListParagraph"/>
        <w:numPr>
          <w:ilvl w:val="0"/>
          <w:numId w:val="2"/>
        </w:numPr>
        <w:spacing w:after="0" w:before="0" w:line="480" w:lineRule="auto"/>
        <w:jc w:val="both"/>
      </w:pPr>
      <w:r>
        <w:rPr>
          <w:rFonts w:ascii="Times New Roman" w:cs="Times New Roman" w:eastAsia="Times New Roman" w:hAnsi="Times New Roman"/>
          <w:color w:val="000000"/>
          <w:sz w:val="24"/>
          <w:szCs w:val="24"/>
        </w:rPr>
        <w:t xml:space="preserve">Las </w:t>
      </w:r>
      <w:r>
        <w:rPr>
          <w:rFonts w:ascii="Times New Roman" w:cs="Times New Roman" w:eastAsia="Times New Roman" w:hAnsi="Times New Roman"/>
          <w:b/>
          <w:bCs/>
          <w:color w:val="000000"/>
          <w:sz w:val="24"/>
          <w:szCs w:val="24"/>
        </w:rPr>
        <w:t xml:space="preserve">cuatro causas restantes</w:t>
      </w:r>
      <w:r>
        <w:rPr>
          <w:rFonts w:ascii="Times New Roman" w:cs="Times New Roman" w:eastAsia="Times New Roman" w:hAnsi="Times New Roman"/>
          <w:color w:val="000000"/>
          <w:sz w:val="24"/>
          <w:szCs w:val="24"/>
        </w:rPr>
        <w:t xml:space="preserve"> (sobrecarga del centro de distribución, falla mecánica, error de rastreo y clima) suman apenas 14.9 % del total: son las "muchas triviales" que, de momento, no deberían absorber recursos prioritarios de mejora.</w:t>
      </w:r>
    </w:p>
    <w:p>
      <w:pPr>
        <w:spacing w:after="0" w:before="0" w:line="480" w:lineRule="auto"/>
        <w:ind w:firstLine="720"/>
        <w:jc w:val="both"/>
      </w:pPr>
      <w:r>
        <w:rPr>
          <w:rFonts w:ascii="Times New Roman" w:cs="Times New Roman" w:eastAsia="Times New Roman" w:hAnsi="Times New Roman"/>
          <w:color w:val="000000"/>
          <w:sz w:val="24"/>
          <w:szCs w:val="24"/>
        </w:rPr>
        <w:t xml:space="preserve">Es importante señalar que el diagrama de Pareto identifica </w:t>
      </w:r>
      <w:r>
        <w:rPr>
          <w:rFonts w:ascii="Times New Roman" w:cs="Times New Roman" w:eastAsia="Times New Roman" w:hAnsi="Times New Roman"/>
          <w:i/>
          <w:iCs/>
          <w:color w:val="000000"/>
          <w:sz w:val="24"/>
          <w:szCs w:val="24"/>
        </w:rPr>
        <w:t xml:space="preserve">dónde</w:t>
      </w:r>
      <w:r>
        <w:rPr>
          <w:rFonts w:ascii="Times New Roman" w:cs="Times New Roman" w:eastAsia="Times New Roman" w:hAnsi="Times New Roman"/>
          <w:color w:val="000000"/>
          <w:sz w:val="24"/>
          <w:szCs w:val="24"/>
        </w:rPr>
        <w:t xml:space="preserve"> se concentra el problema, pero no explica </w:t>
      </w:r>
      <w:r>
        <w:rPr>
          <w:rFonts w:ascii="Times New Roman" w:cs="Times New Roman" w:eastAsia="Times New Roman" w:hAnsi="Times New Roman"/>
          <w:i/>
          <w:iCs/>
          <w:color w:val="000000"/>
          <w:sz w:val="24"/>
          <w:szCs w:val="24"/>
        </w:rPr>
        <w:t xml:space="preserve">por qué</w:t>
      </w:r>
      <w:r>
        <w:rPr>
          <w:rFonts w:ascii="Times New Roman" w:cs="Times New Roman" w:eastAsia="Times New Roman" w:hAnsi="Times New Roman"/>
          <w:color w:val="000000"/>
          <w:sz w:val="24"/>
          <w:szCs w:val="24"/>
        </w:rPr>
        <w:t xml:space="preserve"> ocurre cada causa; para profundizar en las causas raíz de "tráfico" o "falta de stock" sería recomendable complementar este análisis con un diagrama de Ishikawa, herramienta que el mismo software implementado también soporta.</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Propuesta de Mejora</w:t>
      </w:r>
    </w:p>
    <w:p>
      <w:pPr>
        <w:spacing w:after="0" w:before="0" w:line="480" w:lineRule="auto"/>
        <w:ind w:firstLine="720"/>
        <w:jc w:val="both"/>
      </w:pPr>
      <w:r>
        <w:rPr>
          <w:rFonts w:ascii="Times New Roman" w:cs="Times New Roman" w:eastAsia="Times New Roman" w:hAnsi="Times New Roman"/>
          <w:color w:val="000000"/>
          <w:sz w:val="24"/>
          <w:szCs w:val="24"/>
        </w:rPr>
        <w:t xml:space="preserve">Con base en las causas vitales identificadas, se propone un plan de acción focalizado, priorizado según el ciclo PHVA (Planear–Hacer–Verificar–Actuar):</w:t>
      </w:r>
    </w:p>
    <w:p>
      <w:pPr>
        <w:pStyle w:val="ListParagraph"/>
        <w:numPr>
          <w:ilvl w:val="0"/>
          <w:numId w:val="2"/>
        </w:numPr>
        <w:spacing w:after="0" w:before="0" w:line="480" w:lineRule="auto"/>
        <w:jc w:val="both"/>
      </w:pPr>
      <w:r>
        <w:rPr>
          <w:rFonts w:ascii="Times New Roman" w:cs="Times New Roman" w:eastAsia="Times New Roman" w:hAnsi="Times New Roman"/>
          <w:b/>
          <w:bCs/>
          <w:color w:val="000000"/>
          <w:sz w:val="24"/>
          <w:szCs w:val="24"/>
        </w:rPr>
        <w:t xml:space="preserve">Tráfico o congestión vial (30.3 %):</w:t>
      </w:r>
      <w:r>
        <w:rPr>
          <w:rFonts w:ascii="Times New Roman" w:cs="Times New Roman" w:eastAsia="Times New Roman" w:hAnsi="Times New Roman"/>
          <w:color w:val="000000"/>
          <w:sz w:val="24"/>
          <w:szCs w:val="24"/>
        </w:rPr>
        <w:t xml:space="preserve"> optimizar rutas de entrega con herramientas de ruteo que consideren tráfico en tiempo real, y ajustar horarios de despacho para evitar franjas de máxima congestión.</w:t>
      </w:r>
    </w:p>
    <w:p>
      <w:pPr>
        <w:pStyle w:val="ListParagraph"/>
        <w:numPr>
          <w:ilvl w:val="0"/>
          <w:numId w:val="2"/>
        </w:numPr>
        <w:spacing w:after="0" w:before="0" w:line="480" w:lineRule="auto"/>
        <w:jc w:val="both"/>
      </w:pPr>
      <w:r>
        <w:rPr>
          <w:rFonts w:ascii="Times New Roman" w:cs="Times New Roman" w:eastAsia="Times New Roman" w:hAnsi="Times New Roman"/>
          <w:b/>
          <w:bCs/>
          <w:color w:val="000000"/>
          <w:sz w:val="24"/>
          <w:szCs w:val="24"/>
        </w:rPr>
        <w:t xml:space="preserve">Falta de stock en bodega (24.9 %):</w:t>
      </w:r>
      <w:r>
        <w:rPr>
          <w:rFonts w:ascii="Times New Roman" w:cs="Times New Roman" w:eastAsia="Times New Roman" w:hAnsi="Times New Roman"/>
          <w:color w:val="000000"/>
          <w:sz w:val="24"/>
          <w:szCs w:val="24"/>
        </w:rPr>
        <w:t xml:space="preserve"> mejorar el pronóstico de demanda y los puntos de reorden del inventario; establecer alertas tempranas de quiebre de stock antes de comprometer fechas de entrega con el cliente.</w:t>
      </w:r>
    </w:p>
    <w:p>
      <w:pPr>
        <w:pStyle w:val="ListParagraph"/>
        <w:numPr>
          <w:ilvl w:val="0"/>
          <w:numId w:val="2"/>
        </w:numPr>
        <w:spacing w:after="0" w:before="0" w:line="480" w:lineRule="auto"/>
        <w:jc w:val="both"/>
      </w:pPr>
      <w:r>
        <w:rPr>
          <w:rFonts w:ascii="Times New Roman" w:cs="Times New Roman" w:eastAsia="Times New Roman" w:hAnsi="Times New Roman"/>
          <w:b/>
          <w:bCs/>
          <w:color w:val="000000"/>
          <w:sz w:val="24"/>
          <w:szCs w:val="24"/>
        </w:rPr>
        <w:t xml:space="preserve">Dirección incorrecta o incompleta (13.4 %):</w:t>
      </w:r>
      <w:r>
        <w:rPr>
          <w:rFonts w:ascii="Times New Roman" w:cs="Times New Roman" w:eastAsia="Times New Roman" w:hAnsi="Times New Roman"/>
          <w:color w:val="000000"/>
          <w:sz w:val="24"/>
          <w:szCs w:val="24"/>
        </w:rPr>
        <w:t xml:space="preserve"> incorporar validación automática de direcciones en el checkout (por ejemplo, autocompletado con geolocalización) y una doble verificación telefónica para envíos de alto valor.</w:t>
      </w:r>
    </w:p>
    <w:p>
      <w:pPr>
        <w:pStyle w:val="ListParagraph"/>
        <w:numPr>
          <w:ilvl w:val="0"/>
          <w:numId w:val="2"/>
        </w:numPr>
        <w:spacing w:after="0" w:before="0" w:line="480" w:lineRule="auto"/>
        <w:jc w:val="both"/>
      </w:pPr>
      <w:r>
        <w:rPr>
          <w:rFonts w:ascii="Times New Roman" w:cs="Times New Roman" w:eastAsia="Times New Roman" w:hAnsi="Times New Roman"/>
          <w:b/>
          <w:bCs/>
          <w:color w:val="000000"/>
          <w:sz w:val="24"/>
          <w:szCs w:val="24"/>
        </w:rPr>
        <w:t xml:space="preserve">Mal etiquetado del paquete (9.2 %):</w:t>
      </w:r>
      <w:r>
        <w:rPr>
          <w:rFonts w:ascii="Times New Roman" w:cs="Times New Roman" w:eastAsia="Times New Roman" w:hAnsi="Times New Roman"/>
          <w:color w:val="000000"/>
          <w:sz w:val="24"/>
          <w:szCs w:val="24"/>
        </w:rPr>
        <w:t xml:space="preserve"> reforzar la capacitación del personal de picking y embalaje, e introducir un control de calidad (código de barras/escaneo) antes de despachar cada paquete.</w:t>
      </w:r>
    </w:p>
    <w:p>
      <w:pPr>
        <w:pStyle w:val="ListParagraph"/>
        <w:numPr>
          <w:ilvl w:val="0"/>
          <w:numId w:val="2"/>
        </w:numPr>
        <w:spacing w:after="0" w:before="0" w:line="480" w:lineRule="auto"/>
        <w:jc w:val="both"/>
      </w:pPr>
      <w:r>
        <w:rPr>
          <w:rFonts w:ascii="Times New Roman" w:cs="Times New Roman" w:eastAsia="Times New Roman" w:hAnsi="Times New Roman"/>
          <w:b/>
          <w:bCs/>
          <w:color w:val="000000"/>
          <w:sz w:val="24"/>
          <w:szCs w:val="24"/>
        </w:rPr>
        <w:t xml:space="preserve">Retraso en aduana o documentación (7.3 %):</w:t>
      </w:r>
      <w:r>
        <w:rPr>
          <w:rFonts w:ascii="Times New Roman" w:cs="Times New Roman" w:eastAsia="Times New Roman" w:hAnsi="Times New Roman"/>
          <w:color w:val="000000"/>
          <w:sz w:val="24"/>
          <w:szCs w:val="24"/>
        </w:rPr>
        <w:t xml:space="preserve"> anticipar y digitalizar la gestión documental de envíos internacionales o interdepartamentales, presentando la documentación antes de que el paquete llegue al punto de control.</w:t>
      </w:r>
    </w:p>
    <w:p>
      <w:pPr>
        <w:spacing w:after="0" w:before="0" w:line="480" w:lineRule="auto"/>
        <w:ind w:firstLine="720"/>
        <w:jc w:val="both"/>
      </w:pPr>
      <w:r>
        <w:rPr>
          <w:rFonts w:ascii="Times New Roman" w:cs="Times New Roman" w:eastAsia="Times New Roman" w:hAnsi="Times New Roman"/>
          <w:color w:val="000000"/>
          <w:sz w:val="24"/>
          <w:szCs w:val="24"/>
        </w:rPr>
        <w:t xml:space="preserve">Finalmente, se recomienda repetir este análisis de Pareto de forma periódica (por ejemplo, mensual) una vez implementadas las acciones correctivas, para verificar si las causas vitales pierden peso relativo frente a las demás y así cerrar el ciclo de mejora continua.</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Conclusiones</w:t>
      </w:r>
    </w:p>
    <w:p>
      <w:pPr>
        <w:pStyle w:val="ListParagraph"/>
        <w:numPr>
          <w:ilvl w:val="0"/>
          <w:numId w:val="2"/>
        </w:numPr>
        <w:spacing w:after="0" w:before="0" w:line="480" w:lineRule="auto"/>
        <w:jc w:val="both"/>
      </w:pPr>
      <w:r>
        <w:rPr>
          <w:rFonts w:ascii="Times New Roman" w:cs="Times New Roman" w:eastAsia="Times New Roman" w:hAnsi="Times New Roman"/>
          <w:color w:val="000000"/>
          <w:sz w:val="24"/>
          <w:szCs w:val="24"/>
        </w:rPr>
        <w:t xml:space="preserve">El diagrama de Pareto permitió transformar una lista de nueve causas posibles de retraso en una prioridad clara y accionable: dos causas (tráfico y falta de stock) explican más de la mitad del problema.</w:t>
      </w:r>
    </w:p>
    <w:p>
      <w:pPr>
        <w:pStyle w:val="ListParagraph"/>
        <w:numPr>
          <w:ilvl w:val="0"/>
          <w:numId w:val="2"/>
        </w:numPr>
        <w:spacing w:after="0" w:before="0" w:line="480" w:lineRule="auto"/>
        <w:jc w:val="both"/>
      </w:pPr>
      <w:r>
        <w:rPr>
          <w:rFonts w:ascii="Times New Roman" w:cs="Times New Roman" w:eastAsia="Times New Roman" w:hAnsi="Times New Roman"/>
          <w:color w:val="000000"/>
          <w:sz w:val="24"/>
          <w:szCs w:val="24"/>
        </w:rPr>
        <w:t xml:space="preserve">Automatizar el cálculo y la graficación con Python garantiza que el análisis sea reproducible y fácilmente actualizable a medida que se recolecten nuevos datos de operación.</w:t>
      </w:r>
    </w:p>
    <w:p>
      <w:pPr>
        <w:pStyle w:val="ListParagraph"/>
        <w:numPr>
          <w:ilvl w:val="0"/>
          <w:numId w:val="2"/>
        </w:numPr>
        <w:spacing w:after="0" w:before="0" w:line="480" w:lineRule="auto"/>
        <w:jc w:val="both"/>
      </w:pPr>
      <w:r>
        <w:rPr>
          <w:rFonts w:ascii="Times New Roman" w:cs="Times New Roman" w:eastAsia="Times New Roman" w:hAnsi="Times New Roman"/>
          <w:color w:val="000000"/>
          <w:sz w:val="24"/>
          <w:szCs w:val="24"/>
        </w:rPr>
        <w:t xml:space="preserve">La regla 80/20 se cumplió de forma consistente con la teoría: un subconjunto reducido de causas (5 de 9) concentra la gran mayoría (85.1 %) del efecto observado.</w:t>
      </w:r>
    </w:p>
    <w:p>
      <w:pPr>
        <w:pStyle w:val="ListParagraph"/>
        <w:numPr>
          <w:ilvl w:val="0"/>
          <w:numId w:val="2"/>
        </w:numPr>
        <w:spacing w:after="0" w:before="0" w:line="480" w:lineRule="auto"/>
        <w:jc w:val="both"/>
      </w:pPr>
      <w:r>
        <w:rPr>
          <w:rFonts w:ascii="Times New Roman" w:cs="Times New Roman" w:eastAsia="Times New Roman" w:hAnsi="Times New Roman"/>
          <w:color w:val="000000"/>
          <w:sz w:val="24"/>
          <w:szCs w:val="24"/>
        </w:rPr>
        <w:t xml:space="preserve">El Pareto es un excelente punto de partida, pero debe complementarse con herramientas de análisis de causa raíz (Ishikawa) y de seguimiento en el tiempo (gráfico de control) para sostener la mejora, ambas ya disponibles en el software desarrollado para esta actividad.</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Referencias</w:t>
      </w:r>
    </w:p>
    <w:p>
      <w:pPr>
        <w:spacing w:after="0" w:before="0" w:line="480" w:lineRule="auto"/>
        <w:ind w:left="720" w:hanging="720"/>
        <w:jc w:val="left"/>
      </w:pPr>
      <w:r>
        <w:rPr>
          <w:rFonts w:ascii="Times New Roman" w:cs="Times New Roman" w:eastAsia="Times New Roman" w:hAnsi="Times New Roman"/>
          <w:color w:val="000000"/>
          <w:sz w:val="24"/>
          <w:szCs w:val="24"/>
        </w:rPr>
        <w:t xml:space="preserve">Gutiérrez Pulido, H. (2010). </w:t>
      </w:r>
      <w:r>
        <w:rPr>
          <w:rFonts w:ascii="Times New Roman" w:cs="Times New Roman" w:eastAsia="Times New Roman" w:hAnsi="Times New Roman"/>
          <w:i/>
          <w:iCs/>
          <w:color w:val="000000"/>
          <w:sz w:val="24"/>
          <w:szCs w:val="24"/>
        </w:rPr>
        <w:t xml:space="preserve">Calidad total y productividad</w:t>
      </w:r>
      <w:r>
        <w:rPr>
          <w:rFonts w:ascii="Times New Roman" w:cs="Times New Roman" w:eastAsia="Times New Roman" w:hAnsi="Times New Roman"/>
          <w:color w:val="000000"/>
          <w:sz w:val="24"/>
          <w:szCs w:val="24"/>
        </w:rPr>
        <w:t xml:space="preserve"> (3.ª ed.). McGraw-Hill.</w:t>
      </w:r>
    </w:p>
    <w:p>
      <w:pPr>
        <w:spacing w:after="0" w:before="0" w:line="480" w:lineRule="auto"/>
        <w:ind w:left="720" w:hanging="720"/>
        <w:jc w:val="left"/>
      </w:pPr>
      <w:r>
        <w:rPr>
          <w:rFonts w:ascii="Times New Roman" w:cs="Times New Roman" w:eastAsia="Times New Roman" w:hAnsi="Times New Roman"/>
          <w:color w:val="000000"/>
          <w:sz w:val="24"/>
          <w:szCs w:val="24"/>
        </w:rPr>
        <w:t xml:space="preserve">International Organization for Standardization. (2015). </w:t>
      </w:r>
      <w:r>
        <w:rPr>
          <w:rFonts w:ascii="Times New Roman" w:cs="Times New Roman" w:eastAsia="Times New Roman" w:hAnsi="Times New Roman"/>
          <w:i/>
          <w:iCs/>
          <w:color w:val="000000"/>
          <w:sz w:val="24"/>
          <w:szCs w:val="24"/>
        </w:rPr>
        <w:t xml:space="preserve">ISO 9001:2015 – Sistemas de gestión de la calidad: Requisitos.</w:t>
      </w:r>
    </w:p>
    <w:p>
      <w:pPr>
        <w:spacing w:after="0" w:before="0" w:line="480" w:lineRule="auto"/>
        <w:ind w:left="720" w:hanging="720"/>
        <w:jc w:val="left"/>
      </w:pPr>
      <w:r>
        <w:rPr>
          <w:rFonts w:ascii="Times New Roman" w:cs="Times New Roman" w:eastAsia="Times New Roman" w:hAnsi="Times New Roman"/>
          <w:color w:val="000000"/>
          <w:sz w:val="24"/>
          <w:szCs w:val="24"/>
        </w:rPr>
        <w:t xml:space="preserve">Ishikawa, K. (1985). </w:t>
      </w:r>
      <w:r>
        <w:rPr>
          <w:rFonts w:ascii="Times New Roman" w:cs="Times New Roman" w:eastAsia="Times New Roman" w:hAnsi="Times New Roman"/>
          <w:i/>
          <w:iCs/>
          <w:color w:val="000000"/>
          <w:sz w:val="24"/>
          <w:szCs w:val="24"/>
        </w:rPr>
        <w:t xml:space="preserve">What is total quality control? The Japanese way.</w:t>
      </w:r>
      <w:r>
        <w:rPr>
          <w:rFonts w:ascii="Times New Roman" w:cs="Times New Roman" w:eastAsia="Times New Roman" w:hAnsi="Times New Roman"/>
          <w:color w:val="000000"/>
          <w:sz w:val="24"/>
          <w:szCs w:val="24"/>
        </w:rPr>
        <w:t xml:space="preserve"> Prentice-Hall.</w:t>
      </w:r>
    </w:p>
    <w:p>
      <w:pPr>
        <w:spacing w:after="0" w:before="0" w:line="480" w:lineRule="auto"/>
        <w:ind w:left="720" w:hanging="720"/>
        <w:jc w:val="left"/>
      </w:pPr>
      <w:r>
        <w:rPr>
          <w:rFonts w:ascii="Times New Roman" w:cs="Times New Roman" w:eastAsia="Times New Roman" w:hAnsi="Times New Roman"/>
          <w:color w:val="000000"/>
          <w:sz w:val="24"/>
          <w:szCs w:val="24"/>
        </w:rPr>
        <w:t xml:space="preserve">Juran, J. M., &amp; Godfrey, A. B. (1999). </w:t>
      </w:r>
      <w:r>
        <w:rPr>
          <w:rFonts w:ascii="Times New Roman" w:cs="Times New Roman" w:eastAsia="Times New Roman" w:hAnsi="Times New Roman"/>
          <w:i/>
          <w:iCs/>
          <w:color w:val="000000"/>
          <w:sz w:val="24"/>
          <w:szCs w:val="24"/>
        </w:rPr>
        <w:t xml:space="preserve">Juran's quality handbook</w:t>
      </w:r>
      <w:r>
        <w:rPr>
          <w:rFonts w:ascii="Times New Roman" w:cs="Times New Roman" w:eastAsia="Times New Roman" w:hAnsi="Times New Roman"/>
          <w:color w:val="000000"/>
          <w:sz w:val="24"/>
          <w:szCs w:val="24"/>
        </w:rPr>
        <w:t xml:space="preserve"> (5.ª ed.). McGraw-Hill.</w:t>
      </w:r>
    </w:p>
    <w:p>
      <w:pPr>
        <w:spacing w:after="0" w:before="0" w:line="480" w:lineRule="auto"/>
        <w:ind w:left="720" w:hanging="720"/>
        <w:jc w:val="left"/>
      </w:pPr>
      <w:r>
        <w:rPr>
          <w:rFonts w:ascii="Times New Roman" w:cs="Times New Roman" w:eastAsia="Times New Roman" w:hAnsi="Times New Roman"/>
          <w:color w:val="000000"/>
          <w:sz w:val="24"/>
          <w:szCs w:val="24"/>
        </w:rPr>
        <w:t xml:space="preserve">Kume, H. (1985). </w:t>
      </w:r>
      <w:r>
        <w:rPr>
          <w:rFonts w:ascii="Times New Roman" w:cs="Times New Roman" w:eastAsia="Times New Roman" w:hAnsi="Times New Roman"/>
          <w:i/>
          <w:iCs/>
          <w:color w:val="000000"/>
          <w:sz w:val="24"/>
          <w:szCs w:val="24"/>
        </w:rPr>
        <w:t xml:space="preserve">Statistical methods for quality improvement.</w:t>
      </w:r>
      <w:r>
        <w:rPr>
          <w:rFonts w:ascii="Times New Roman" w:cs="Times New Roman" w:eastAsia="Times New Roman" w:hAnsi="Times New Roman"/>
          <w:color w:val="000000"/>
          <w:sz w:val="24"/>
          <w:szCs w:val="24"/>
        </w:rPr>
        <w:t xml:space="preserve"> The Association for Overseas Technical Scholarship.</w:t>
      </w:r>
    </w:p>
    <w:p>
      <w:pPr>
        <w:spacing w:after="0" w:before="0" w:line="480" w:lineRule="auto"/>
        <w:ind w:left="720" w:hanging="720"/>
        <w:jc w:val="left"/>
      </w:pPr>
      <w:r>
        <w:rPr>
          <w:rFonts w:ascii="Times New Roman" w:cs="Times New Roman" w:eastAsia="Times New Roman" w:hAnsi="Times New Roman"/>
          <w:color w:val="000000"/>
          <w:sz w:val="24"/>
          <w:szCs w:val="24"/>
        </w:rPr>
        <w:t xml:space="preserve">Summers, D. C. S. (2006). </w:t>
      </w:r>
      <w:r>
        <w:rPr>
          <w:rFonts w:ascii="Times New Roman" w:cs="Times New Roman" w:eastAsia="Times New Roman" w:hAnsi="Times New Roman"/>
          <w:i/>
          <w:iCs/>
          <w:color w:val="000000"/>
          <w:sz w:val="24"/>
          <w:szCs w:val="24"/>
        </w:rPr>
        <w:t xml:space="preserve">Administración de la calidad.</w:t>
      </w:r>
      <w:r>
        <w:rPr>
          <w:rFonts w:ascii="Times New Roman" w:cs="Times New Roman" w:eastAsia="Times New Roman" w:hAnsi="Times New Roman"/>
          <w:color w:val="000000"/>
          <w:sz w:val="24"/>
          <w:szCs w:val="24"/>
        </w:rPr>
        <w:t xml:space="preserve"> Pearson Educación.</w:t>
      </w:r>
    </w:p>
    <w:p>
      <w:r>
        <w:br w:type="page"/>
      </w:r>
    </w:p>
    <w:p>
      <w:pPr>
        <w:spacing w:after="0" w:before="0" w:line="480" w:lineRule="auto"/>
        <w:jc w:val="center"/>
      </w:pPr>
      <w:r>
        <w:rPr>
          <w:rFonts w:ascii="Times New Roman" w:cs="Times New Roman" w:eastAsia="Times New Roman" w:hAnsi="Times New Roman"/>
          <w:b/>
          <w:bCs/>
          <w:color w:val="000000"/>
          <w:sz w:val="24"/>
          <w:szCs w:val="24"/>
        </w:rPr>
        <w:t xml:space="preserve">Apéndice A</w:t>
      </w:r>
    </w:p>
    <w:p>
      <w:pPr>
        <w:spacing w:after="0" w:before="0" w:line="480" w:lineRule="auto"/>
        <w:jc w:val="center"/>
      </w:pPr>
      <w:r>
        <w:rPr>
          <w:rFonts w:ascii="Times New Roman" w:cs="Times New Roman" w:eastAsia="Times New Roman" w:hAnsi="Times New Roman"/>
          <w:i/>
          <w:iCs/>
          <w:color w:val="000000"/>
          <w:sz w:val="24"/>
          <w:szCs w:val="24"/>
        </w:rPr>
        <w:t xml:space="preserve">Alcance Adicional del Software Desarrollado</w:t>
      </w:r>
    </w:p>
    <w:p>
      <w:pPr>
        <w:spacing w:after="0" w:before="0" w:line="480" w:lineRule="auto"/>
        <w:ind w:firstLine="720"/>
        <w:jc w:val="both"/>
      </w:pPr>
      <w:r>
        <w:rPr>
          <w:rFonts w:ascii="Times New Roman" w:cs="Times New Roman" w:eastAsia="Times New Roman" w:hAnsi="Times New Roman"/>
          <w:color w:val="000000"/>
          <w:sz w:val="24"/>
          <w:szCs w:val="24"/>
        </w:rPr>
        <w:t xml:space="preserve">El software desarrollado para esta actividad no se limita al diagrama de Pareto: implementa de forma modular las 7 herramientas básicas de calidad (Ishikawa, hoja de verificación, histograma, diagrama de dispersión, gráfico de control y estratificación), todas aplicadas al mismo conjunto de datos de retrasos en entregas. Estas herramientas complementarias, junto con su código fuente, están disponibles en el repositorio del proyecto para dar continuidad a este análisis en fases posteriores.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0000"/>
      </w:rPr>
    </w:lvl>
  </w:abstractNum>
  <w:abstractNum w:abstractNumId="3" w15:restartNumberingAfterBreak="0">
    <w:multiLevelType w:val="hybridMultilevel"/>
    <w:lvl w:ilvl="0" w15:tentative="1">
      <w:start w:val="1"/>
      <w:numFmt w:val="decimal"/>
      <w:lvlText w:val="%1."/>
      <w:lvlJc w:val="left"/>
      <w:pPr>
        <w:ind w:left="720" w:hanging="360"/>
      </w:pPr>
      <w:rPr>
        <w:color w:val="00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49c0d10c5682f3c7070a8a45a9d140b3f5db019.png"/><Relationship Id="rId9" Type="http://schemas.openxmlformats.org/officeDocument/2006/relationships/image" Target="media/bad80ef651639ad8f8d38349557ed387366f294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de Aprendizaje 3: Descubriendo las Herramientas de Calidad</dc:title>
  <dc:creator>Santiago Bustamante Molina</dc:creator>
  <cp:lastModifiedBy>Un-named</cp:lastModifiedBy>
  <cp:revision>1</cp:revision>
  <dcterms:created xsi:type="dcterms:W3CDTF">2026-09-09T02:00:28.031Z</dcterms:created>
  <dcterms:modified xsi:type="dcterms:W3CDTF">2026-09-09T02:00:28.036Z</dcterms:modified>
</cp:coreProperties>
</file>

<file path=docProps/custom.xml><?xml version="1.0" encoding="utf-8"?>
<Properties xmlns="http://schemas.openxmlformats.org/officeDocument/2006/custom-properties" xmlns:vt="http://schemas.openxmlformats.org/officeDocument/2006/docPropsVTypes"/>
</file>