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700"/>
        <w:jc w:val="center"/>
      </w:pPr>
      <w:r>
        <w:rPr>
          <w:color w:val="2B2B2B"/>
          <w:sz w:val="22"/>
          <w:szCs w:val="22"/>
        </w:rPr>
        <w:t xml:space="preserve">[Nombre de la Institución Educativa]</w:t>
      </w:r>
    </w:p>
    <w:p>
      <w:pPr>
        <w:spacing w:after="120"/>
        <w:jc w:val="center"/>
      </w:pPr>
      <w:r>
        <w:rPr>
          <w:rFonts w:ascii="Cambria" w:cs="Cambria" w:eastAsia="Cambria" w:hAnsi="Cambria"/>
          <w:b/>
          <w:bCs/>
          <w:color w:val="1E2761"/>
          <w:sz w:val="52"/>
          <w:szCs w:val="52"/>
        </w:rPr>
        <w:t xml:space="preserve">INFORME DE PRÁCTICA</w:t>
      </w:r>
    </w:p>
    <w:p>
      <w:pPr>
        <w:spacing w:after="100"/>
        <w:jc w:val="center"/>
      </w:pPr>
      <w:r>
        <w:rPr>
          <w:color w:val="2C5F8A"/>
          <w:sz w:val="28"/>
          <w:szCs w:val="28"/>
        </w:rPr>
        <w:t xml:space="preserve">Aplicación del Diagrama de Pareto como Herramienta de Calidad</w:t>
      </w:r>
    </w:p>
    <w:p>
      <w:pPr>
        <w:pBdr>
          <w:bottom w:val="single" w:color="2C5F8A" w:sz="8" w:space="8"/>
        </w:pBdr>
        <w:spacing w:after="100"/>
        <w:jc w:val="center"/>
      </w:pPr>
      <w:r>
        <w:rPr>
          <w:sz w:val="8"/>
          <w:szCs w:val="8"/>
        </w:rPr>
        <w:t xml:space="preserve">        </w:t>
      </w:r>
    </w:p>
    <w:p>
      <w:pPr>
        <w:spacing w:after="60" w:before="200"/>
        <w:jc w:val="center"/>
      </w:pPr>
      <w:r>
        <w:rPr>
          <w:color w:val="2B2B2B"/>
          <w:sz w:val="22"/>
          <w:szCs w:val="22"/>
        </w:rPr>
        <w:t xml:space="preserve">Actividad de Aprendizaje 3: Descubriendo las Herramientas de Calidad</w:t>
      </w:r>
    </w:p>
    <w:p>
      <w:pPr>
        <w:spacing w:after="700"/>
        <w:jc w:val="center"/>
      </w:pPr>
      <w:r>
        <w:rPr>
          <w:color w:val="2B2B2B"/>
          <w:sz w:val="22"/>
          <w:szCs w:val="22"/>
        </w:rPr>
        <w:t xml:space="preserve">Caso de estudio: causas de retraso en la entrega de pedidos de una empresa de logística</w:t>
      </w:r>
    </w:p>
    <w:p>
      <w:pPr>
        <w:spacing w:after="500"/>
      </w:pPr>
    </w:p>
    <w:tbl>
      <w:tblPr>
        <w:tblW w:type="dxa" w:w="8500"/>
        <w:jc w:val="center"/>
        <w:tblBorders>
          <w:top w:val="none"/>
          <w:left w:val="none"/>
          <w:bottom w:val="none"/>
          <w:right w:val="none"/>
          <w:insideH w:val="none"/>
          <w:insideV w:val="none"/>
        </w:tblBorders>
      </w:tblPr>
      <w:tblGrid>
        <w:gridCol w:w="100"/>
        <w:gridCol w:w="100"/>
      </w:tblGrid>
      <w:tr>
        <w:tc>
          <w:tcPr>
            <w:tcW w:type="dxa" w:w="2800"/>
            <w:tcMar>
              <w:bottom w:type="dxa" w:w="140"/>
            </w:tcMar>
          </w:tcPr>
          <w:p>
            <w:r>
              <w:rPr>
                <w:b/>
                <w:bCs/>
                <w:color w:val="2B2B2B"/>
                <w:sz w:val="22"/>
                <w:szCs w:val="22"/>
              </w:rPr>
              <w:t xml:space="preserve">Presentado por:</w:t>
            </w:r>
          </w:p>
        </w:tc>
        <w:tc>
          <w:tcPr>
            <w:tcW w:type="dxa" w:w="5700"/>
            <w:tcMar>
              <w:bottom w:type="dxa" w:w="140"/>
            </w:tcMar>
          </w:tcPr>
          <w:p>
            <w:r>
              <w:rPr>
                <w:color w:val="2B2B2B"/>
                <w:sz w:val="22"/>
                <w:szCs w:val="22"/>
              </w:rPr>
              <w:t xml:space="preserve">Santiago Bustamante Molina</w:t>
            </w:r>
          </w:p>
        </w:tc>
      </w:tr>
      <w:tr>
        <w:tc>
          <w:tcPr>
            <w:tcW w:type="dxa" w:w="2800"/>
            <w:tcMar>
              <w:bottom w:type="dxa" w:w="140"/>
            </w:tcMar>
          </w:tcPr>
          <w:p>
            <w:r>
              <w:rPr>
                <w:b/>
                <w:bCs/>
                <w:color w:val="2B2B2B"/>
                <w:sz w:val="22"/>
                <w:szCs w:val="22"/>
              </w:rPr>
              <w:t xml:space="preserve">Programa académico:</w:t>
            </w:r>
          </w:p>
        </w:tc>
        <w:tc>
          <w:tcPr>
            <w:tcW w:type="dxa" w:w="5700"/>
            <w:tcMar>
              <w:bottom w:type="dxa" w:w="140"/>
            </w:tcMar>
          </w:tcPr>
          <w:p>
            <w:r>
              <w:rPr>
                <w:color w:val="2B2B2B"/>
                <w:sz w:val="22"/>
                <w:szCs w:val="22"/>
              </w:rPr>
              <w:t xml:space="preserve">Ingeniería de Sistemas – Décimo (10°) semestre</w:t>
            </w:r>
          </w:p>
        </w:tc>
      </w:tr>
      <w:tr>
        <w:tc>
          <w:tcPr>
            <w:tcW w:type="dxa" w:w="2800"/>
            <w:tcMar>
              <w:bottom w:type="dxa" w:w="140"/>
            </w:tcMar>
          </w:tcPr>
          <w:p>
            <w:r>
              <w:rPr>
                <w:b/>
                <w:bCs/>
                <w:color w:val="2B2B2B"/>
                <w:sz w:val="22"/>
                <w:szCs w:val="22"/>
              </w:rPr>
              <w:t xml:space="preserve">Presentado a:</w:t>
            </w:r>
          </w:p>
        </w:tc>
        <w:tc>
          <w:tcPr>
            <w:tcW w:type="dxa" w:w="5700"/>
            <w:tcMar>
              <w:bottom w:type="dxa" w:w="140"/>
            </w:tcMar>
          </w:tcPr>
          <w:p>
            <w:r>
              <w:rPr>
                <w:color w:val="2B2B2B"/>
                <w:sz w:val="22"/>
                <w:szCs w:val="22"/>
              </w:rPr>
              <w:t xml:space="preserve">[Nombre del Docente]</w:t>
            </w:r>
          </w:p>
        </w:tc>
      </w:tr>
      <w:tr>
        <w:tc>
          <w:tcPr>
            <w:tcW w:type="dxa" w:w="2800"/>
            <w:tcMar>
              <w:bottom w:type="dxa" w:w="140"/>
            </w:tcMar>
          </w:tcPr>
          <w:p>
            <w:r>
              <w:rPr>
                <w:b/>
                <w:bCs/>
                <w:color w:val="2B2B2B"/>
                <w:sz w:val="22"/>
                <w:szCs w:val="22"/>
              </w:rPr>
              <w:t xml:space="preserve">Curso / Actividad:</w:t>
            </w:r>
          </w:p>
        </w:tc>
        <w:tc>
          <w:tcPr>
            <w:tcW w:type="dxa" w:w="5700"/>
            <w:tcMar>
              <w:bottom w:type="dxa" w:w="140"/>
            </w:tcMar>
          </w:tcPr>
          <w:p>
            <w:r>
              <w:rPr>
                <w:color w:val="2B2B2B"/>
                <w:sz w:val="22"/>
                <w:szCs w:val="22"/>
              </w:rPr>
              <w:t xml:space="preserve">Actividad de Aprendizaje 3 – Descubriendo las Herramientas de Calidad</w:t>
            </w:r>
          </w:p>
        </w:tc>
      </w:tr>
      <w:tr>
        <w:tc>
          <w:tcPr>
            <w:tcW w:type="dxa" w:w="2800"/>
            <w:tcMar>
              <w:bottom w:type="dxa" w:w="140"/>
            </w:tcMar>
          </w:tcPr>
          <w:p>
            <w:r>
              <w:rPr>
                <w:b/>
                <w:bCs/>
                <w:color w:val="2B2B2B"/>
                <w:sz w:val="22"/>
                <w:szCs w:val="22"/>
              </w:rPr>
              <w:t xml:space="preserve">Fecha:</w:t>
            </w:r>
          </w:p>
        </w:tc>
        <w:tc>
          <w:tcPr>
            <w:tcW w:type="dxa" w:w="5700"/>
            <w:tcMar>
              <w:bottom w:type="dxa" w:w="140"/>
            </w:tcMar>
          </w:tcPr>
          <w:p>
            <w:r>
              <w:rPr>
                <w:color w:val="2B2B2B"/>
                <w:sz w:val="22"/>
                <w:szCs w:val="22"/>
              </w:rPr>
              <w:t xml:space="preserve">Septiembre de 2026</w:t>
            </w:r>
          </w:p>
        </w:tc>
      </w:tr>
    </w:tbl>
    <w:p>
      <w:r>
        <w:br w:type="page"/>
      </w:r>
    </w:p>
    <w:p>
      <w:pPr>
        <w:pStyle w:val="Heading1"/>
        <w:spacing w:after="180" w:before="380"/>
      </w:pPr>
      <w:r>
        <w:rPr>
          <w:rFonts w:ascii="Cambria" w:cs="Cambria" w:eastAsia="Cambria" w:hAnsi="Cambria"/>
          <w:b/>
          <w:bCs/>
          <w:color w:val="1E2761"/>
          <w:sz w:val="30"/>
          <w:szCs w:val="30"/>
        </w:rPr>
        <w:t xml:space="preserve">1. Introducción</w:t>
      </w:r>
    </w:p>
    <w:p>
      <w:pPr>
        <w:spacing w:after="200" w:line="300"/>
        <w:jc w:val="both"/>
      </w:pPr>
      <w:r>
        <w:rPr>
          <w:b w:val="false"/>
          <w:bCs w:val="false"/>
          <w:color w:val="2B2B2B"/>
          <w:sz w:val="22"/>
          <w:szCs w:val="22"/>
        </w:rPr>
        <w:t xml:space="preserve">La gestión de la calidad busca que los procesos, productos y servicios de una organización cumplan de forma consistente con las expectativas de sus clientes. Para lograrlo, existen siete herramientas básicas de calidad —diagrama de Pareto, diagrama de causa-efecto (Ishikawa), hoja de verificación, histograma, diagrama de dispersión, gráfico de control y estratificación— que permiten recolectar, organizar e interpretar datos de un problema real de forma objetiva, en lugar de basar las decisiones únicamente en la percepción o la experiencia individual.</w:t>
      </w:r>
    </w:p>
    <w:p>
      <w:pPr>
        <w:spacing w:after="200" w:line="300"/>
        <w:jc w:val="both"/>
      </w:pPr>
      <w:r>
        <w:rPr>
          <w:b w:val="false"/>
          <w:bCs w:val="false"/>
          <w:color w:val="2B2B2B"/>
          <w:sz w:val="22"/>
          <w:szCs w:val="22"/>
        </w:rPr>
        <w:t xml:space="preserve">El presente informe documenta la aplicación práctica del </w:t>
      </w:r>
      <w:r>
        <w:rPr>
          <w:b w:val="false"/>
          <w:bCs w:val="false"/>
          <w:color w:val="2B2B2B"/>
          <w:sz w:val="22"/>
          <w:szCs w:val="22"/>
        </w:rPr>
        <w:t xml:space="preserve">diagrama de Pareto</w:t>
      </w:r>
      <w:r>
        <w:rPr>
          <w:b w:val="false"/>
          <w:bCs w:val="false"/>
          <w:color w:val="2B2B2B"/>
          <w:sz w:val="22"/>
          <w:szCs w:val="22"/>
        </w:rPr>
        <w:t xml:space="preserve"> a un problema de retrasos en la entrega de pedidos de una empresa de logística, como parte de la Actividad de Aprendizaje 3 del curso. Para ello se desarrolló una aplicación en Python que automatiza el cálculo, la graficación y la interpretación de la herramienta, cuyo código fuente y resultados se documentan a lo largo de este documento.</w:t>
      </w:r>
    </w:p>
    <w:p>
      <w:pPr>
        <w:pStyle w:val="Heading1"/>
        <w:spacing w:after="180" w:before="380"/>
      </w:pPr>
      <w:r>
        <w:rPr>
          <w:rFonts w:ascii="Cambria" w:cs="Cambria" w:eastAsia="Cambria" w:hAnsi="Cambria"/>
          <w:b/>
          <w:bCs/>
          <w:color w:val="1E2761"/>
          <w:sz w:val="30"/>
          <w:szCs w:val="30"/>
        </w:rPr>
        <w:t xml:space="preserve">2. Descripción del problema</w:t>
      </w:r>
    </w:p>
    <w:p>
      <w:pPr>
        <w:spacing w:after="200" w:line="300"/>
        <w:jc w:val="both"/>
      </w:pPr>
      <w:r>
        <w:rPr>
          <w:b w:val="false"/>
          <w:bCs w:val="false"/>
          <w:color w:val="2B2B2B"/>
          <w:sz w:val="22"/>
          <w:szCs w:val="22"/>
        </w:rPr>
        <w:t xml:space="preserve">Una empresa de logística que gestiona la última milla de entrega de pedidos para comercio electrónico ha identificado un incremento sostenido en las quejas de clientes relacionadas con </w:t>
      </w:r>
      <w:r>
        <w:rPr>
          <w:b w:val="false"/>
          <w:bCs w:val="false"/>
          <w:color w:val="2B2B2B"/>
          <w:sz w:val="22"/>
          <w:szCs w:val="22"/>
        </w:rPr>
        <w:t xml:space="preserve">retrasos en la entrega</w:t>
      </w:r>
      <w:r>
        <w:rPr>
          <w:b w:val="false"/>
          <w:bCs w:val="false"/>
          <w:color w:val="2B2B2B"/>
          <w:sz w:val="22"/>
          <w:szCs w:val="22"/>
        </w:rPr>
        <w:t xml:space="preserve">. Este problema genera sobrecostos operativos (reprocesos, llamadas de servicio al cliente, compensaciones), afecta la reputación de la empresa frente a sus clientes y compromete los acuerdos de nivel de servicio (SLA) pactados con los comercios aliados.</w:t>
      </w:r>
    </w:p>
    <w:p>
      <w:pPr>
        <w:spacing w:after="200" w:line="300"/>
        <w:jc w:val="both"/>
      </w:pPr>
      <w:r>
        <w:rPr>
          <w:b w:val="false"/>
          <w:bCs w:val="false"/>
          <w:color w:val="2B2B2B"/>
          <w:sz w:val="22"/>
          <w:szCs w:val="22"/>
        </w:rPr>
        <w:t xml:space="preserve">El equipo de operaciones sabe, de forma empírica, que existen múltiples causas posibles detrás de un envío retrasado —congestión vehicular, faltantes de inventario, errores en la dirección de entrega, trámites aduaneros, fallas mecánicas, entre otras—, pero no cuenta con evidencia cuantitativa de </w:t>
      </w:r>
      <w:r>
        <w:rPr>
          <w:b w:val="false"/>
          <w:bCs w:val="false"/>
          <w:color w:val="2B2B2B"/>
          <w:sz w:val="22"/>
          <w:szCs w:val="22"/>
        </w:rPr>
        <w:t xml:space="preserve">cuáles de estas causas concentran realmente la mayor parte del problema</w:t>
      </w:r>
      <w:r>
        <w:rPr>
          <w:b w:val="false"/>
          <w:bCs w:val="false"/>
          <w:color w:val="2B2B2B"/>
          <w:sz w:val="22"/>
          <w:szCs w:val="22"/>
        </w:rPr>
        <w:t xml:space="preserve">. Sin esa priorización, los esfuerzos de mejora corren el riesgo de dispersarse en causas de bajo impacto, en lugar de concentrarse donde generarían el mayor beneficio con los recursos disponibles.</w:t>
      </w:r>
    </w:p>
    <w:p>
      <w:pPr>
        <w:pStyle w:val="Heading1"/>
        <w:spacing w:after="180" w:before="380"/>
      </w:pPr>
      <w:r>
        <w:rPr>
          <w:rFonts w:ascii="Cambria" w:cs="Cambria" w:eastAsia="Cambria" w:hAnsi="Cambria"/>
          <w:b/>
          <w:bCs/>
          <w:color w:val="1E2761"/>
          <w:sz w:val="30"/>
          <w:szCs w:val="30"/>
        </w:rPr>
        <w:t xml:space="preserve">3. Datos utilizados</w:t>
      </w:r>
    </w:p>
    <w:p>
      <w:pPr>
        <w:spacing w:after="200" w:line="300"/>
        <w:jc w:val="both"/>
      </w:pPr>
      <w:r>
        <w:rPr>
          <w:b w:val="false"/>
          <w:bCs w:val="false"/>
          <w:color w:val="2B2B2B"/>
          <w:sz w:val="22"/>
          <w:szCs w:val="22"/>
        </w:rPr>
        <w:t xml:space="preserve">Dado que no se contó con acceso a datos reales de una empresa para esta actividad académica, se generó de manera programática un </w:t>
      </w:r>
      <w:r>
        <w:rPr>
          <w:b w:val="false"/>
          <w:bCs w:val="false"/>
          <w:color w:val="2B2B2B"/>
          <w:sz w:val="22"/>
          <w:szCs w:val="22"/>
        </w:rPr>
        <w:t xml:space="preserve">dataset sintético pero estadísticamente realista</w:t>
      </w:r>
      <w:r>
        <w:rPr>
          <w:b w:val="false"/>
          <w:bCs w:val="false"/>
          <w:color w:val="2B2B2B"/>
          <w:sz w:val="22"/>
          <w:szCs w:val="22"/>
        </w:rPr>
        <w:t xml:space="preserve">, diseñado para reproducir el comportamiento típico de un proceso logístico con oportunidades de mejora. El conjunto de datos simula </w:t>
      </w:r>
      <w:r>
        <w:rPr>
          <w:b w:val="false"/>
          <w:bCs w:val="false"/>
          <w:color w:val="2B2B2B"/>
          <w:sz w:val="22"/>
          <w:szCs w:val="22"/>
        </w:rPr>
        <w:t xml:space="preserve">700 envíos</w:t>
      </w:r>
      <w:r>
        <w:rPr>
          <w:b w:val="false"/>
          <w:bCs w:val="false"/>
          <w:color w:val="2B2B2B"/>
          <w:sz w:val="22"/>
          <w:szCs w:val="22"/>
        </w:rPr>
        <w:t xml:space="preserve"> realizados durante un período de operación de 30 días, de los cuales </w:t>
      </w:r>
      <w:r>
        <w:rPr>
          <w:b w:val="false"/>
          <w:bCs w:val="false"/>
          <w:color w:val="2B2B2B"/>
          <w:sz w:val="22"/>
          <w:szCs w:val="22"/>
        </w:rPr>
        <w:t xml:space="preserve">261 (37.3 %)</w:t>
      </w:r>
      <w:r>
        <w:rPr>
          <w:b w:val="false"/>
          <w:bCs w:val="false"/>
          <w:color w:val="2B2B2B"/>
          <w:sz w:val="22"/>
          <w:szCs w:val="22"/>
        </w:rPr>
        <w:t xml:space="preserve"> presentaron algún tipo de retraso.</w:t>
      </w:r>
    </w:p>
    <w:p>
      <w:pPr>
        <w:spacing w:after="200" w:line="300"/>
        <w:jc w:val="both"/>
      </w:pPr>
      <w:r>
        <w:rPr>
          <w:b w:val="false"/>
          <w:bCs w:val="false"/>
          <w:color w:val="2B2B2B"/>
          <w:sz w:val="22"/>
          <w:szCs w:val="22"/>
        </w:rPr>
        <w:t xml:space="preserve">A cada envío retrasado se le asignó una causa entre 9 posibles categorías, usando pesos de probabilidad distintos y no uniformes (por ejemplo, la congestión vehicular es mucho más frecuente que una falla del sistema de rastreo). Esto es clave desde el punto de vista metodológico: un patrón 80/20 solo emerge de datos con una distribución de causas desigual, tal como ocurre en un proceso logístico real; un dataset con causas equiprobables no permitiría aplicar el principio de Pareto de forma significativa.</w:t>
      </w:r>
    </w:p>
    <w:p>
      <w:pPr>
        <w:pStyle w:val="Heading2"/>
        <w:spacing w:after="140" w:before="260"/>
      </w:pPr>
      <w:r>
        <w:rPr>
          <w:rFonts w:ascii="Cambria" w:cs="Cambria" w:eastAsia="Cambria" w:hAnsi="Cambria"/>
          <w:b/>
          <w:bCs/>
          <w:color w:val="2C5F8A"/>
          <w:sz w:val="25"/>
          <w:szCs w:val="25"/>
        </w:rPr>
        <w:t xml:space="preserve">3.1 Estructura del conjunto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shd w:fill="1E2761" w:val="clear"/>
            <w:tcMar>
              <w:top w:type="dxa" w:w="90"/>
              <w:left w:type="dxa" w:w="110"/>
              <w:bottom w:type="dxa" w:w="90"/>
              <w:right w:type="dxa" w:w="110"/>
            </w:tcMar>
            <w:vAlign w:val="center"/>
          </w:tcPr>
          <w:p>
            <w:pPr>
              <w:jc w:val="left"/>
            </w:pPr>
            <w:r>
              <w:rPr>
                <w:b/>
                <w:bCs/>
                <w:color w:val="FFFFFF"/>
                <w:sz w:val="18"/>
                <w:szCs w:val="18"/>
              </w:rPr>
              <w:t xml:space="preserve">Columna</w:t>
            </w:r>
          </w:p>
        </w:tc>
        <w:tc>
          <w:tcPr>
            <w:shd w:fill="1E2761" w:val="clear"/>
            <w:tcMar>
              <w:top w:type="dxa" w:w="90"/>
              <w:left w:type="dxa" w:w="110"/>
              <w:bottom w:type="dxa" w:w="90"/>
              <w:right w:type="dxa" w:w="110"/>
            </w:tcMar>
            <w:vAlign w:val="center"/>
          </w:tcPr>
          <w:p>
            <w:pPr>
              <w:jc w:val="left"/>
            </w:pPr>
            <w:r>
              <w:rPr>
                <w:b/>
                <w:bCs/>
                <w:color w:val="FFFFFF"/>
                <w:sz w:val="18"/>
                <w:szCs w:val="18"/>
              </w:rPr>
              <w:t xml:space="preserve">Tipo</w:t>
            </w:r>
          </w:p>
        </w:tc>
        <w:tc>
          <w:tcPr>
            <w:shd w:fill="1E2761" w:val="clear"/>
            <w:tcMar>
              <w:top w:type="dxa" w:w="90"/>
              <w:left w:type="dxa" w:w="110"/>
              <w:bottom w:type="dxa" w:w="90"/>
              <w:right w:type="dxa" w:w="110"/>
            </w:tcMar>
            <w:vAlign w:val="center"/>
          </w:tcPr>
          <w:p>
            <w:pPr>
              <w:jc w:val="left"/>
            </w:pPr>
            <w:r>
              <w:rPr>
                <w:b/>
                <w:bCs/>
                <w:color w:val="FFFFFF"/>
                <w:sz w:val="18"/>
                <w:szCs w:val="18"/>
              </w:rPr>
              <w:t xml:space="preserve">Descripción</w:t>
            </w:r>
          </w:p>
        </w:tc>
      </w:tr>
      <w:tr>
        <w:trPr>
          <w:tblHeader w:val="false"/>
        </w:trPr>
        <w:tc>
          <w:tcPr>
            <w:shd w:fill="FFFFFF" w:val="clear"/>
            <w:tcMar>
              <w:top w:type="dxa" w:w="90"/>
              <w:left w:type="dxa" w:w="110"/>
              <w:bottom w:type="dxa" w:w="90"/>
              <w:right w:type="dxa" w:w="110"/>
            </w:tcMar>
            <w:vAlign w:val="center"/>
          </w:tcPr>
          <w:p>
            <w:pPr>
              <w:jc w:val="left"/>
            </w:pPr>
            <w:r>
              <w:rPr>
                <w:b w:val="false"/>
                <w:bCs w:val="false"/>
                <w:color w:val="2B2B2B"/>
                <w:sz w:val="18"/>
                <w:szCs w:val="18"/>
              </w:rPr>
              <w:t xml:space="preserve">id_envio</w:t>
            </w:r>
          </w:p>
        </w:tc>
        <w:tc>
          <w:tcPr>
            <w:shd w:fill="FFFFFF" w:val="clear"/>
            <w:tcMar>
              <w:top w:type="dxa" w:w="90"/>
              <w:left w:type="dxa" w:w="110"/>
              <w:bottom w:type="dxa" w:w="90"/>
              <w:right w:type="dxa" w:w="110"/>
            </w:tcMar>
            <w:vAlign w:val="center"/>
          </w:tcPr>
          <w:p>
            <w:pPr>
              <w:jc w:val="left"/>
            </w:pPr>
            <w:r>
              <w:rPr>
                <w:b w:val="false"/>
                <w:bCs w:val="false"/>
                <w:color w:val="2B2B2B"/>
                <w:sz w:val="18"/>
                <w:szCs w:val="18"/>
              </w:rPr>
              <w:t xml:space="preserve">Texto</w:t>
            </w:r>
          </w:p>
        </w:tc>
        <w:tc>
          <w:tcPr>
            <w:shd w:fill="FFFFFF" w:val="clear"/>
            <w:tcMar>
              <w:top w:type="dxa" w:w="90"/>
              <w:left w:type="dxa" w:w="110"/>
              <w:bottom w:type="dxa" w:w="90"/>
              <w:right w:type="dxa" w:w="110"/>
            </w:tcMar>
            <w:vAlign w:val="center"/>
          </w:tcPr>
          <w:p>
            <w:pPr>
              <w:jc w:val="left"/>
            </w:pPr>
            <w:r>
              <w:rPr>
                <w:b w:val="false"/>
                <w:bCs w:val="false"/>
                <w:color w:val="2B2B2B"/>
                <w:sz w:val="18"/>
                <w:szCs w:val="18"/>
              </w:rPr>
              <w:t xml:space="preserve">Identificador único del envío</w:t>
            </w:r>
          </w:p>
        </w:tc>
      </w:tr>
      <w:tr>
        <w:trPr>
          <w:tblHeader w:val="false"/>
        </w:trPr>
        <w:tc>
          <w:tcPr>
            <w:shd w:fill="F2F4F7" w:val="clear"/>
            <w:tcMar>
              <w:top w:type="dxa" w:w="90"/>
              <w:left w:type="dxa" w:w="110"/>
              <w:bottom w:type="dxa" w:w="90"/>
              <w:right w:type="dxa" w:w="110"/>
            </w:tcMar>
            <w:vAlign w:val="center"/>
          </w:tcPr>
          <w:p>
            <w:pPr>
              <w:jc w:val="left"/>
            </w:pPr>
            <w:r>
              <w:rPr>
                <w:b w:val="false"/>
                <w:bCs w:val="false"/>
                <w:color w:val="2B2B2B"/>
                <w:sz w:val="18"/>
                <w:szCs w:val="18"/>
              </w:rPr>
              <w:t xml:space="preserve">fecha</w:t>
            </w:r>
          </w:p>
        </w:tc>
        <w:tc>
          <w:tcPr>
            <w:shd w:fill="F2F4F7" w:val="clear"/>
            <w:tcMar>
              <w:top w:type="dxa" w:w="90"/>
              <w:left w:type="dxa" w:w="110"/>
              <w:bottom w:type="dxa" w:w="90"/>
              <w:right w:type="dxa" w:w="110"/>
            </w:tcMar>
            <w:vAlign w:val="center"/>
          </w:tcPr>
          <w:p>
            <w:pPr>
              <w:jc w:val="left"/>
            </w:pPr>
            <w:r>
              <w:rPr>
                <w:b w:val="false"/>
                <w:bCs w:val="false"/>
                <w:color w:val="2B2B2B"/>
                <w:sz w:val="18"/>
                <w:szCs w:val="18"/>
              </w:rPr>
              <w:t xml:space="preserve">Fecha</w:t>
            </w:r>
          </w:p>
        </w:tc>
        <w:tc>
          <w:tcPr>
            <w:shd w:fill="F2F4F7" w:val="clear"/>
            <w:tcMar>
              <w:top w:type="dxa" w:w="90"/>
              <w:left w:type="dxa" w:w="110"/>
              <w:bottom w:type="dxa" w:w="90"/>
              <w:right w:type="dxa" w:w="110"/>
            </w:tcMar>
            <w:vAlign w:val="center"/>
          </w:tcPr>
          <w:p>
            <w:pPr>
              <w:jc w:val="left"/>
            </w:pPr>
            <w:r>
              <w:rPr>
                <w:b w:val="false"/>
                <w:bCs w:val="false"/>
                <w:color w:val="2B2B2B"/>
                <w:sz w:val="18"/>
                <w:szCs w:val="18"/>
              </w:rPr>
              <w:t xml:space="preserve">Fecha en la que se despachó el envío</w:t>
            </w:r>
          </w:p>
        </w:tc>
      </w:tr>
      <w:tr>
        <w:trPr>
          <w:tblHeader w:val="false"/>
        </w:trPr>
        <w:tc>
          <w:tcPr>
            <w:shd w:fill="FFFFFF" w:val="clear"/>
            <w:tcMar>
              <w:top w:type="dxa" w:w="90"/>
              <w:left w:type="dxa" w:w="110"/>
              <w:bottom w:type="dxa" w:w="90"/>
              <w:right w:type="dxa" w:w="110"/>
            </w:tcMar>
            <w:vAlign w:val="center"/>
          </w:tcPr>
          <w:p>
            <w:pPr>
              <w:jc w:val="left"/>
            </w:pPr>
            <w:r>
              <w:rPr>
                <w:b w:val="false"/>
                <w:bCs w:val="false"/>
                <w:color w:val="2B2B2B"/>
                <w:sz w:val="18"/>
                <w:szCs w:val="18"/>
              </w:rPr>
              <w:t xml:space="preserve">region</w:t>
            </w:r>
          </w:p>
        </w:tc>
        <w:tc>
          <w:tcPr>
            <w:shd w:fill="FFFFFF" w:val="clear"/>
            <w:tcMar>
              <w:top w:type="dxa" w:w="90"/>
              <w:left w:type="dxa" w:w="110"/>
              <w:bottom w:type="dxa" w:w="90"/>
              <w:right w:type="dxa" w:w="110"/>
            </w:tcMar>
            <w:vAlign w:val="center"/>
          </w:tcPr>
          <w:p>
            <w:pPr>
              <w:jc w:val="left"/>
            </w:pPr>
            <w:r>
              <w:rPr>
                <w:b w:val="false"/>
                <w:bCs w:val="false"/>
                <w:color w:val="2B2B2B"/>
                <w:sz w:val="18"/>
                <w:szCs w:val="18"/>
              </w:rPr>
              <w:t xml:space="preserve">Categórica</w:t>
            </w:r>
          </w:p>
        </w:tc>
        <w:tc>
          <w:tcPr>
            <w:shd w:fill="FFFFFF" w:val="clear"/>
            <w:tcMar>
              <w:top w:type="dxa" w:w="90"/>
              <w:left w:type="dxa" w:w="110"/>
              <w:bottom w:type="dxa" w:w="90"/>
              <w:right w:type="dxa" w:w="110"/>
            </w:tcMar>
            <w:vAlign w:val="center"/>
          </w:tcPr>
          <w:p>
            <w:pPr>
              <w:jc w:val="left"/>
            </w:pPr>
            <w:r>
              <w:rPr>
                <w:b w:val="false"/>
                <w:bCs w:val="false"/>
                <w:color w:val="2B2B2B"/>
                <w:sz w:val="18"/>
                <w:szCs w:val="18"/>
              </w:rPr>
              <w:t xml:space="preserve">Región de destino (Norte, Sur, Centro, Oriente, Occidente)</w:t>
            </w:r>
          </w:p>
        </w:tc>
      </w:tr>
      <w:tr>
        <w:trPr>
          <w:tblHeader w:val="false"/>
        </w:trPr>
        <w:tc>
          <w:tcPr>
            <w:shd w:fill="F2F4F7" w:val="clear"/>
            <w:tcMar>
              <w:top w:type="dxa" w:w="90"/>
              <w:left w:type="dxa" w:w="110"/>
              <w:bottom w:type="dxa" w:w="90"/>
              <w:right w:type="dxa" w:w="110"/>
            </w:tcMar>
            <w:vAlign w:val="center"/>
          </w:tcPr>
          <w:p>
            <w:pPr>
              <w:jc w:val="left"/>
            </w:pPr>
            <w:r>
              <w:rPr>
                <w:b w:val="false"/>
                <w:bCs w:val="false"/>
                <w:color w:val="2B2B2B"/>
                <w:sz w:val="18"/>
                <w:szCs w:val="18"/>
              </w:rPr>
              <w:t xml:space="preserve">transportador</w:t>
            </w:r>
          </w:p>
        </w:tc>
        <w:tc>
          <w:tcPr>
            <w:shd w:fill="F2F4F7" w:val="clear"/>
            <w:tcMar>
              <w:top w:type="dxa" w:w="90"/>
              <w:left w:type="dxa" w:w="110"/>
              <w:bottom w:type="dxa" w:w="90"/>
              <w:right w:type="dxa" w:w="110"/>
            </w:tcMar>
            <w:vAlign w:val="center"/>
          </w:tcPr>
          <w:p>
            <w:pPr>
              <w:jc w:val="left"/>
            </w:pPr>
            <w:r>
              <w:rPr>
                <w:b w:val="false"/>
                <w:bCs w:val="false"/>
                <w:color w:val="2B2B2B"/>
                <w:sz w:val="18"/>
                <w:szCs w:val="18"/>
              </w:rPr>
              <w:t xml:space="preserve">Categórica</w:t>
            </w:r>
          </w:p>
        </w:tc>
        <w:tc>
          <w:tcPr>
            <w:shd w:fill="F2F4F7" w:val="clear"/>
            <w:tcMar>
              <w:top w:type="dxa" w:w="90"/>
              <w:left w:type="dxa" w:w="110"/>
              <w:bottom w:type="dxa" w:w="90"/>
              <w:right w:type="dxa" w:w="110"/>
            </w:tcMar>
            <w:vAlign w:val="center"/>
          </w:tcPr>
          <w:p>
            <w:pPr>
              <w:jc w:val="left"/>
            </w:pPr>
            <w:r>
              <w:rPr>
                <w:b w:val="false"/>
                <w:bCs w:val="false"/>
                <w:color w:val="2B2B2B"/>
                <w:sz w:val="18"/>
                <w:szCs w:val="18"/>
              </w:rPr>
              <w:t xml:space="preserve">Transportador asignado al envío</w:t>
            </w:r>
          </w:p>
        </w:tc>
      </w:tr>
      <w:tr>
        <w:trPr>
          <w:tblHeader w:val="false"/>
        </w:trPr>
        <w:tc>
          <w:tcPr>
            <w:shd w:fill="FFFFFF" w:val="clear"/>
            <w:tcMar>
              <w:top w:type="dxa" w:w="90"/>
              <w:left w:type="dxa" w:w="110"/>
              <w:bottom w:type="dxa" w:w="90"/>
              <w:right w:type="dxa" w:w="110"/>
            </w:tcMar>
            <w:vAlign w:val="center"/>
          </w:tcPr>
          <w:p>
            <w:pPr>
              <w:jc w:val="left"/>
            </w:pPr>
            <w:r>
              <w:rPr>
                <w:b w:val="false"/>
                <w:bCs w:val="false"/>
                <w:color w:val="2B2B2B"/>
                <w:sz w:val="18"/>
                <w:szCs w:val="18"/>
              </w:rPr>
              <w:t xml:space="preserve">distancia_km</w:t>
            </w:r>
          </w:p>
        </w:tc>
        <w:tc>
          <w:tcPr>
            <w:shd w:fill="FFFFFF" w:val="clear"/>
            <w:tcMar>
              <w:top w:type="dxa" w:w="90"/>
              <w:left w:type="dxa" w:w="110"/>
              <w:bottom w:type="dxa" w:w="90"/>
              <w:right w:type="dxa" w:w="110"/>
            </w:tcMar>
            <w:vAlign w:val="center"/>
          </w:tcPr>
          <w:p>
            <w:pPr>
              <w:jc w:val="left"/>
            </w:pPr>
            <w:r>
              <w:rPr>
                <w:b w:val="false"/>
                <w:bCs w:val="false"/>
                <w:color w:val="2B2B2B"/>
                <w:sz w:val="18"/>
                <w:szCs w:val="18"/>
              </w:rPr>
              <w:t xml:space="preserve">Numérica</w:t>
            </w:r>
          </w:p>
        </w:tc>
        <w:tc>
          <w:tcPr>
            <w:shd w:fill="FFFFFF" w:val="clear"/>
            <w:tcMar>
              <w:top w:type="dxa" w:w="90"/>
              <w:left w:type="dxa" w:w="110"/>
              <w:bottom w:type="dxa" w:w="90"/>
              <w:right w:type="dxa" w:w="110"/>
            </w:tcMar>
            <w:vAlign w:val="center"/>
          </w:tcPr>
          <w:p>
            <w:pPr>
              <w:jc w:val="left"/>
            </w:pPr>
            <w:r>
              <w:rPr>
                <w:b w:val="false"/>
                <w:bCs w:val="false"/>
                <w:color w:val="2B2B2B"/>
                <w:sz w:val="18"/>
                <w:szCs w:val="18"/>
              </w:rPr>
              <w:t xml:space="preserve">Distancia recorrida del envío, en kilómetros</w:t>
            </w:r>
          </w:p>
        </w:tc>
      </w:tr>
      <w:tr>
        <w:trPr>
          <w:tblHeader w:val="false"/>
        </w:trPr>
        <w:tc>
          <w:tcPr>
            <w:shd w:fill="F2F4F7" w:val="clear"/>
            <w:tcMar>
              <w:top w:type="dxa" w:w="90"/>
              <w:left w:type="dxa" w:w="110"/>
              <w:bottom w:type="dxa" w:w="90"/>
              <w:right w:type="dxa" w:w="110"/>
            </w:tcMar>
            <w:vAlign w:val="center"/>
          </w:tcPr>
          <w:p>
            <w:pPr>
              <w:jc w:val="left"/>
            </w:pPr>
            <w:r>
              <w:rPr>
                <w:b w:val="false"/>
                <w:bCs w:val="false"/>
                <w:color w:val="2B2B2B"/>
                <w:sz w:val="18"/>
                <w:szCs w:val="18"/>
              </w:rPr>
              <w:t xml:space="preserve">retrasado</w:t>
            </w:r>
          </w:p>
        </w:tc>
        <w:tc>
          <w:tcPr>
            <w:shd w:fill="F2F4F7" w:val="clear"/>
            <w:tcMar>
              <w:top w:type="dxa" w:w="90"/>
              <w:left w:type="dxa" w:w="110"/>
              <w:bottom w:type="dxa" w:w="90"/>
              <w:right w:type="dxa" w:w="110"/>
            </w:tcMar>
            <w:vAlign w:val="center"/>
          </w:tcPr>
          <w:p>
            <w:pPr>
              <w:jc w:val="left"/>
            </w:pPr>
            <w:r>
              <w:rPr>
                <w:b w:val="false"/>
                <w:bCs w:val="false"/>
                <w:color w:val="2B2B2B"/>
                <w:sz w:val="18"/>
                <w:szCs w:val="18"/>
              </w:rPr>
              <w:t xml:space="preserve">Booleana</w:t>
            </w:r>
          </w:p>
        </w:tc>
        <w:tc>
          <w:tcPr>
            <w:shd w:fill="F2F4F7" w:val="clear"/>
            <w:tcMar>
              <w:top w:type="dxa" w:w="90"/>
              <w:left w:type="dxa" w:w="110"/>
              <w:bottom w:type="dxa" w:w="90"/>
              <w:right w:type="dxa" w:w="110"/>
            </w:tcMar>
            <w:vAlign w:val="center"/>
          </w:tcPr>
          <w:p>
            <w:pPr>
              <w:jc w:val="left"/>
            </w:pPr>
            <w:r>
              <w:rPr>
                <w:b w:val="false"/>
                <w:bCs w:val="false"/>
                <w:color w:val="2B2B2B"/>
                <w:sz w:val="18"/>
                <w:szCs w:val="18"/>
              </w:rPr>
              <w:t xml:space="preserve">Indica si el envío presentó retraso</w:t>
            </w:r>
          </w:p>
        </w:tc>
      </w:tr>
      <w:tr>
        <w:trPr>
          <w:tblHeader w:val="false"/>
        </w:trPr>
        <w:tc>
          <w:tcPr>
            <w:shd w:fill="FFFFFF" w:val="clear"/>
            <w:tcMar>
              <w:top w:type="dxa" w:w="90"/>
              <w:left w:type="dxa" w:w="110"/>
              <w:bottom w:type="dxa" w:w="90"/>
              <w:right w:type="dxa" w:w="110"/>
            </w:tcMar>
            <w:vAlign w:val="center"/>
          </w:tcPr>
          <w:p>
            <w:pPr>
              <w:jc w:val="left"/>
            </w:pPr>
            <w:r>
              <w:rPr>
                <w:b w:val="false"/>
                <w:bCs w:val="false"/>
                <w:color w:val="2B2B2B"/>
                <w:sz w:val="18"/>
                <w:szCs w:val="18"/>
              </w:rPr>
              <w:t xml:space="preserve">causa_retraso</w:t>
            </w:r>
          </w:p>
        </w:tc>
        <w:tc>
          <w:tcPr>
            <w:shd w:fill="FFFFFF" w:val="clear"/>
            <w:tcMar>
              <w:top w:type="dxa" w:w="90"/>
              <w:left w:type="dxa" w:w="110"/>
              <w:bottom w:type="dxa" w:w="90"/>
              <w:right w:type="dxa" w:w="110"/>
            </w:tcMar>
            <w:vAlign w:val="center"/>
          </w:tcPr>
          <w:p>
            <w:pPr>
              <w:jc w:val="left"/>
            </w:pPr>
            <w:r>
              <w:rPr>
                <w:b w:val="false"/>
                <w:bCs w:val="false"/>
                <w:color w:val="2B2B2B"/>
                <w:sz w:val="18"/>
                <w:szCs w:val="18"/>
              </w:rPr>
              <w:t xml:space="preserve">Categórica</w:t>
            </w:r>
          </w:p>
        </w:tc>
        <w:tc>
          <w:tcPr>
            <w:shd w:fill="FFFFFF" w:val="clear"/>
            <w:tcMar>
              <w:top w:type="dxa" w:w="90"/>
              <w:left w:type="dxa" w:w="110"/>
              <w:bottom w:type="dxa" w:w="90"/>
              <w:right w:type="dxa" w:w="110"/>
            </w:tcMar>
            <w:vAlign w:val="center"/>
          </w:tcPr>
          <w:p>
            <w:pPr>
              <w:jc w:val="left"/>
            </w:pPr>
            <w:r>
              <w:rPr>
                <w:b w:val="false"/>
                <w:bCs w:val="false"/>
                <w:color w:val="2B2B2B"/>
                <w:sz w:val="18"/>
                <w:szCs w:val="18"/>
              </w:rPr>
              <w:t xml:space="preserve">Causa del retraso (vacía si no hubo retraso)</w:t>
            </w:r>
          </w:p>
        </w:tc>
      </w:tr>
      <w:tr>
        <w:trPr>
          <w:tblHeader w:val="false"/>
        </w:trPr>
        <w:tc>
          <w:tcPr>
            <w:shd w:fill="F2F4F7" w:val="clear"/>
            <w:tcMar>
              <w:top w:type="dxa" w:w="90"/>
              <w:left w:type="dxa" w:w="110"/>
              <w:bottom w:type="dxa" w:w="90"/>
              <w:right w:type="dxa" w:w="110"/>
            </w:tcMar>
            <w:vAlign w:val="center"/>
          </w:tcPr>
          <w:p>
            <w:pPr>
              <w:jc w:val="left"/>
            </w:pPr>
            <w:r>
              <w:rPr>
                <w:b w:val="false"/>
                <w:bCs w:val="false"/>
                <w:color w:val="2B2B2B"/>
                <w:sz w:val="18"/>
                <w:szCs w:val="18"/>
              </w:rPr>
              <w:t xml:space="preserve">categoria_6m</w:t>
            </w:r>
          </w:p>
        </w:tc>
        <w:tc>
          <w:tcPr>
            <w:shd w:fill="F2F4F7" w:val="clear"/>
            <w:tcMar>
              <w:top w:type="dxa" w:w="90"/>
              <w:left w:type="dxa" w:w="110"/>
              <w:bottom w:type="dxa" w:w="90"/>
              <w:right w:type="dxa" w:w="110"/>
            </w:tcMar>
            <w:vAlign w:val="center"/>
          </w:tcPr>
          <w:p>
            <w:pPr>
              <w:jc w:val="left"/>
            </w:pPr>
            <w:r>
              <w:rPr>
                <w:b w:val="false"/>
                <w:bCs w:val="false"/>
                <w:color w:val="2B2B2B"/>
                <w:sz w:val="18"/>
                <w:szCs w:val="18"/>
              </w:rPr>
              <w:t xml:space="preserve">Categórica</w:t>
            </w:r>
          </w:p>
        </w:tc>
        <w:tc>
          <w:tcPr>
            <w:shd w:fill="F2F4F7" w:val="clear"/>
            <w:tcMar>
              <w:top w:type="dxa" w:w="90"/>
              <w:left w:type="dxa" w:w="110"/>
              <w:bottom w:type="dxa" w:w="90"/>
              <w:right w:type="dxa" w:w="110"/>
            </w:tcMar>
            <w:vAlign w:val="center"/>
          </w:tcPr>
          <w:p>
            <w:pPr>
              <w:jc w:val="left"/>
            </w:pPr>
            <w:r>
              <w:rPr>
                <w:b w:val="false"/>
                <w:bCs w:val="false"/>
                <w:color w:val="2B2B2B"/>
                <w:sz w:val="18"/>
                <w:szCs w:val="18"/>
              </w:rPr>
              <w:t xml:space="preserve">Categoría 6M asociada a la causa (para Ishikawa)</w:t>
            </w:r>
          </w:p>
        </w:tc>
      </w:tr>
      <w:tr>
        <w:trPr>
          <w:tblHeader w:val="false"/>
        </w:trPr>
        <w:tc>
          <w:tcPr>
            <w:shd w:fill="FFFFFF" w:val="clear"/>
            <w:tcMar>
              <w:top w:type="dxa" w:w="90"/>
              <w:left w:type="dxa" w:w="110"/>
              <w:bottom w:type="dxa" w:w="90"/>
              <w:right w:type="dxa" w:w="110"/>
            </w:tcMar>
            <w:vAlign w:val="center"/>
          </w:tcPr>
          <w:p>
            <w:pPr>
              <w:jc w:val="left"/>
            </w:pPr>
            <w:r>
              <w:rPr>
                <w:b w:val="false"/>
                <w:bCs w:val="false"/>
                <w:color w:val="2B2B2B"/>
                <w:sz w:val="18"/>
                <w:szCs w:val="18"/>
              </w:rPr>
              <w:t xml:space="preserve">tiempo_retraso_horas</w:t>
            </w:r>
          </w:p>
        </w:tc>
        <w:tc>
          <w:tcPr>
            <w:shd w:fill="FFFFFF" w:val="clear"/>
            <w:tcMar>
              <w:top w:type="dxa" w:w="90"/>
              <w:left w:type="dxa" w:w="110"/>
              <w:bottom w:type="dxa" w:w="90"/>
              <w:right w:type="dxa" w:w="110"/>
            </w:tcMar>
            <w:vAlign w:val="center"/>
          </w:tcPr>
          <w:p>
            <w:pPr>
              <w:jc w:val="left"/>
            </w:pPr>
            <w:r>
              <w:rPr>
                <w:b w:val="false"/>
                <w:bCs w:val="false"/>
                <w:color w:val="2B2B2B"/>
                <w:sz w:val="18"/>
                <w:szCs w:val="18"/>
              </w:rPr>
              <w:t xml:space="preserve">Numérica</w:t>
            </w:r>
          </w:p>
        </w:tc>
        <w:tc>
          <w:tcPr>
            <w:shd w:fill="FFFFFF" w:val="clear"/>
            <w:tcMar>
              <w:top w:type="dxa" w:w="90"/>
              <w:left w:type="dxa" w:w="110"/>
              <w:bottom w:type="dxa" w:w="90"/>
              <w:right w:type="dxa" w:w="110"/>
            </w:tcMar>
            <w:vAlign w:val="center"/>
          </w:tcPr>
          <w:p>
            <w:pPr>
              <w:jc w:val="left"/>
            </w:pPr>
            <w:r>
              <w:rPr>
                <w:b w:val="false"/>
                <w:bCs w:val="false"/>
                <w:color w:val="2B2B2B"/>
                <w:sz w:val="18"/>
                <w:szCs w:val="18"/>
              </w:rPr>
              <w:t xml:space="preserve">Horas de retraso sobre el tiempo estimado de entrega</w:t>
            </w:r>
          </w:p>
        </w:tc>
      </w:tr>
    </w:tbl>
    <w:p>
      <w:pPr>
        <w:spacing w:after="200"/>
      </w:pPr>
    </w:p>
    <w:p>
      <w:pPr>
        <w:spacing w:after="200" w:line="300"/>
        <w:jc w:val="both"/>
      </w:pPr>
      <w:r>
        <w:rPr>
          <w:b w:val="false"/>
          <w:bCs w:val="false"/>
          <w:color w:val="2B2B2B"/>
          <w:sz w:val="22"/>
          <w:szCs w:val="22"/>
        </w:rPr>
        <w:t xml:space="preserve">El dataset y su generador (quality_tools/data_loader.py) forman parte del software desarrollado para esta actividad, el cual también admite cargar un archivo CSV propio en caso de contar con datos reales de una organización.</w:t>
      </w:r>
    </w:p>
    <w:p>
      <w:pPr>
        <w:pStyle w:val="Heading1"/>
        <w:spacing w:after="180" w:before="380"/>
      </w:pPr>
      <w:r>
        <w:rPr>
          <w:rFonts w:ascii="Cambria" w:cs="Cambria" w:eastAsia="Cambria" w:hAnsi="Cambria"/>
          <w:b/>
          <w:bCs/>
          <w:color w:val="1E2761"/>
          <w:sz w:val="30"/>
          <w:szCs w:val="30"/>
        </w:rPr>
        <w:t xml:space="preserve">4. Herramienta seleccionada</w:t>
      </w:r>
    </w:p>
    <w:p>
      <w:pPr>
        <w:spacing w:after="200" w:line="300"/>
        <w:jc w:val="both"/>
      </w:pPr>
      <w:r>
        <w:rPr>
          <w:b w:val="false"/>
          <w:bCs w:val="false"/>
          <w:color w:val="2B2B2B"/>
          <w:sz w:val="22"/>
          <w:szCs w:val="22"/>
        </w:rPr>
        <w:t xml:space="preserve">La herramienta de calidad seleccionada para analizar este problema es el </w:t>
      </w:r>
      <w:r>
        <w:rPr>
          <w:b w:val="false"/>
          <w:bCs w:val="false"/>
          <w:color w:val="2B2B2B"/>
          <w:sz w:val="22"/>
          <w:szCs w:val="22"/>
        </w:rPr>
        <w:t xml:space="preserve">Diagrama de Pareto</w:t>
      </w:r>
      <w:r>
        <w:rPr>
          <w:b w:val="false"/>
          <w:bCs w:val="false"/>
          <w:color w:val="2B2B2B"/>
          <w:sz w:val="22"/>
          <w:szCs w:val="22"/>
        </w:rPr>
        <w:t xml:space="preserve">, basado en el principio 80/20 formulado por Vilfredo Pareto y popularizado en el ámbito de la calidad por Joseph Juran: en la mayoría de los problemas, un pequeño número de causas ("pocas vitales") es responsable de la mayor parte del efecto observado, mientras que un gran número de causas restantes ("muchas triviales") tiene un impacto marginal.</w:t>
      </w:r>
    </w:p>
    <w:p>
      <w:pPr>
        <w:pStyle w:val="Heading1"/>
        <w:spacing w:after="180" w:before="380"/>
      </w:pPr>
      <w:r>
        <w:rPr>
          <w:rFonts w:ascii="Cambria" w:cs="Cambria" w:eastAsia="Cambria" w:hAnsi="Cambria"/>
          <w:b/>
          <w:bCs/>
          <w:color w:val="1E2761"/>
          <w:sz w:val="30"/>
          <w:szCs w:val="30"/>
        </w:rPr>
        <w:t xml:space="preserve">5. Justificación de la selección</w:t>
      </w:r>
    </w:p>
    <w:p>
      <w:pPr>
        <w:spacing w:after="200" w:line="300"/>
        <w:jc w:val="both"/>
      </w:pPr>
      <w:r>
        <w:rPr>
          <w:b w:val="false"/>
          <w:bCs w:val="false"/>
          <w:color w:val="2B2B2B"/>
          <w:sz w:val="22"/>
          <w:szCs w:val="22"/>
        </w:rPr>
        <w:t xml:space="preserve">El diagrama de Pareto es la herramienta más adecuada como </w:t>
      </w:r>
      <w:r>
        <w:rPr>
          <w:b w:val="false"/>
          <w:bCs w:val="false"/>
          <w:color w:val="2B2B2B"/>
          <w:sz w:val="22"/>
          <w:szCs w:val="22"/>
        </w:rPr>
        <w:t xml:space="preserve">punto de partida</w:t>
      </w:r>
      <w:r>
        <w:rPr>
          <w:b w:val="false"/>
          <w:bCs w:val="false"/>
          <w:color w:val="2B2B2B"/>
          <w:sz w:val="22"/>
          <w:szCs w:val="22"/>
        </w:rPr>
        <w:t xml:space="preserve"> para este problema por las siguientes razones:</w:t>
      </w:r>
    </w:p>
    <w:p>
      <w:pPr>
        <w:pStyle w:val="ListParagraph"/>
        <w:numPr>
          <w:ilvl w:val="0"/>
          <w:numId w:val="2"/>
        </w:numPr>
        <w:spacing w:after="160" w:line="300"/>
        <w:jc w:val="both"/>
      </w:pPr>
      <w:r>
        <w:rPr>
          <w:color w:val="2B2B2B"/>
          <w:sz w:val="22"/>
          <w:szCs w:val="22"/>
        </w:rPr>
        <w:t xml:space="preserve">El problema presenta </w:t>
      </w:r>
      <w:r>
        <w:rPr>
          <w:b/>
          <w:bCs/>
          <w:color w:val="2B2B2B"/>
          <w:sz w:val="22"/>
          <w:szCs w:val="22"/>
        </w:rPr>
        <w:t xml:space="preserve">múltiples causas candidatas</w:t>
      </w:r>
      <w:r>
        <w:rPr>
          <w:color w:val="2B2B2B"/>
          <w:sz w:val="22"/>
          <w:szCs w:val="22"/>
        </w:rPr>
        <w:t xml:space="preserve"> (9 identificadas) y no existe claridad previa sobre cuáles priorizar; el Pareto está diseñado exactamente para responder esa pregunta.</w:t>
      </w:r>
    </w:p>
    <w:p>
      <w:pPr>
        <w:pStyle w:val="ListParagraph"/>
        <w:numPr>
          <w:ilvl w:val="0"/>
          <w:numId w:val="2"/>
        </w:numPr>
        <w:spacing w:after="160" w:line="300"/>
        <w:jc w:val="both"/>
      </w:pPr>
      <w:r>
        <w:rPr>
          <w:color w:val="2B2B2B"/>
          <w:sz w:val="22"/>
          <w:szCs w:val="22"/>
        </w:rPr>
        <w:t xml:space="preserve">Los recursos de mejora (tiempo, presupuesto, personal) son limitados, por lo que se requiere </w:t>
      </w:r>
      <w:r>
        <w:rPr>
          <w:b/>
          <w:bCs/>
          <w:color w:val="2B2B2B"/>
          <w:sz w:val="22"/>
          <w:szCs w:val="22"/>
        </w:rPr>
        <w:t xml:space="preserve">enfocar los esfuerzos donde generen el mayor impacto</w:t>
      </w:r>
      <w:r>
        <w:rPr>
          <w:color w:val="2B2B2B"/>
          <w:sz w:val="22"/>
          <w:szCs w:val="22"/>
        </w:rPr>
        <w:t xml:space="preserve">, en lugar de repartirlos uniformemente entre todas las causas.</w:t>
      </w:r>
    </w:p>
    <w:p>
      <w:pPr>
        <w:pStyle w:val="ListParagraph"/>
        <w:numPr>
          <w:ilvl w:val="0"/>
          <w:numId w:val="2"/>
        </w:numPr>
        <w:spacing w:after="160" w:line="300"/>
        <w:jc w:val="both"/>
      </w:pPr>
      <w:r>
        <w:rPr>
          <w:color w:val="2B2B2B"/>
          <w:sz w:val="22"/>
          <w:szCs w:val="22"/>
        </w:rPr>
        <w:t xml:space="preserve">Es una herramienta </w:t>
      </w:r>
      <w:r>
        <w:rPr>
          <w:b/>
          <w:bCs/>
          <w:color w:val="2B2B2B"/>
          <w:sz w:val="22"/>
          <w:szCs w:val="22"/>
        </w:rPr>
        <w:t xml:space="preserve">visual, cuantitativa y de fácil comunicación</w:t>
      </w:r>
      <w:r>
        <w:rPr>
          <w:color w:val="2B2B2B"/>
          <w:sz w:val="22"/>
          <w:szCs w:val="22"/>
        </w:rPr>
        <w:t xml:space="preserve"> hacia la gerencia, ya que traduce un problema complejo en una sola gráfica con una conclusión accionable.</w:t>
      </w:r>
    </w:p>
    <w:p>
      <w:pPr>
        <w:pStyle w:val="ListParagraph"/>
        <w:numPr>
          <w:ilvl w:val="0"/>
          <w:numId w:val="2"/>
        </w:numPr>
        <w:spacing w:after="160" w:line="300"/>
        <w:jc w:val="both"/>
      </w:pPr>
      <w:r>
        <w:rPr>
          <w:color w:val="2B2B2B"/>
          <w:sz w:val="22"/>
          <w:szCs w:val="22"/>
        </w:rPr>
        <w:t xml:space="preserve">Sirve como </w:t>
      </w:r>
      <w:r>
        <w:rPr>
          <w:b/>
          <w:bCs/>
          <w:color w:val="2B2B2B"/>
          <w:sz w:val="22"/>
          <w:szCs w:val="22"/>
        </w:rPr>
        <w:t xml:space="preserve">filtro previo</w:t>
      </w:r>
      <w:r>
        <w:rPr>
          <w:color w:val="2B2B2B"/>
          <w:sz w:val="22"/>
          <w:szCs w:val="22"/>
        </w:rPr>
        <w:t xml:space="preserve"> a herramientas de análisis más profundo (como el diagrama de Ishikawa), evitando invertir tiempo de investigación de causa raíz en categorías de bajo impacto.</w:t>
      </w:r>
    </w:p>
    <w:p>
      <w:pPr>
        <w:pStyle w:val="Heading1"/>
        <w:spacing w:after="180" w:before="380"/>
      </w:pPr>
      <w:r>
        <w:rPr>
          <w:rFonts w:ascii="Cambria" w:cs="Cambria" w:eastAsia="Cambria" w:hAnsi="Cambria"/>
          <w:b/>
          <w:bCs/>
          <w:color w:val="1E2761"/>
          <w:sz w:val="30"/>
          <w:szCs w:val="30"/>
        </w:rPr>
        <w:t xml:space="preserve">6. Desarrollo de la herramienta</w:t>
      </w:r>
    </w:p>
    <w:p>
      <w:pPr>
        <w:spacing w:after="200" w:line="300"/>
        <w:jc w:val="both"/>
      </w:pPr>
      <w:r>
        <w:rPr>
          <w:b w:val="false"/>
          <w:bCs w:val="false"/>
          <w:color w:val="2B2B2B"/>
          <w:sz w:val="22"/>
          <w:szCs w:val="22"/>
        </w:rPr>
        <w:t xml:space="preserve">El análisis se implementó en Python (pandas, matplotlib) dentro de un módulo dedicado (quality_tools/pareto.py, clase AnalisisPareto), ejecutado desde la línea de comandos con python main.py --tool pareto. El procedimiento seguido fue:</w:t>
      </w:r>
    </w:p>
    <w:p>
      <w:pPr>
        <w:pStyle w:val="ListParagraph"/>
        <w:numPr>
          <w:ilvl w:val="0"/>
          <w:numId w:val="3"/>
        </w:numPr>
        <w:spacing w:after="160" w:line="300"/>
        <w:jc w:val="both"/>
      </w:pPr>
      <w:r>
        <w:rPr>
          <w:color w:val="2B2B2B"/>
          <w:sz w:val="22"/>
          <w:szCs w:val="22"/>
        </w:rPr>
        <w:t xml:space="preserve">Cargar el conjunto de datos de envíos (generado o desde un CSV propio).</w:t>
      </w:r>
    </w:p>
    <w:p>
      <w:pPr>
        <w:pStyle w:val="ListParagraph"/>
        <w:numPr>
          <w:ilvl w:val="0"/>
          <w:numId w:val="3"/>
        </w:numPr>
        <w:spacing w:after="160" w:line="300"/>
        <w:jc w:val="both"/>
      </w:pPr>
      <w:r>
        <w:rPr>
          <w:color w:val="2B2B2B"/>
          <w:sz w:val="22"/>
          <w:szCs w:val="22"/>
        </w:rPr>
        <w:t xml:space="preserve">Filtrar únicamente los envíos que presentaron retraso.</w:t>
      </w:r>
    </w:p>
    <w:p>
      <w:pPr>
        <w:pStyle w:val="ListParagraph"/>
        <w:numPr>
          <w:ilvl w:val="0"/>
          <w:numId w:val="3"/>
        </w:numPr>
        <w:spacing w:after="160" w:line="300"/>
        <w:jc w:val="both"/>
      </w:pPr>
      <w:r>
        <w:rPr>
          <w:color w:val="2B2B2B"/>
          <w:sz w:val="22"/>
          <w:szCs w:val="22"/>
        </w:rPr>
        <w:t xml:space="preserve">Contar la frecuencia de ocurrencia de cada causa de retraso (value_counts).</w:t>
      </w:r>
    </w:p>
    <w:p>
      <w:pPr>
        <w:pStyle w:val="ListParagraph"/>
        <w:numPr>
          <w:ilvl w:val="0"/>
          <w:numId w:val="3"/>
        </w:numPr>
        <w:spacing w:after="160" w:line="300"/>
        <w:jc w:val="both"/>
      </w:pPr>
      <w:r>
        <w:rPr>
          <w:color w:val="2B2B2B"/>
          <w:sz w:val="22"/>
          <w:szCs w:val="22"/>
        </w:rPr>
        <w:t xml:space="preserve">Ordenar las causas de mayor a menor frecuencia.</w:t>
      </w:r>
    </w:p>
    <w:p>
      <w:pPr>
        <w:pStyle w:val="ListParagraph"/>
        <w:numPr>
          <w:ilvl w:val="0"/>
          <w:numId w:val="3"/>
        </w:numPr>
        <w:spacing w:after="160" w:line="300"/>
        <w:jc w:val="both"/>
      </w:pPr>
      <w:r>
        <w:rPr>
          <w:color w:val="2B2B2B"/>
          <w:sz w:val="22"/>
          <w:szCs w:val="22"/>
        </w:rPr>
        <w:t xml:space="preserve">Calcular el porcentaje individual y el porcentaje acumulado de cada causa.</w:t>
      </w:r>
    </w:p>
    <w:p>
      <w:pPr>
        <w:pStyle w:val="ListParagraph"/>
        <w:numPr>
          <w:ilvl w:val="0"/>
          <w:numId w:val="3"/>
        </w:numPr>
        <w:spacing w:after="160" w:line="300"/>
        <w:jc w:val="both"/>
      </w:pPr>
      <w:r>
        <w:rPr>
          <w:color w:val="2B2B2B"/>
          <w:sz w:val="22"/>
          <w:szCs w:val="22"/>
        </w:rPr>
        <w:t xml:space="preserve">Graficar las barras de frecuencia junto con la línea de porcentaje acumulado y una línea de referencia en el 80 %.</w:t>
      </w:r>
    </w:p>
    <w:p>
      <w:pPr>
        <w:pStyle w:val="ListParagraph"/>
        <w:numPr>
          <w:ilvl w:val="0"/>
          <w:numId w:val="3"/>
        </w:numPr>
        <w:spacing w:after="160" w:line="300"/>
        <w:jc w:val="both"/>
      </w:pPr>
      <w:r>
        <w:rPr>
          <w:color w:val="2B2B2B"/>
          <w:sz w:val="22"/>
          <w:szCs w:val="22"/>
        </w:rPr>
        <w:t xml:space="preserve">Identificar automáticamente las causas "vitales": las primeras causas cuyo porcentaje acumulado alcanza o supera el 80 %.</w:t>
      </w:r>
    </w:p>
    <w:p>
      <w:pPr>
        <w:pStyle w:val="ListParagraph"/>
        <w:numPr>
          <w:ilvl w:val="0"/>
          <w:numId w:val="3"/>
        </w:numPr>
        <w:spacing w:after="160" w:line="300"/>
        <w:jc w:val="both"/>
      </w:pPr>
      <w:r>
        <w:rPr>
          <w:color w:val="2B2B2B"/>
          <w:sz w:val="22"/>
          <w:szCs w:val="22"/>
        </w:rPr>
        <w:t xml:space="preserve">Generar un texto interpretativo automático con los hallazgos.</w:t>
      </w:r>
    </w:p>
    <w:p>
      <w:pPr>
        <w:pStyle w:val="Heading2"/>
        <w:spacing w:after="140" w:before="260"/>
      </w:pPr>
      <w:r>
        <w:rPr>
          <w:rFonts w:ascii="Cambria" w:cs="Cambria" w:eastAsia="Cambria" w:hAnsi="Cambria"/>
          <w:b/>
          <w:bCs/>
          <w:color w:val="2C5F8A"/>
          <w:sz w:val="25"/>
          <w:szCs w:val="25"/>
        </w:rPr>
        <w:t xml:space="preserve">6.1 Evidencia de ejecución del software</w:t>
      </w:r>
    </w:p>
    <w:p>
      <w:pPr>
        <w:spacing w:after="200" w:line="300"/>
        <w:jc w:val="both"/>
      </w:pPr>
      <w:r>
        <w:rPr>
          <w:b w:val="false"/>
          <w:bCs w:val="false"/>
          <w:color w:val="2B2B2B"/>
          <w:sz w:val="22"/>
          <w:szCs w:val="22"/>
        </w:rPr>
        <w:t xml:space="preserve">A continuación se presenta la salida real de consola obtenida al ejecutar el software sobre el conjunto de datos descrito, como evidencia de la aplicación de la herramienta: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shd w:fill="1B1F27" w:val="clear"/>
            <w:tcMar>
              <w:top w:type="dxa" w:w="200"/>
              <w:left w:type="dxa" w:w="220"/>
              <w:bottom w:type="dxa" w:w="200"/>
              <w:right w:type="dxa" w:w="220"/>
            </w:tcMar>
          </w:tcPr>
          <w:p>
            <w:pPr>
              <w:spacing w:after="40"/>
            </w:pPr>
            <w:r>
              <w:rPr>
                <w:rFonts w:ascii="Courier New" w:cs="Courier New" w:eastAsia="Courier New" w:hAnsi="Courier New"/>
                <w:color w:val="E8F8F0"/>
                <w:sz w:val="16"/>
                <w:szCs w:val="16"/>
              </w:rPr>
              <w:t xml:space="preserve">$ python main.py --tool pareto</w:t>
            </w:r>
          </w:p>
          <w:p>
            <w:pPr>
              <w:spacing w:after="40"/>
            </w:pPr>
            <w:r>
              <w:rPr>
                <w:rFonts w:ascii="Courier New" w:cs="Courier New" w:eastAsia="Courier New" w:hAnsi="Courier New"/>
                <w:color w:val="E8F8F0"/>
                <w:sz w:val="16"/>
                <w:szCs w:val="16"/>
              </w:rPr>
              <w:t xml:space="preserve"> </w:t>
            </w:r>
          </w:p>
          <w:p>
            <w:pPr>
              <w:spacing w:after="40"/>
            </w:pPr>
            <w:r>
              <w:rPr>
                <w:rFonts w:ascii="Courier New" w:cs="Courier New" w:eastAsia="Courier New" w:hAnsi="Courier New"/>
                <w:color w:val="E8F8F0"/>
                <w:sz w:val="16"/>
                <w:szCs w:val="16"/>
              </w:rPr>
              <w:t xml:space="preserve">No se especifico un CSV: generando dataset de ejemplo</w:t>
            </w:r>
          </w:p>
          <w:p>
            <w:pPr>
              <w:spacing w:after="40"/>
            </w:pPr>
            <w:r>
              <w:rPr>
                <w:rFonts w:ascii="Courier New" w:cs="Courier New" w:eastAsia="Courier New" w:hAnsi="Courier New"/>
                <w:color w:val="E8F8F0"/>
                <w:sz w:val="16"/>
                <w:szCs w:val="16"/>
              </w:rPr>
              <w:t xml:space="preserve">(retrasos en entregas de una empresa de logistica)...</w:t>
            </w:r>
          </w:p>
          <w:p>
            <w:pPr>
              <w:spacing w:after="40"/>
            </w:pPr>
            <w:r>
              <w:rPr>
                <w:rFonts w:ascii="Courier New" w:cs="Courier New" w:eastAsia="Courier New" w:hAnsi="Courier New"/>
                <w:color w:val="E8F8F0"/>
                <w:sz w:val="16"/>
                <w:szCs w:val="16"/>
              </w:rPr>
              <w:t xml:space="preserve">Dataset cargado: 700 registros.</w:t>
            </w:r>
          </w:p>
          <w:p>
            <w:pPr>
              <w:spacing w:after="40"/>
            </w:pPr>
            <w:r>
              <w:rPr>
                <w:rFonts w:ascii="Courier New" w:cs="Courier New" w:eastAsia="Courier New" w:hAnsi="Courier New"/>
                <w:color w:val="E8F8F0"/>
                <w:sz w:val="16"/>
                <w:szCs w:val="16"/>
              </w:rPr>
              <w:t xml:space="preserve"> </w:t>
            </w:r>
          </w:p>
          <w:p>
            <w:pPr>
              <w:spacing w:after="40"/>
            </w:pPr>
            <w:r>
              <w:rPr>
                <w:rFonts w:ascii="Courier New" w:cs="Courier New" w:eastAsia="Courier New" w:hAnsi="Courier New"/>
                <w:color w:val="E8F8F0"/>
                <w:sz w:val="16"/>
                <w:szCs w:val="16"/>
              </w:rPr>
              <w:t xml:space="preserve">--- Ejecutando: pareto ---</w:t>
            </w:r>
          </w:p>
          <w:p>
            <w:pPr>
              <w:spacing w:after="40"/>
            </w:pPr>
            <w:r>
              <w:rPr>
                <w:rFonts w:ascii="Courier New" w:cs="Courier New" w:eastAsia="Courier New" w:hAnsi="Courier New"/>
                <w:color w:val="E8F8F0"/>
                <w:sz w:val="16"/>
                <w:szCs w:val="16"/>
              </w:rPr>
              <w:t xml:space="preserve">Grafica de Pareto guardada en: output/graphs/pareto.png</w:t>
            </w:r>
          </w:p>
          <w:p>
            <w:pPr>
              <w:spacing w:after="40"/>
            </w:pPr>
            <w:r>
              <w:rPr>
                <w:rFonts w:ascii="Courier New" w:cs="Courier New" w:eastAsia="Courier New" w:hAnsi="Courier New"/>
                <w:color w:val="E8F8F0"/>
                <w:sz w:val="16"/>
                <w:szCs w:val="16"/>
              </w:rPr>
              <w:t xml:space="preserve">DIAGRAMA DE PARETO</w:t>
            </w:r>
          </w:p>
          <w:p>
            <w:pPr>
              <w:spacing w:after="40"/>
            </w:pPr>
            <w:r>
              <w:rPr>
                <w:rFonts w:ascii="Courier New" w:cs="Courier New" w:eastAsia="Courier New" w:hAnsi="Courier New"/>
                <w:color w:val="E8F8F0"/>
                <w:sz w:val="16"/>
                <w:szCs w:val="16"/>
              </w:rPr>
              <w:t xml:space="preserve">--------------------------------------------------</w:t>
            </w:r>
          </w:p>
          <w:p>
            <w:pPr>
              <w:spacing w:after="40"/>
            </w:pPr>
            <w:r>
              <w:rPr>
                <w:rFonts w:ascii="Courier New" w:cs="Courier New" w:eastAsia="Courier New" w:hAnsi="Courier New"/>
                <w:color w:val="E8F8F0"/>
                <w:sz w:val="16"/>
                <w:szCs w:val="16"/>
              </w:rPr>
              <w:t xml:space="preserve">Se identificaron 9 causas distintas de retraso.</w:t>
            </w:r>
          </w:p>
          <w:p>
            <w:pPr>
              <w:spacing w:after="40"/>
            </w:pPr>
            <w:r>
              <w:rPr>
                <w:rFonts w:ascii="Courier New" w:cs="Courier New" w:eastAsia="Courier New" w:hAnsi="Courier New"/>
                <w:color w:val="E8F8F0"/>
                <w:sz w:val="16"/>
                <w:szCs w:val="16"/>
              </w:rPr>
              <w:t xml:space="preserve">De estas, 5 causa(s) ('pocas vitales') concentran el</w:t>
            </w:r>
          </w:p>
          <w:p>
            <w:pPr>
              <w:spacing w:after="40"/>
            </w:pPr>
            <w:r>
              <w:rPr>
                <w:rFonts w:ascii="Courier New" w:cs="Courier New" w:eastAsia="Courier New" w:hAnsi="Courier New"/>
                <w:color w:val="E8F8F0"/>
                <w:sz w:val="16"/>
                <w:szCs w:val="16"/>
              </w:rPr>
              <w:t xml:space="preserve">85.1% de los envios retrasados:</w:t>
            </w:r>
          </w:p>
          <w:p>
            <w:pPr>
              <w:spacing w:after="40"/>
            </w:pPr>
            <w:r>
              <w:rPr>
                <w:rFonts w:ascii="Courier New" w:cs="Courier New" w:eastAsia="Courier New" w:hAnsi="Courier New"/>
                <w:color w:val="E8F8F0"/>
                <w:sz w:val="16"/>
                <w:szCs w:val="16"/>
              </w:rPr>
              <w:t xml:space="preserve">  -&gt; Trafico o congestion vial, Falta de stock en bodega,</w:t>
            </w:r>
          </w:p>
          <w:p>
            <w:pPr>
              <w:spacing w:after="40"/>
            </w:pPr>
            <w:r>
              <w:rPr>
                <w:rFonts w:ascii="Courier New" w:cs="Courier New" w:eastAsia="Courier New" w:hAnsi="Courier New"/>
                <w:color w:val="E8F8F0"/>
                <w:sz w:val="16"/>
                <w:szCs w:val="16"/>
              </w:rPr>
              <w:t xml:space="preserve">     Direccion incorrecta o incompleta, Mal etiquetado</w:t>
            </w:r>
          </w:p>
          <w:p>
            <w:pPr>
              <w:spacing w:after="40"/>
            </w:pPr>
            <w:r>
              <w:rPr>
                <w:rFonts w:ascii="Courier New" w:cs="Courier New" w:eastAsia="Courier New" w:hAnsi="Courier New"/>
                <w:color w:val="E8F8F0"/>
                <w:sz w:val="16"/>
                <w:szCs w:val="16"/>
              </w:rPr>
              <w:t xml:space="preserve">     del paquete, Retraso en aduana o documentacion</w:t>
            </w:r>
          </w:p>
          <w:p>
            <w:pPr>
              <w:spacing w:after="40"/>
            </w:pPr>
            <w:r>
              <w:rPr>
                <w:rFonts w:ascii="Courier New" w:cs="Courier New" w:eastAsia="Courier New" w:hAnsi="Courier New"/>
                <w:color w:val="E8F8F0"/>
                <w:sz w:val="16"/>
                <w:szCs w:val="16"/>
              </w:rPr>
              <w:t xml:space="preserve"> </w:t>
            </w:r>
          </w:p>
          <w:p>
            <w:pPr>
              <w:spacing w:after="40"/>
            </w:pPr>
            <w:r>
              <w:rPr>
                <w:rFonts w:ascii="Courier New" w:cs="Courier New" w:eastAsia="Courier New" w:hAnsi="Courier New"/>
                <w:color w:val="E8F8F0"/>
                <w:sz w:val="16"/>
                <w:szCs w:val="16"/>
              </w:rPr>
              <w:t xml:space="preserve">Resumen interpretativo consolidado en: output/interpretation.txt</w:t>
            </w:r>
          </w:p>
        </w:tc>
      </w:tr>
    </w:tbl>
    <w:p>
      <w:pPr>
        <w:spacing w:after="200" w:before="100"/>
        <w:jc w:val="center"/>
      </w:pPr>
      <w:r>
        <w:rPr>
          <w:i/>
          <w:iCs/>
          <w:color w:val="6B6B6B"/>
          <w:sz w:val="18"/>
          <w:szCs w:val="18"/>
        </w:rPr>
        <w:t xml:space="preserve">Figura 1. Salida de consola del software desarrollado, ejecutando el análisis de Pareto sobre el conjunto de datos.</w:t>
      </w:r>
    </w:p>
    <w:p>
      <w:r>
        <w:br w:type="page"/>
      </w:r>
    </w:p>
    <w:p>
      <w:pPr>
        <w:pStyle w:val="Heading1"/>
        <w:spacing w:after="180" w:before="380"/>
      </w:pPr>
      <w:r>
        <w:rPr>
          <w:rFonts w:ascii="Cambria" w:cs="Cambria" w:eastAsia="Cambria" w:hAnsi="Cambria"/>
          <w:b/>
          <w:bCs/>
          <w:color w:val="1E2761"/>
          <w:sz w:val="30"/>
          <w:szCs w:val="30"/>
        </w:rPr>
        <w:t xml:space="preserve">7. Resultado obtenido</w:t>
      </w:r>
    </w:p>
    <w:p>
      <w:pPr>
        <w:spacing w:after="200" w:line="300"/>
        <w:jc w:val="both"/>
      </w:pPr>
      <w:r>
        <w:rPr>
          <w:b w:val="false"/>
          <w:bCs w:val="false"/>
          <w:color w:val="2B2B2B"/>
          <w:sz w:val="22"/>
          <w:szCs w:val="22"/>
        </w:rPr>
        <w:t xml:space="preserve">La Tabla 2 resume la frecuencia, el porcentaje individual y el porcentaje acumulado de cada causa de retraso identificada, calculados directamente por el software sobre los 261 envíos retrasados: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460"/>
        <w:gridCol w:w="1800"/>
        <w:gridCol w:w="1800"/>
        <w:gridCol w:w="1800"/>
      </w:tblGrid>
      <w:tr>
        <w:trPr>
          <w:tblHeader/>
        </w:trPr>
        <w:tc>
          <w:tcPr>
            <w:shd w:fill="1E2761" w:val="clear"/>
            <w:tcMar>
              <w:top w:type="dxa" w:w="90"/>
              <w:left w:type="dxa" w:w="110"/>
              <w:bottom w:type="dxa" w:w="90"/>
              <w:right w:type="dxa" w:w="110"/>
            </w:tcMar>
            <w:vAlign w:val="center"/>
          </w:tcPr>
          <w:p>
            <w:pPr>
              <w:jc w:val="left"/>
            </w:pPr>
            <w:r>
              <w:rPr>
                <w:b/>
                <w:bCs/>
                <w:color w:val="FFFFFF"/>
                <w:sz w:val="18"/>
                <w:szCs w:val="18"/>
              </w:rPr>
              <w:t xml:space="preserve">#</w:t>
            </w:r>
          </w:p>
        </w:tc>
        <w:tc>
          <w:tcPr>
            <w:shd w:fill="1E2761" w:val="clear"/>
            <w:tcMar>
              <w:top w:type="dxa" w:w="90"/>
              <w:left w:type="dxa" w:w="110"/>
              <w:bottom w:type="dxa" w:w="90"/>
              <w:right w:type="dxa" w:w="110"/>
            </w:tcMar>
            <w:vAlign w:val="center"/>
          </w:tcPr>
          <w:p>
            <w:pPr>
              <w:jc w:val="left"/>
            </w:pPr>
            <w:r>
              <w:rPr>
                <w:b/>
                <w:bCs/>
                <w:color w:val="FFFFFF"/>
                <w:sz w:val="18"/>
                <w:szCs w:val="18"/>
              </w:rPr>
              <w:t xml:space="preserve">Causa de retraso</w:t>
            </w:r>
          </w:p>
        </w:tc>
        <w:tc>
          <w:tcPr>
            <w:shd w:fill="1E2761" w:val="clear"/>
            <w:tcMar>
              <w:top w:type="dxa" w:w="90"/>
              <w:left w:type="dxa" w:w="110"/>
              <w:bottom w:type="dxa" w:w="90"/>
              <w:right w:type="dxa" w:w="110"/>
            </w:tcMar>
            <w:vAlign w:val="center"/>
          </w:tcPr>
          <w:p>
            <w:pPr>
              <w:jc w:val="center"/>
            </w:pPr>
            <w:r>
              <w:rPr>
                <w:b/>
                <w:bCs/>
                <w:color w:val="FFFFFF"/>
                <w:sz w:val="18"/>
                <w:szCs w:val="18"/>
              </w:rPr>
              <w:t xml:space="preserve">Frecuencia</w:t>
            </w:r>
          </w:p>
        </w:tc>
        <w:tc>
          <w:tcPr>
            <w:shd w:fill="1E2761" w:val="clear"/>
            <w:tcMar>
              <w:top w:type="dxa" w:w="90"/>
              <w:left w:type="dxa" w:w="110"/>
              <w:bottom w:type="dxa" w:w="90"/>
              <w:right w:type="dxa" w:w="110"/>
            </w:tcMar>
            <w:vAlign w:val="center"/>
          </w:tcPr>
          <w:p>
            <w:pPr>
              <w:jc w:val="center"/>
            </w:pPr>
            <w:r>
              <w:rPr>
                <w:b/>
                <w:bCs/>
                <w:color w:val="FFFFFF"/>
                <w:sz w:val="18"/>
                <w:szCs w:val="18"/>
              </w:rPr>
              <w:t xml:space="preserve">% individual</w:t>
            </w:r>
          </w:p>
        </w:tc>
        <w:tc>
          <w:tcPr>
            <w:shd w:fill="1E2761" w:val="clear"/>
            <w:tcMar>
              <w:top w:type="dxa" w:w="90"/>
              <w:left w:type="dxa" w:w="110"/>
              <w:bottom w:type="dxa" w:w="90"/>
              <w:right w:type="dxa" w:w="110"/>
            </w:tcMar>
            <w:vAlign w:val="center"/>
          </w:tcPr>
          <w:p>
            <w:pPr>
              <w:jc w:val="center"/>
            </w:pPr>
            <w:r>
              <w:rPr>
                <w:b/>
                <w:bCs/>
                <w:color w:val="FFFFFF"/>
                <w:sz w:val="18"/>
                <w:szCs w:val="18"/>
              </w:rPr>
              <w:t xml:space="preserve">% acumulado</w:t>
            </w:r>
          </w:p>
        </w:tc>
      </w:tr>
      <w:tr>
        <w:trPr>
          <w:tblHeader w:val="false"/>
        </w:trPr>
        <w:tc>
          <w:tcPr>
            <w:shd w:fill="FBEAE7" w:val="clear"/>
            <w:tcMar>
              <w:top w:type="dxa" w:w="90"/>
              <w:left w:type="dxa" w:w="110"/>
              <w:bottom w:type="dxa" w:w="90"/>
              <w:right w:type="dxa" w:w="110"/>
            </w:tcMar>
            <w:vAlign w:val="center"/>
          </w:tcPr>
          <w:p>
            <w:pPr>
              <w:jc w:val="left"/>
            </w:pPr>
            <w:r>
              <w:rPr>
                <w:b w:val="false"/>
                <w:bCs w:val="false"/>
                <w:color w:val="2B2B2B"/>
                <w:sz w:val="18"/>
                <w:szCs w:val="18"/>
              </w:rPr>
              <w:t xml:space="preserve">1</w:t>
            </w:r>
          </w:p>
        </w:tc>
        <w:tc>
          <w:tcPr>
            <w:shd w:fill="FBEAE7" w:val="clear"/>
            <w:tcMar>
              <w:top w:type="dxa" w:w="90"/>
              <w:left w:type="dxa" w:w="110"/>
              <w:bottom w:type="dxa" w:w="90"/>
              <w:right w:type="dxa" w:w="110"/>
            </w:tcMar>
            <w:vAlign w:val="center"/>
          </w:tcPr>
          <w:p>
            <w:pPr>
              <w:jc w:val="left"/>
            </w:pPr>
            <w:r>
              <w:rPr>
                <w:b w:val="false"/>
                <w:bCs w:val="false"/>
                <w:color w:val="2B2B2B"/>
                <w:sz w:val="18"/>
                <w:szCs w:val="18"/>
              </w:rPr>
              <w:t xml:space="preserve">Tráfico o congestión vial</w:t>
            </w:r>
          </w:p>
        </w:tc>
        <w:tc>
          <w:tcPr>
            <w:shd w:fill="FBEAE7" w:val="clear"/>
            <w:tcMar>
              <w:top w:type="dxa" w:w="90"/>
              <w:left w:type="dxa" w:w="110"/>
              <w:bottom w:type="dxa" w:w="90"/>
              <w:right w:type="dxa" w:w="110"/>
            </w:tcMar>
            <w:vAlign w:val="center"/>
          </w:tcPr>
          <w:p>
            <w:pPr>
              <w:jc w:val="center"/>
            </w:pPr>
            <w:r>
              <w:rPr>
                <w:b w:val="false"/>
                <w:bCs w:val="false"/>
                <w:color w:val="2B2B2B"/>
                <w:sz w:val="18"/>
                <w:szCs w:val="18"/>
              </w:rPr>
              <w:t xml:space="preserve">79</w:t>
            </w:r>
          </w:p>
        </w:tc>
        <w:tc>
          <w:tcPr>
            <w:shd w:fill="FBEAE7" w:val="clear"/>
            <w:tcMar>
              <w:top w:type="dxa" w:w="90"/>
              <w:left w:type="dxa" w:w="110"/>
              <w:bottom w:type="dxa" w:w="90"/>
              <w:right w:type="dxa" w:w="110"/>
            </w:tcMar>
            <w:vAlign w:val="center"/>
          </w:tcPr>
          <w:p>
            <w:pPr>
              <w:jc w:val="center"/>
            </w:pPr>
            <w:r>
              <w:rPr>
                <w:b w:val="false"/>
                <w:bCs w:val="false"/>
                <w:color w:val="2B2B2B"/>
                <w:sz w:val="18"/>
                <w:szCs w:val="18"/>
              </w:rPr>
              <w:t xml:space="preserve">30.3 %</w:t>
            </w:r>
          </w:p>
        </w:tc>
        <w:tc>
          <w:tcPr>
            <w:shd w:fill="FBEAE7" w:val="clear"/>
            <w:tcMar>
              <w:top w:type="dxa" w:w="90"/>
              <w:left w:type="dxa" w:w="110"/>
              <w:bottom w:type="dxa" w:w="90"/>
              <w:right w:type="dxa" w:w="110"/>
            </w:tcMar>
            <w:vAlign w:val="center"/>
          </w:tcPr>
          <w:p>
            <w:pPr>
              <w:jc w:val="center"/>
            </w:pPr>
            <w:r>
              <w:rPr>
                <w:b w:val="false"/>
                <w:bCs w:val="false"/>
                <w:color w:val="2B2B2B"/>
                <w:sz w:val="18"/>
                <w:szCs w:val="18"/>
              </w:rPr>
              <w:t xml:space="preserve">30.3 %</w:t>
            </w:r>
          </w:p>
        </w:tc>
      </w:tr>
      <w:tr>
        <w:trPr>
          <w:tblHeader w:val="false"/>
        </w:trPr>
        <w:tc>
          <w:tcPr>
            <w:shd w:fill="FBEAE7" w:val="clear"/>
            <w:tcMar>
              <w:top w:type="dxa" w:w="90"/>
              <w:left w:type="dxa" w:w="110"/>
              <w:bottom w:type="dxa" w:w="90"/>
              <w:right w:type="dxa" w:w="110"/>
            </w:tcMar>
            <w:vAlign w:val="center"/>
          </w:tcPr>
          <w:p>
            <w:pPr>
              <w:jc w:val="left"/>
            </w:pPr>
            <w:r>
              <w:rPr>
                <w:b w:val="false"/>
                <w:bCs w:val="false"/>
                <w:color w:val="2B2B2B"/>
                <w:sz w:val="18"/>
                <w:szCs w:val="18"/>
              </w:rPr>
              <w:t xml:space="preserve">2</w:t>
            </w:r>
          </w:p>
        </w:tc>
        <w:tc>
          <w:tcPr>
            <w:shd w:fill="FBEAE7" w:val="clear"/>
            <w:tcMar>
              <w:top w:type="dxa" w:w="90"/>
              <w:left w:type="dxa" w:w="110"/>
              <w:bottom w:type="dxa" w:w="90"/>
              <w:right w:type="dxa" w:w="110"/>
            </w:tcMar>
            <w:vAlign w:val="center"/>
          </w:tcPr>
          <w:p>
            <w:pPr>
              <w:jc w:val="left"/>
            </w:pPr>
            <w:r>
              <w:rPr>
                <w:b w:val="false"/>
                <w:bCs w:val="false"/>
                <w:color w:val="2B2B2B"/>
                <w:sz w:val="18"/>
                <w:szCs w:val="18"/>
              </w:rPr>
              <w:t xml:space="preserve">Falta de stock en bodega</w:t>
            </w:r>
          </w:p>
        </w:tc>
        <w:tc>
          <w:tcPr>
            <w:shd w:fill="FBEAE7" w:val="clear"/>
            <w:tcMar>
              <w:top w:type="dxa" w:w="90"/>
              <w:left w:type="dxa" w:w="110"/>
              <w:bottom w:type="dxa" w:w="90"/>
              <w:right w:type="dxa" w:w="110"/>
            </w:tcMar>
            <w:vAlign w:val="center"/>
          </w:tcPr>
          <w:p>
            <w:pPr>
              <w:jc w:val="center"/>
            </w:pPr>
            <w:r>
              <w:rPr>
                <w:b w:val="false"/>
                <w:bCs w:val="false"/>
                <w:color w:val="2B2B2B"/>
                <w:sz w:val="18"/>
                <w:szCs w:val="18"/>
              </w:rPr>
              <w:t xml:space="preserve">65</w:t>
            </w:r>
          </w:p>
        </w:tc>
        <w:tc>
          <w:tcPr>
            <w:shd w:fill="FBEAE7" w:val="clear"/>
            <w:tcMar>
              <w:top w:type="dxa" w:w="90"/>
              <w:left w:type="dxa" w:w="110"/>
              <w:bottom w:type="dxa" w:w="90"/>
              <w:right w:type="dxa" w:w="110"/>
            </w:tcMar>
            <w:vAlign w:val="center"/>
          </w:tcPr>
          <w:p>
            <w:pPr>
              <w:jc w:val="center"/>
            </w:pPr>
            <w:r>
              <w:rPr>
                <w:b w:val="false"/>
                <w:bCs w:val="false"/>
                <w:color w:val="2B2B2B"/>
                <w:sz w:val="18"/>
                <w:szCs w:val="18"/>
              </w:rPr>
              <w:t xml:space="preserve">24.9 %</w:t>
            </w:r>
          </w:p>
        </w:tc>
        <w:tc>
          <w:tcPr>
            <w:shd w:fill="FBEAE7" w:val="clear"/>
            <w:tcMar>
              <w:top w:type="dxa" w:w="90"/>
              <w:left w:type="dxa" w:w="110"/>
              <w:bottom w:type="dxa" w:w="90"/>
              <w:right w:type="dxa" w:w="110"/>
            </w:tcMar>
            <w:vAlign w:val="center"/>
          </w:tcPr>
          <w:p>
            <w:pPr>
              <w:jc w:val="center"/>
            </w:pPr>
            <w:r>
              <w:rPr>
                <w:b w:val="false"/>
                <w:bCs w:val="false"/>
                <w:color w:val="2B2B2B"/>
                <w:sz w:val="18"/>
                <w:szCs w:val="18"/>
              </w:rPr>
              <w:t xml:space="preserve">55.2 %</w:t>
            </w:r>
          </w:p>
        </w:tc>
      </w:tr>
      <w:tr>
        <w:trPr>
          <w:tblHeader w:val="false"/>
        </w:trPr>
        <w:tc>
          <w:tcPr>
            <w:shd w:fill="FBEAE7" w:val="clear"/>
            <w:tcMar>
              <w:top w:type="dxa" w:w="90"/>
              <w:left w:type="dxa" w:w="110"/>
              <w:bottom w:type="dxa" w:w="90"/>
              <w:right w:type="dxa" w:w="110"/>
            </w:tcMar>
            <w:vAlign w:val="center"/>
          </w:tcPr>
          <w:p>
            <w:pPr>
              <w:jc w:val="left"/>
            </w:pPr>
            <w:r>
              <w:rPr>
                <w:b w:val="false"/>
                <w:bCs w:val="false"/>
                <w:color w:val="2B2B2B"/>
                <w:sz w:val="18"/>
                <w:szCs w:val="18"/>
              </w:rPr>
              <w:t xml:space="preserve">3</w:t>
            </w:r>
          </w:p>
        </w:tc>
        <w:tc>
          <w:tcPr>
            <w:shd w:fill="FBEAE7" w:val="clear"/>
            <w:tcMar>
              <w:top w:type="dxa" w:w="90"/>
              <w:left w:type="dxa" w:w="110"/>
              <w:bottom w:type="dxa" w:w="90"/>
              <w:right w:type="dxa" w:w="110"/>
            </w:tcMar>
            <w:vAlign w:val="center"/>
          </w:tcPr>
          <w:p>
            <w:pPr>
              <w:jc w:val="left"/>
            </w:pPr>
            <w:r>
              <w:rPr>
                <w:b w:val="false"/>
                <w:bCs w:val="false"/>
                <w:color w:val="2B2B2B"/>
                <w:sz w:val="18"/>
                <w:szCs w:val="18"/>
              </w:rPr>
              <w:t xml:space="preserve">Dirección incorrecta o incompleta</w:t>
            </w:r>
          </w:p>
        </w:tc>
        <w:tc>
          <w:tcPr>
            <w:shd w:fill="FBEAE7" w:val="clear"/>
            <w:tcMar>
              <w:top w:type="dxa" w:w="90"/>
              <w:left w:type="dxa" w:w="110"/>
              <w:bottom w:type="dxa" w:w="90"/>
              <w:right w:type="dxa" w:w="110"/>
            </w:tcMar>
            <w:vAlign w:val="center"/>
          </w:tcPr>
          <w:p>
            <w:pPr>
              <w:jc w:val="center"/>
            </w:pPr>
            <w:r>
              <w:rPr>
                <w:b w:val="false"/>
                <w:bCs w:val="false"/>
                <w:color w:val="2B2B2B"/>
                <w:sz w:val="18"/>
                <w:szCs w:val="18"/>
              </w:rPr>
              <w:t xml:space="preserve">35</w:t>
            </w:r>
          </w:p>
        </w:tc>
        <w:tc>
          <w:tcPr>
            <w:shd w:fill="FBEAE7" w:val="clear"/>
            <w:tcMar>
              <w:top w:type="dxa" w:w="90"/>
              <w:left w:type="dxa" w:w="110"/>
              <w:bottom w:type="dxa" w:w="90"/>
              <w:right w:type="dxa" w:w="110"/>
            </w:tcMar>
            <w:vAlign w:val="center"/>
          </w:tcPr>
          <w:p>
            <w:pPr>
              <w:jc w:val="center"/>
            </w:pPr>
            <w:r>
              <w:rPr>
                <w:b w:val="false"/>
                <w:bCs w:val="false"/>
                <w:color w:val="2B2B2B"/>
                <w:sz w:val="18"/>
                <w:szCs w:val="18"/>
              </w:rPr>
              <w:t xml:space="preserve">13.4 %</w:t>
            </w:r>
          </w:p>
        </w:tc>
        <w:tc>
          <w:tcPr>
            <w:shd w:fill="FBEAE7" w:val="clear"/>
            <w:tcMar>
              <w:top w:type="dxa" w:w="90"/>
              <w:left w:type="dxa" w:w="110"/>
              <w:bottom w:type="dxa" w:w="90"/>
              <w:right w:type="dxa" w:w="110"/>
            </w:tcMar>
            <w:vAlign w:val="center"/>
          </w:tcPr>
          <w:p>
            <w:pPr>
              <w:jc w:val="center"/>
            </w:pPr>
            <w:r>
              <w:rPr>
                <w:b w:val="false"/>
                <w:bCs w:val="false"/>
                <w:color w:val="2B2B2B"/>
                <w:sz w:val="18"/>
                <w:szCs w:val="18"/>
              </w:rPr>
              <w:t xml:space="preserve">68.6 %</w:t>
            </w:r>
          </w:p>
        </w:tc>
      </w:tr>
      <w:tr>
        <w:trPr>
          <w:tblHeader w:val="false"/>
        </w:trPr>
        <w:tc>
          <w:tcPr>
            <w:shd w:fill="FBEAE7" w:val="clear"/>
            <w:tcMar>
              <w:top w:type="dxa" w:w="90"/>
              <w:left w:type="dxa" w:w="110"/>
              <w:bottom w:type="dxa" w:w="90"/>
              <w:right w:type="dxa" w:w="110"/>
            </w:tcMar>
            <w:vAlign w:val="center"/>
          </w:tcPr>
          <w:p>
            <w:pPr>
              <w:jc w:val="left"/>
            </w:pPr>
            <w:r>
              <w:rPr>
                <w:b w:val="false"/>
                <w:bCs w:val="false"/>
                <w:color w:val="2B2B2B"/>
                <w:sz w:val="18"/>
                <w:szCs w:val="18"/>
              </w:rPr>
              <w:t xml:space="preserve">4</w:t>
            </w:r>
          </w:p>
        </w:tc>
        <w:tc>
          <w:tcPr>
            <w:shd w:fill="FBEAE7" w:val="clear"/>
            <w:tcMar>
              <w:top w:type="dxa" w:w="90"/>
              <w:left w:type="dxa" w:w="110"/>
              <w:bottom w:type="dxa" w:w="90"/>
              <w:right w:type="dxa" w:w="110"/>
            </w:tcMar>
            <w:vAlign w:val="center"/>
          </w:tcPr>
          <w:p>
            <w:pPr>
              <w:jc w:val="left"/>
            </w:pPr>
            <w:r>
              <w:rPr>
                <w:b w:val="false"/>
                <w:bCs w:val="false"/>
                <w:color w:val="2B2B2B"/>
                <w:sz w:val="18"/>
                <w:szCs w:val="18"/>
              </w:rPr>
              <w:t xml:space="preserve">Mal etiquetado del paquete</w:t>
            </w:r>
          </w:p>
        </w:tc>
        <w:tc>
          <w:tcPr>
            <w:shd w:fill="FBEAE7" w:val="clear"/>
            <w:tcMar>
              <w:top w:type="dxa" w:w="90"/>
              <w:left w:type="dxa" w:w="110"/>
              <w:bottom w:type="dxa" w:w="90"/>
              <w:right w:type="dxa" w:w="110"/>
            </w:tcMar>
            <w:vAlign w:val="center"/>
          </w:tcPr>
          <w:p>
            <w:pPr>
              <w:jc w:val="center"/>
            </w:pPr>
            <w:r>
              <w:rPr>
                <w:b w:val="false"/>
                <w:bCs w:val="false"/>
                <w:color w:val="2B2B2B"/>
                <w:sz w:val="18"/>
                <w:szCs w:val="18"/>
              </w:rPr>
              <w:t xml:space="preserve">24</w:t>
            </w:r>
          </w:p>
        </w:tc>
        <w:tc>
          <w:tcPr>
            <w:shd w:fill="FBEAE7" w:val="clear"/>
            <w:tcMar>
              <w:top w:type="dxa" w:w="90"/>
              <w:left w:type="dxa" w:w="110"/>
              <w:bottom w:type="dxa" w:w="90"/>
              <w:right w:type="dxa" w:w="110"/>
            </w:tcMar>
            <w:vAlign w:val="center"/>
          </w:tcPr>
          <w:p>
            <w:pPr>
              <w:jc w:val="center"/>
            </w:pPr>
            <w:r>
              <w:rPr>
                <w:b w:val="false"/>
                <w:bCs w:val="false"/>
                <w:color w:val="2B2B2B"/>
                <w:sz w:val="18"/>
                <w:szCs w:val="18"/>
              </w:rPr>
              <w:t xml:space="preserve">9.2 %</w:t>
            </w:r>
          </w:p>
        </w:tc>
        <w:tc>
          <w:tcPr>
            <w:shd w:fill="FBEAE7" w:val="clear"/>
            <w:tcMar>
              <w:top w:type="dxa" w:w="90"/>
              <w:left w:type="dxa" w:w="110"/>
              <w:bottom w:type="dxa" w:w="90"/>
              <w:right w:type="dxa" w:w="110"/>
            </w:tcMar>
            <w:vAlign w:val="center"/>
          </w:tcPr>
          <w:p>
            <w:pPr>
              <w:jc w:val="center"/>
            </w:pPr>
            <w:r>
              <w:rPr>
                <w:b w:val="false"/>
                <w:bCs w:val="false"/>
                <w:color w:val="2B2B2B"/>
                <w:sz w:val="18"/>
                <w:szCs w:val="18"/>
              </w:rPr>
              <w:t xml:space="preserve">77.8 %</w:t>
            </w:r>
          </w:p>
        </w:tc>
      </w:tr>
      <w:tr>
        <w:trPr>
          <w:tblHeader w:val="false"/>
        </w:trPr>
        <w:tc>
          <w:tcPr>
            <w:shd w:fill="FBEAE7" w:val="clear"/>
            <w:tcMar>
              <w:top w:type="dxa" w:w="90"/>
              <w:left w:type="dxa" w:w="110"/>
              <w:bottom w:type="dxa" w:w="90"/>
              <w:right w:type="dxa" w:w="110"/>
            </w:tcMar>
            <w:vAlign w:val="center"/>
          </w:tcPr>
          <w:p>
            <w:pPr>
              <w:jc w:val="left"/>
            </w:pPr>
            <w:r>
              <w:rPr>
                <w:b w:val="false"/>
                <w:bCs w:val="false"/>
                <w:color w:val="2B2B2B"/>
                <w:sz w:val="18"/>
                <w:szCs w:val="18"/>
              </w:rPr>
              <w:t xml:space="preserve">5</w:t>
            </w:r>
          </w:p>
        </w:tc>
        <w:tc>
          <w:tcPr>
            <w:shd w:fill="FBEAE7" w:val="clear"/>
            <w:tcMar>
              <w:top w:type="dxa" w:w="90"/>
              <w:left w:type="dxa" w:w="110"/>
              <w:bottom w:type="dxa" w:w="90"/>
              <w:right w:type="dxa" w:w="110"/>
            </w:tcMar>
            <w:vAlign w:val="center"/>
          </w:tcPr>
          <w:p>
            <w:pPr>
              <w:jc w:val="left"/>
            </w:pPr>
            <w:r>
              <w:rPr>
                <w:b w:val="false"/>
                <w:bCs w:val="false"/>
                <w:color w:val="2B2B2B"/>
                <w:sz w:val="18"/>
                <w:szCs w:val="18"/>
              </w:rPr>
              <w:t xml:space="preserve">Retraso en aduana o documentación</w:t>
            </w:r>
          </w:p>
        </w:tc>
        <w:tc>
          <w:tcPr>
            <w:shd w:fill="FBEAE7" w:val="clear"/>
            <w:tcMar>
              <w:top w:type="dxa" w:w="90"/>
              <w:left w:type="dxa" w:w="110"/>
              <w:bottom w:type="dxa" w:w="90"/>
              <w:right w:type="dxa" w:w="110"/>
            </w:tcMar>
            <w:vAlign w:val="center"/>
          </w:tcPr>
          <w:p>
            <w:pPr>
              <w:jc w:val="center"/>
            </w:pPr>
            <w:r>
              <w:rPr>
                <w:b w:val="false"/>
                <w:bCs w:val="false"/>
                <w:color w:val="2B2B2B"/>
                <w:sz w:val="18"/>
                <w:szCs w:val="18"/>
              </w:rPr>
              <w:t xml:space="preserve">19</w:t>
            </w:r>
          </w:p>
        </w:tc>
        <w:tc>
          <w:tcPr>
            <w:shd w:fill="FBEAE7" w:val="clear"/>
            <w:tcMar>
              <w:top w:type="dxa" w:w="90"/>
              <w:left w:type="dxa" w:w="110"/>
              <w:bottom w:type="dxa" w:w="90"/>
              <w:right w:type="dxa" w:w="110"/>
            </w:tcMar>
            <w:vAlign w:val="center"/>
          </w:tcPr>
          <w:p>
            <w:pPr>
              <w:jc w:val="center"/>
            </w:pPr>
            <w:r>
              <w:rPr>
                <w:b w:val="false"/>
                <w:bCs w:val="false"/>
                <w:color w:val="2B2B2B"/>
                <w:sz w:val="18"/>
                <w:szCs w:val="18"/>
              </w:rPr>
              <w:t xml:space="preserve">7.3 %</w:t>
            </w:r>
          </w:p>
        </w:tc>
        <w:tc>
          <w:tcPr>
            <w:shd w:fill="FBEAE7" w:val="clear"/>
            <w:tcMar>
              <w:top w:type="dxa" w:w="90"/>
              <w:left w:type="dxa" w:w="110"/>
              <w:bottom w:type="dxa" w:w="90"/>
              <w:right w:type="dxa" w:w="110"/>
            </w:tcMar>
            <w:vAlign w:val="center"/>
          </w:tcPr>
          <w:p>
            <w:pPr>
              <w:jc w:val="center"/>
            </w:pPr>
            <w:r>
              <w:rPr>
                <w:b w:val="false"/>
                <w:bCs w:val="false"/>
                <w:color w:val="2B2B2B"/>
                <w:sz w:val="18"/>
                <w:szCs w:val="18"/>
              </w:rPr>
              <w:t xml:space="preserve">85.1 %</w:t>
            </w:r>
          </w:p>
        </w:tc>
      </w:tr>
      <w:tr>
        <w:trPr>
          <w:tblHeader w:val="false"/>
        </w:trPr>
        <w:tc>
          <w:tcPr>
            <w:shd w:fill="FFFFFF" w:val="clear"/>
            <w:tcMar>
              <w:top w:type="dxa" w:w="90"/>
              <w:left w:type="dxa" w:w="110"/>
              <w:bottom w:type="dxa" w:w="90"/>
              <w:right w:type="dxa" w:w="110"/>
            </w:tcMar>
            <w:vAlign w:val="center"/>
          </w:tcPr>
          <w:p>
            <w:pPr>
              <w:jc w:val="left"/>
            </w:pPr>
            <w:r>
              <w:rPr>
                <w:b w:val="false"/>
                <w:bCs w:val="false"/>
                <w:color w:val="2B2B2B"/>
                <w:sz w:val="18"/>
                <w:szCs w:val="18"/>
              </w:rPr>
              <w:t xml:space="preserve">6</w:t>
            </w:r>
          </w:p>
        </w:tc>
        <w:tc>
          <w:tcPr>
            <w:shd w:fill="FFFFFF" w:val="clear"/>
            <w:tcMar>
              <w:top w:type="dxa" w:w="90"/>
              <w:left w:type="dxa" w:w="110"/>
              <w:bottom w:type="dxa" w:w="90"/>
              <w:right w:type="dxa" w:w="110"/>
            </w:tcMar>
            <w:vAlign w:val="center"/>
          </w:tcPr>
          <w:p>
            <w:pPr>
              <w:jc w:val="left"/>
            </w:pPr>
            <w:r>
              <w:rPr>
                <w:b w:val="false"/>
                <w:bCs w:val="false"/>
                <w:color w:val="2B2B2B"/>
                <w:sz w:val="18"/>
                <w:szCs w:val="18"/>
              </w:rPr>
              <w:t xml:space="preserve">Sobrecarga del centro de distribución</w:t>
            </w:r>
          </w:p>
        </w:tc>
        <w:tc>
          <w:tcPr>
            <w:shd w:fill="FFFFFF" w:val="clear"/>
            <w:tcMar>
              <w:top w:type="dxa" w:w="90"/>
              <w:left w:type="dxa" w:w="110"/>
              <w:bottom w:type="dxa" w:w="90"/>
              <w:right w:type="dxa" w:w="110"/>
            </w:tcMar>
            <w:vAlign w:val="center"/>
          </w:tcPr>
          <w:p>
            <w:pPr>
              <w:jc w:val="center"/>
            </w:pPr>
            <w:r>
              <w:rPr>
                <w:b w:val="false"/>
                <w:bCs w:val="false"/>
                <w:color w:val="2B2B2B"/>
                <w:sz w:val="18"/>
                <w:szCs w:val="18"/>
              </w:rPr>
              <w:t xml:space="preserve">17</w:t>
            </w:r>
          </w:p>
        </w:tc>
        <w:tc>
          <w:tcPr>
            <w:shd w:fill="FFFFFF" w:val="clear"/>
            <w:tcMar>
              <w:top w:type="dxa" w:w="90"/>
              <w:left w:type="dxa" w:w="110"/>
              <w:bottom w:type="dxa" w:w="90"/>
              <w:right w:type="dxa" w:w="110"/>
            </w:tcMar>
            <w:vAlign w:val="center"/>
          </w:tcPr>
          <w:p>
            <w:pPr>
              <w:jc w:val="center"/>
            </w:pPr>
            <w:r>
              <w:rPr>
                <w:b w:val="false"/>
                <w:bCs w:val="false"/>
                <w:color w:val="2B2B2B"/>
                <w:sz w:val="18"/>
                <w:szCs w:val="18"/>
              </w:rPr>
              <w:t xml:space="preserve">6.5 %</w:t>
            </w:r>
          </w:p>
        </w:tc>
        <w:tc>
          <w:tcPr>
            <w:shd w:fill="FFFFFF" w:val="clear"/>
            <w:tcMar>
              <w:top w:type="dxa" w:w="90"/>
              <w:left w:type="dxa" w:w="110"/>
              <w:bottom w:type="dxa" w:w="90"/>
              <w:right w:type="dxa" w:w="110"/>
            </w:tcMar>
            <w:vAlign w:val="center"/>
          </w:tcPr>
          <w:p>
            <w:pPr>
              <w:jc w:val="center"/>
            </w:pPr>
            <w:r>
              <w:rPr>
                <w:b w:val="false"/>
                <w:bCs w:val="false"/>
                <w:color w:val="2B2B2B"/>
                <w:sz w:val="18"/>
                <w:szCs w:val="18"/>
              </w:rPr>
              <w:t xml:space="preserve">91.6 %</w:t>
            </w:r>
          </w:p>
        </w:tc>
      </w:tr>
      <w:tr>
        <w:trPr>
          <w:tblHeader w:val="false"/>
        </w:trPr>
        <w:tc>
          <w:tcPr>
            <w:shd w:fill="FFFFFF" w:val="clear"/>
            <w:tcMar>
              <w:top w:type="dxa" w:w="90"/>
              <w:left w:type="dxa" w:w="110"/>
              <w:bottom w:type="dxa" w:w="90"/>
              <w:right w:type="dxa" w:w="110"/>
            </w:tcMar>
            <w:vAlign w:val="center"/>
          </w:tcPr>
          <w:p>
            <w:pPr>
              <w:jc w:val="left"/>
            </w:pPr>
            <w:r>
              <w:rPr>
                <w:b w:val="false"/>
                <w:bCs w:val="false"/>
                <w:color w:val="2B2B2B"/>
                <w:sz w:val="18"/>
                <w:szCs w:val="18"/>
              </w:rPr>
              <w:t xml:space="preserve">7</w:t>
            </w:r>
          </w:p>
        </w:tc>
        <w:tc>
          <w:tcPr>
            <w:shd w:fill="FFFFFF" w:val="clear"/>
            <w:tcMar>
              <w:top w:type="dxa" w:w="90"/>
              <w:left w:type="dxa" w:w="110"/>
              <w:bottom w:type="dxa" w:w="90"/>
              <w:right w:type="dxa" w:w="110"/>
            </w:tcMar>
            <w:vAlign w:val="center"/>
          </w:tcPr>
          <w:p>
            <w:pPr>
              <w:jc w:val="left"/>
            </w:pPr>
            <w:r>
              <w:rPr>
                <w:b w:val="false"/>
                <w:bCs w:val="false"/>
                <w:color w:val="2B2B2B"/>
                <w:sz w:val="18"/>
                <w:szCs w:val="18"/>
              </w:rPr>
              <w:t xml:space="preserve">Falla mecánica del vehículo</w:t>
            </w:r>
          </w:p>
        </w:tc>
        <w:tc>
          <w:tcPr>
            <w:shd w:fill="FFFFFF" w:val="clear"/>
            <w:tcMar>
              <w:top w:type="dxa" w:w="90"/>
              <w:left w:type="dxa" w:w="110"/>
              <w:bottom w:type="dxa" w:w="90"/>
              <w:right w:type="dxa" w:w="110"/>
            </w:tcMar>
            <w:vAlign w:val="center"/>
          </w:tcPr>
          <w:p>
            <w:pPr>
              <w:jc w:val="center"/>
            </w:pPr>
            <w:r>
              <w:rPr>
                <w:b w:val="false"/>
                <w:bCs w:val="false"/>
                <w:color w:val="2B2B2B"/>
                <w:sz w:val="18"/>
                <w:szCs w:val="18"/>
              </w:rPr>
              <w:t xml:space="preserve">9</w:t>
            </w:r>
          </w:p>
        </w:tc>
        <w:tc>
          <w:tcPr>
            <w:shd w:fill="FFFFFF" w:val="clear"/>
            <w:tcMar>
              <w:top w:type="dxa" w:w="90"/>
              <w:left w:type="dxa" w:w="110"/>
              <w:bottom w:type="dxa" w:w="90"/>
              <w:right w:type="dxa" w:w="110"/>
            </w:tcMar>
            <w:vAlign w:val="center"/>
          </w:tcPr>
          <w:p>
            <w:pPr>
              <w:jc w:val="center"/>
            </w:pPr>
            <w:r>
              <w:rPr>
                <w:b w:val="false"/>
                <w:bCs w:val="false"/>
                <w:color w:val="2B2B2B"/>
                <w:sz w:val="18"/>
                <w:szCs w:val="18"/>
              </w:rPr>
              <w:t xml:space="preserve">3.4 %</w:t>
            </w:r>
          </w:p>
        </w:tc>
        <w:tc>
          <w:tcPr>
            <w:shd w:fill="FFFFFF" w:val="clear"/>
            <w:tcMar>
              <w:top w:type="dxa" w:w="90"/>
              <w:left w:type="dxa" w:w="110"/>
              <w:bottom w:type="dxa" w:w="90"/>
              <w:right w:type="dxa" w:w="110"/>
            </w:tcMar>
            <w:vAlign w:val="center"/>
          </w:tcPr>
          <w:p>
            <w:pPr>
              <w:jc w:val="center"/>
            </w:pPr>
            <w:r>
              <w:rPr>
                <w:b w:val="false"/>
                <w:bCs w:val="false"/>
                <w:color w:val="2B2B2B"/>
                <w:sz w:val="18"/>
                <w:szCs w:val="18"/>
              </w:rPr>
              <w:t xml:space="preserve">95.0 %</w:t>
            </w:r>
          </w:p>
        </w:tc>
      </w:tr>
      <w:tr>
        <w:trPr>
          <w:tblHeader w:val="false"/>
        </w:trPr>
        <w:tc>
          <w:tcPr>
            <w:shd w:fill="FFFFFF" w:val="clear"/>
            <w:tcMar>
              <w:top w:type="dxa" w:w="90"/>
              <w:left w:type="dxa" w:w="110"/>
              <w:bottom w:type="dxa" w:w="90"/>
              <w:right w:type="dxa" w:w="110"/>
            </w:tcMar>
            <w:vAlign w:val="center"/>
          </w:tcPr>
          <w:p>
            <w:pPr>
              <w:jc w:val="left"/>
            </w:pPr>
            <w:r>
              <w:rPr>
                <w:b w:val="false"/>
                <w:bCs w:val="false"/>
                <w:color w:val="2B2B2B"/>
                <w:sz w:val="18"/>
                <w:szCs w:val="18"/>
              </w:rPr>
              <w:t xml:space="preserve">8</w:t>
            </w:r>
          </w:p>
        </w:tc>
        <w:tc>
          <w:tcPr>
            <w:shd w:fill="FFFFFF" w:val="clear"/>
            <w:tcMar>
              <w:top w:type="dxa" w:w="90"/>
              <w:left w:type="dxa" w:w="110"/>
              <w:bottom w:type="dxa" w:w="90"/>
              <w:right w:type="dxa" w:w="110"/>
            </w:tcMar>
            <w:vAlign w:val="center"/>
          </w:tcPr>
          <w:p>
            <w:pPr>
              <w:jc w:val="left"/>
            </w:pPr>
            <w:r>
              <w:rPr>
                <w:b w:val="false"/>
                <w:bCs w:val="false"/>
                <w:color w:val="2B2B2B"/>
                <w:sz w:val="18"/>
                <w:szCs w:val="18"/>
              </w:rPr>
              <w:t xml:space="preserve">Error en sistema de rastreo (GPS/WMS)</w:t>
            </w:r>
          </w:p>
        </w:tc>
        <w:tc>
          <w:tcPr>
            <w:shd w:fill="FFFFFF" w:val="clear"/>
            <w:tcMar>
              <w:top w:type="dxa" w:w="90"/>
              <w:left w:type="dxa" w:w="110"/>
              <w:bottom w:type="dxa" w:w="90"/>
              <w:right w:type="dxa" w:w="110"/>
            </w:tcMar>
            <w:vAlign w:val="center"/>
          </w:tcPr>
          <w:p>
            <w:pPr>
              <w:jc w:val="center"/>
            </w:pPr>
            <w:r>
              <w:rPr>
                <w:b w:val="false"/>
                <w:bCs w:val="false"/>
                <w:color w:val="2B2B2B"/>
                <w:sz w:val="18"/>
                <w:szCs w:val="18"/>
              </w:rPr>
              <w:t xml:space="preserve">7</w:t>
            </w:r>
          </w:p>
        </w:tc>
        <w:tc>
          <w:tcPr>
            <w:shd w:fill="FFFFFF" w:val="clear"/>
            <w:tcMar>
              <w:top w:type="dxa" w:w="90"/>
              <w:left w:type="dxa" w:w="110"/>
              <w:bottom w:type="dxa" w:w="90"/>
              <w:right w:type="dxa" w:w="110"/>
            </w:tcMar>
            <w:vAlign w:val="center"/>
          </w:tcPr>
          <w:p>
            <w:pPr>
              <w:jc w:val="center"/>
            </w:pPr>
            <w:r>
              <w:rPr>
                <w:b w:val="false"/>
                <w:bCs w:val="false"/>
                <w:color w:val="2B2B2B"/>
                <w:sz w:val="18"/>
                <w:szCs w:val="18"/>
              </w:rPr>
              <w:t xml:space="preserve">2.7 %</w:t>
            </w:r>
          </w:p>
        </w:tc>
        <w:tc>
          <w:tcPr>
            <w:shd w:fill="FFFFFF" w:val="clear"/>
            <w:tcMar>
              <w:top w:type="dxa" w:w="90"/>
              <w:left w:type="dxa" w:w="110"/>
              <w:bottom w:type="dxa" w:w="90"/>
              <w:right w:type="dxa" w:w="110"/>
            </w:tcMar>
            <w:vAlign w:val="center"/>
          </w:tcPr>
          <w:p>
            <w:pPr>
              <w:jc w:val="center"/>
            </w:pPr>
            <w:r>
              <w:rPr>
                <w:b w:val="false"/>
                <w:bCs w:val="false"/>
                <w:color w:val="2B2B2B"/>
                <w:sz w:val="18"/>
                <w:szCs w:val="18"/>
              </w:rPr>
              <w:t xml:space="preserve">97.7 %</w:t>
            </w:r>
          </w:p>
        </w:tc>
      </w:tr>
      <w:tr>
        <w:trPr>
          <w:tblHeader w:val="false"/>
        </w:trPr>
        <w:tc>
          <w:tcPr>
            <w:shd w:fill="FFFFFF" w:val="clear"/>
            <w:tcMar>
              <w:top w:type="dxa" w:w="90"/>
              <w:left w:type="dxa" w:w="110"/>
              <w:bottom w:type="dxa" w:w="90"/>
              <w:right w:type="dxa" w:w="110"/>
            </w:tcMar>
            <w:vAlign w:val="center"/>
          </w:tcPr>
          <w:p>
            <w:pPr>
              <w:jc w:val="left"/>
            </w:pPr>
            <w:r>
              <w:rPr>
                <w:b w:val="false"/>
                <w:bCs w:val="false"/>
                <w:color w:val="2B2B2B"/>
                <w:sz w:val="18"/>
                <w:szCs w:val="18"/>
              </w:rPr>
              <w:t xml:space="preserve">9</w:t>
            </w:r>
          </w:p>
        </w:tc>
        <w:tc>
          <w:tcPr>
            <w:shd w:fill="FFFFFF" w:val="clear"/>
            <w:tcMar>
              <w:top w:type="dxa" w:w="90"/>
              <w:left w:type="dxa" w:w="110"/>
              <w:bottom w:type="dxa" w:w="90"/>
              <w:right w:type="dxa" w:w="110"/>
            </w:tcMar>
            <w:vAlign w:val="center"/>
          </w:tcPr>
          <w:p>
            <w:pPr>
              <w:jc w:val="left"/>
            </w:pPr>
            <w:r>
              <w:rPr>
                <w:b w:val="false"/>
                <w:bCs w:val="false"/>
                <w:color w:val="2B2B2B"/>
                <w:sz w:val="18"/>
                <w:szCs w:val="18"/>
              </w:rPr>
              <w:t xml:space="preserve">Condiciones climáticas adversas</w:t>
            </w:r>
          </w:p>
        </w:tc>
        <w:tc>
          <w:tcPr>
            <w:shd w:fill="FFFFFF" w:val="clear"/>
            <w:tcMar>
              <w:top w:type="dxa" w:w="90"/>
              <w:left w:type="dxa" w:w="110"/>
              <w:bottom w:type="dxa" w:w="90"/>
              <w:right w:type="dxa" w:w="110"/>
            </w:tcMar>
            <w:vAlign w:val="center"/>
          </w:tcPr>
          <w:p>
            <w:pPr>
              <w:jc w:val="center"/>
            </w:pPr>
            <w:r>
              <w:rPr>
                <w:b w:val="false"/>
                <w:bCs w:val="false"/>
                <w:color w:val="2B2B2B"/>
                <w:sz w:val="18"/>
                <w:szCs w:val="18"/>
              </w:rPr>
              <w:t xml:space="preserve">6</w:t>
            </w:r>
          </w:p>
        </w:tc>
        <w:tc>
          <w:tcPr>
            <w:shd w:fill="FFFFFF" w:val="clear"/>
            <w:tcMar>
              <w:top w:type="dxa" w:w="90"/>
              <w:left w:type="dxa" w:w="110"/>
              <w:bottom w:type="dxa" w:w="90"/>
              <w:right w:type="dxa" w:w="110"/>
            </w:tcMar>
            <w:vAlign w:val="center"/>
          </w:tcPr>
          <w:p>
            <w:pPr>
              <w:jc w:val="center"/>
            </w:pPr>
            <w:r>
              <w:rPr>
                <w:b w:val="false"/>
                <w:bCs w:val="false"/>
                <w:color w:val="2B2B2B"/>
                <w:sz w:val="18"/>
                <w:szCs w:val="18"/>
              </w:rPr>
              <w:t xml:space="preserve">2.3 %</w:t>
            </w:r>
          </w:p>
        </w:tc>
        <w:tc>
          <w:tcPr>
            <w:shd w:fill="FFFFFF" w:val="clear"/>
            <w:tcMar>
              <w:top w:type="dxa" w:w="90"/>
              <w:left w:type="dxa" w:w="110"/>
              <w:bottom w:type="dxa" w:w="90"/>
              <w:right w:type="dxa" w:w="110"/>
            </w:tcMar>
            <w:vAlign w:val="center"/>
          </w:tcPr>
          <w:p>
            <w:pPr>
              <w:jc w:val="center"/>
            </w:pPr>
            <w:r>
              <w:rPr>
                <w:b w:val="false"/>
                <w:bCs w:val="false"/>
                <w:color w:val="2B2B2B"/>
                <w:sz w:val="18"/>
                <w:szCs w:val="18"/>
              </w:rPr>
              <w:t xml:space="preserve">100.0 %</w:t>
            </w:r>
          </w:p>
        </w:tc>
      </w:tr>
    </w:tbl>
    <w:p>
      <w:pPr>
        <w:spacing w:after="200" w:before="100"/>
        <w:jc w:val="center"/>
      </w:pPr>
      <w:r>
        <w:rPr>
          <w:i/>
          <w:iCs/>
          <w:color w:val="6B6B6B"/>
          <w:sz w:val="18"/>
          <w:szCs w:val="18"/>
        </w:rPr>
        <w:t xml:space="preserve">Tabla 2. Causas de retraso ordenadas de mayor a menor frecuencia. Las filas resaltadas corresponden a las causas "vitales" (acumulan el 85.1 % del total). Fuente: elaboración propia con el software desarrollado.</w:t>
      </w:r>
    </w:p>
    <w:p>
      <w:pPr>
        <w:spacing w:after="80" w:before="100"/>
        <w:jc w:val="center"/>
      </w:pPr>
      <w:r>
        <w:drawing>
          <wp:inline distT="0" distB="0" distL="0" distR="0">
            <wp:extent cx="5524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429000"/>
                    </a:xfrm>
                    <a:prstGeom prst="rect">
                      <a:avLst/>
                    </a:prstGeom>
                  </pic:spPr>
                </pic:pic>
              </a:graphicData>
            </a:graphic>
          </wp:inline>
        </w:drawing>
      </w:r>
    </w:p>
    <w:p>
      <w:pPr>
        <w:spacing w:after="200"/>
        <w:jc w:val="center"/>
      </w:pPr>
      <w:r>
        <w:rPr>
          <w:i/>
          <w:iCs/>
          <w:color w:val="6B6B6B"/>
          <w:sz w:val="18"/>
          <w:szCs w:val="18"/>
        </w:rPr>
        <w:t xml:space="preserve">Figura 2. Diagrama de Pareto generado por el software (barras de frecuencia + porcentaje acumulado, línea de corte en 80 %).</w:t>
      </w:r>
    </w:p>
    <w:p>
      <w:pPr>
        <w:pStyle w:val="Heading1"/>
        <w:spacing w:after="180" w:before="380"/>
      </w:pPr>
      <w:r>
        <w:rPr>
          <w:rFonts w:ascii="Cambria" w:cs="Cambria" w:eastAsia="Cambria" w:hAnsi="Cambria"/>
          <w:b/>
          <w:bCs/>
          <w:color w:val="1E2761"/>
          <w:sz w:val="30"/>
          <w:szCs w:val="30"/>
        </w:rPr>
        <w:t xml:space="preserve">8. Interpretación de los resultados</w:t>
      </w:r>
    </w:p>
    <w:p>
      <w:pPr>
        <w:spacing w:after="200" w:line="300"/>
        <w:jc w:val="both"/>
      </w:pPr>
      <w:r>
        <w:rPr>
          <w:b w:val="false"/>
          <w:bCs w:val="false"/>
          <w:color w:val="2B2B2B"/>
          <w:sz w:val="22"/>
          <w:szCs w:val="22"/>
        </w:rPr>
        <w:t xml:space="preserve">El diagrama muestra un patrón de Pareto muy marcado: de las </w:t>
      </w:r>
      <w:r>
        <w:rPr>
          <w:b w:val="false"/>
          <w:bCs w:val="false"/>
          <w:color w:val="2B2B2B"/>
          <w:sz w:val="22"/>
          <w:szCs w:val="22"/>
        </w:rPr>
        <w:t xml:space="preserve">9 causas</w:t>
      </w:r>
      <w:r>
        <w:rPr>
          <w:b w:val="false"/>
          <w:bCs w:val="false"/>
          <w:color w:val="2B2B2B"/>
          <w:sz w:val="22"/>
          <w:szCs w:val="22"/>
        </w:rPr>
        <w:t xml:space="preserve"> identificadas, solo </w:t>
      </w:r>
      <w:r>
        <w:rPr>
          <w:b w:val="false"/>
          <w:bCs w:val="false"/>
          <w:color w:val="2B2B2B"/>
          <w:sz w:val="22"/>
          <w:szCs w:val="22"/>
        </w:rPr>
        <w:t xml:space="preserve">5</w:t>
      </w:r>
      <w:r>
        <w:rPr>
          <w:b w:val="false"/>
          <w:bCs w:val="false"/>
          <w:color w:val="2B2B2B"/>
          <w:sz w:val="22"/>
          <w:szCs w:val="22"/>
        </w:rPr>
        <w:t xml:space="preserve"> concentran el </w:t>
      </w:r>
      <w:r>
        <w:rPr>
          <w:b w:val="false"/>
          <w:bCs w:val="false"/>
          <w:color w:val="2B2B2B"/>
          <w:sz w:val="22"/>
          <w:szCs w:val="22"/>
        </w:rPr>
        <w:t xml:space="preserve">85.1 %</w:t>
      </w:r>
      <w:r>
        <w:rPr>
          <w:b w:val="false"/>
          <w:bCs w:val="false"/>
          <w:color w:val="2B2B2B"/>
          <w:sz w:val="22"/>
          <w:szCs w:val="22"/>
        </w:rPr>
        <w:t xml:space="preserve"> de los envíos retrasados. Estas cinco causas "vitales" son, en orden de impacto: tráfico o congestión vial (30.3 %), falta de stock en bodega (24.9 %), dirección incorrecta o incompleta (13.4 %), mal etiquetado del paquete (9.2 %) y retraso en aduana o documentación (7.3 %).</w:t>
      </w:r>
    </w:p>
    <w:p>
      <w:pPr>
        <w:spacing w:after="200" w:line="300"/>
        <w:jc w:val="both"/>
      </w:pPr>
      <w:r>
        <w:rPr>
          <w:b w:val="false"/>
          <w:bCs w:val="false"/>
          <w:color w:val="2B2B2B"/>
          <w:sz w:val="22"/>
          <w:szCs w:val="22"/>
        </w:rPr>
        <w:t xml:space="preserve">Dos hallazgos son particularmente relevantes para la toma de decisiones:</w:t>
      </w:r>
    </w:p>
    <w:p>
      <w:pPr>
        <w:pStyle w:val="ListParagraph"/>
        <w:numPr>
          <w:ilvl w:val="0"/>
          <w:numId w:val="2"/>
        </w:numPr>
        <w:spacing w:after="160" w:line="300"/>
        <w:jc w:val="both"/>
      </w:pPr>
      <w:r>
        <w:rPr>
          <w:color w:val="2B2B2B"/>
          <w:sz w:val="22"/>
          <w:szCs w:val="22"/>
        </w:rPr>
        <w:t xml:space="preserve">Las </w:t>
      </w:r>
      <w:r>
        <w:rPr>
          <w:b/>
          <w:bCs/>
          <w:color w:val="2B2B2B"/>
          <w:sz w:val="22"/>
          <w:szCs w:val="22"/>
        </w:rPr>
        <w:t xml:space="preserve">dos primeras causas</w:t>
      </w:r>
      <w:r>
        <w:rPr>
          <w:color w:val="2B2B2B"/>
          <w:sz w:val="22"/>
          <w:szCs w:val="22"/>
        </w:rPr>
        <w:t xml:space="preserve"> (tráfico y falta de stock) ya representan por sí solas más de la mitad del problema (55.2 %). Una intervención dirigida específicamente a estas dos causas tendría, en teoría, un impacto mayor que cualquier iniciativa genérica que abarque las nueve causas por igual.</w:t>
      </w:r>
    </w:p>
    <w:p>
      <w:pPr>
        <w:pStyle w:val="ListParagraph"/>
        <w:numPr>
          <w:ilvl w:val="0"/>
          <w:numId w:val="2"/>
        </w:numPr>
        <w:spacing w:after="160" w:line="300"/>
        <w:jc w:val="both"/>
      </w:pPr>
      <w:r>
        <w:rPr>
          <w:color w:val="2B2B2B"/>
          <w:sz w:val="22"/>
          <w:szCs w:val="22"/>
        </w:rPr>
        <w:t xml:space="preserve">Las </w:t>
      </w:r>
      <w:r>
        <w:rPr>
          <w:b/>
          <w:bCs/>
          <w:color w:val="2B2B2B"/>
          <w:sz w:val="22"/>
          <w:szCs w:val="22"/>
        </w:rPr>
        <w:t xml:space="preserve">cuatro causas restantes</w:t>
      </w:r>
      <w:r>
        <w:rPr>
          <w:color w:val="2B2B2B"/>
          <w:sz w:val="22"/>
          <w:szCs w:val="22"/>
        </w:rPr>
        <w:t xml:space="preserve"> (sobrecarga del centro de distribución, falla mecánica, error de rastreo y clima) suman apenas 14.9 % del total: son las "muchas triviales" que, de momento, no deberían absorber recursos prioritarios de mejora.</w:t>
      </w:r>
    </w:p>
    <w:p>
      <w:pPr>
        <w:spacing w:after="200" w:line="300"/>
        <w:jc w:val="both"/>
      </w:pPr>
      <w:r>
        <w:rPr>
          <w:b w:val="false"/>
          <w:bCs w:val="false"/>
          <w:color w:val="2B2B2B"/>
          <w:sz w:val="22"/>
          <w:szCs w:val="22"/>
        </w:rPr>
        <w:t xml:space="preserve">Es importante señalar que el diagrama de Pareto identifica </w:t>
      </w:r>
      <w:r>
        <w:rPr>
          <w:b w:val="false"/>
          <w:bCs w:val="false"/>
          <w:i/>
          <w:iCs/>
          <w:color w:val="2B2B2B"/>
          <w:sz w:val="22"/>
          <w:szCs w:val="22"/>
        </w:rPr>
        <w:t xml:space="preserve">dónde</w:t>
      </w:r>
      <w:r>
        <w:rPr>
          <w:b w:val="false"/>
          <w:bCs w:val="false"/>
          <w:color w:val="2B2B2B"/>
          <w:sz w:val="22"/>
          <w:szCs w:val="22"/>
        </w:rPr>
        <w:t xml:space="preserve"> se concentra el problema, pero no explica </w:t>
      </w:r>
      <w:r>
        <w:rPr>
          <w:b w:val="false"/>
          <w:bCs w:val="false"/>
          <w:i/>
          <w:iCs/>
          <w:color w:val="2B2B2B"/>
          <w:sz w:val="22"/>
          <w:szCs w:val="22"/>
        </w:rPr>
        <w:t xml:space="preserve">por qué</w:t>
      </w:r>
      <w:r>
        <w:rPr>
          <w:b w:val="false"/>
          <w:bCs w:val="false"/>
          <w:color w:val="2B2B2B"/>
          <w:sz w:val="22"/>
          <w:szCs w:val="22"/>
        </w:rPr>
        <w:t xml:space="preserve"> ocurre cada causa; para profundizar en las causas raíz de "tráfico" o "falta de stock" sería recomendable complementar este análisis con un diagrama de Ishikawa, herramienta que el mismo software implementado también soporta.</w:t>
      </w:r>
    </w:p>
    <w:p>
      <w:pPr>
        <w:pStyle w:val="Heading1"/>
        <w:spacing w:after="180" w:before="380"/>
      </w:pPr>
      <w:r>
        <w:rPr>
          <w:rFonts w:ascii="Cambria" w:cs="Cambria" w:eastAsia="Cambria" w:hAnsi="Cambria"/>
          <w:b/>
          <w:bCs/>
          <w:color w:val="1E2761"/>
          <w:sz w:val="30"/>
          <w:szCs w:val="30"/>
        </w:rPr>
        <w:t xml:space="preserve">9. Propuesta de mejora</w:t>
      </w:r>
    </w:p>
    <w:p>
      <w:pPr>
        <w:spacing w:after="200" w:line="300"/>
        <w:jc w:val="both"/>
      </w:pPr>
      <w:r>
        <w:rPr>
          <w:b w:val="false"/>
          <w:bCs w:val="false"/>
          <w:color w:val="2B2B2B"/>
          <w:sz w:val="22"/>
          <w:szCs w:val="22"/>
        </w:rPr>
        <w:t xml:space="preserve">Con base en las causas vitales identificadas, se propone un plan de acción focalizado, priorizado según el ciclo PHVA (Planear–Hacer–Verificar–Actuar):</w:t>
      </w:r>
    </w:p>
    <w:p>
      <w:pPr>
        <w:pStyle w:val="ListParagraph"/>
        <w:numPr>
          <w:ilvl w:val="0"/>
          <w:numId w:val="2"/>
        </w:numPr>
        <w:spacing w:after="160" w:line="300"/>
        <w:jc w:val="both"/>
      </w:pPr>
      <w:r>
        <w:rPr>
          <w:b/>
          <w:bCs/>
          <w:color w:val="2B2B2B"/>
          <w:sz w:val="22"/>
          <w:szCs w:val="22"/>
        </w:rPr>
        <w:t xml:space="preserve">Tráfico o congestión vial (30.3 %):</w:t>
      </w:r>
      <w:r>
        <w:rPr>
          <w:color w:val="2B2B2B"/>
          <w:sz w:val="22"/>
          <w:szCs w:val="22"/>
        </w:rPr>
        <w:t xml:space="preserve"> Optimizar rutas de entrega con herramientas de ruteo que consideren tráfico en tiempo real, y ajustar horarios de despacho para evitar franjas de máxima congestión.</w:t>
      </w:r>
    </w:p>
    <w:p>
      <w:pPr>
        <w:pStyle w:val="ListParagraph"/>
        <w:numPr>
          <w:ilvl w:val="0"/>
          <w:numId w:val="2"/>
        </w:numPr>
        <w:spacing w:after="160" w:line="300"/>
        <w:jc w:val="both"/>
      </w:pPr>
      <w:r>
        <w:rPr>
          <w:b/>
          <w:bCs/>
          <w:color w:val="2B2B2B"/>
          <w:sz w:val="22"/>
          <w:szCs w:val="22"/>
        </w:rPr>
        <w:t xml:space="preserve">Falta de stock en bodega (24.9 %):</w:t>
      </w:r>
      <w:r>
        <w:rPr>
          <w:color w:val="2B2B2B"/>
          <w:sz w:val="22"/>
          <w:szCs w:val="22"/>
        </w:rPr>
        <w:t xml:space="preserve"> Mejorar el pronóstico de demanda y los puntos de reorden del inventario; establecer alertas tempranas de quiebre de stock antes de comprometer fechas de entrega con el cliente.</w:t>
      </w:r>
    </w:p>
    <w:p>
      <w:pPr>
        <w:pStyle w:val="ListParagraph"/>
        <w:numPr>
          <w:ilvl w:val="0"/>
          <w:numId w:val="2"/>
        </w:numPr>
        <w:spacing w:after="160" w:line="300"/>
        <w:jc w:val="both"/>
      </w:pPr>
      <w:r>
        <w:rPr>
          <w:b/>
          <w:bCs/>
          <w:color w:val="2B2B2B"/>
          <w:sz w:val="22"/>
          <w:szCs w:val="22"/>
        </w:rPr>
        <w:t xml:space="preserve">Dirección incorrecta o incompleta (13.4 %):</w:t>
      </w:r>
      <w:r>
        <w:rPr>
          <w:color w:val="2B2B2B"/>
          <w:sz w:val="22"/>
          <w:szCs w:val="22"/>
        </w:rPr>
        <w:t xml:space="preserve"> Incorporar validación automática de direcciones en el checkout (por ejemplo, autocompletado con geolocalización) y una doble verificación telefónica para envíos de alto valor.</w:t>
      </w:r>
    </w:p>
    <w:p>
      <w:pPr>
        <w:pStyle w:val="ListParagraph"/>
        <w:numPr>
          <w:ilvl w:val="0"/>
          <w:numId w:val="2"/>
        </w:numPr>
        <w:spacing w:after="160" w:line="300"/>
        <w:jc w:val="both"/>
      </w:pPr>
      <w:r>
        <w:rPr>
          <w:b/>
          <w:bCs/>
          <w:color w:val="2B2B2B"/>
          <w:sz w:val="22"/>
          <w:szCs w:val="22"/>
        </w:rPr>
        <w:t xml:space="preserve">Mal etiquetado del paquete (9.2 %):</w:t>
      </w:r>
      <w:r>
        <w:rPr>
          <w:color w:val="2B2B2B"/>
          <w:sz w:val="22"/>
          <w:szCs w:val="22"/>
        </w:rPr>
        <w:t xml:space="preserve"> Reforzar la capacitación del personal de picking y embalaje, e introducir un control de calidad (código de barras/escaneo) antes de despachar cada paquete.</w:t>
      </w:r>
    </w:p>
    <w:p>
      <w:pPr>
        <w:pStyle w:val="ListParagraph"/>
        <w:numPr>
          <w:ilvl w:val="0"/>
          <w:numId w:val="2"/>
        </w:numPr>
        <w:spacing w:after="160" w:line="300"/>
        <w:jc w:val="both"/>
      </w:pPr>
      <w:r>
        <w:rPr>
          <w:b/>
          <w:bCs/>
          <w:color w:val="2B2B2B"/>
          <w:sz w:val="22"/>
          <w:szCs w:val="22"/>
        </w:rPr>
        <w:t xml:space="preserve">Retraso en aduana o documentación (7.3 %):</w:t>
      </w:r>
      <w:r>
        <w:rPr>
          <w:color w:val="2B2B2B"/>
          <w:sz w:val="22"/>
          <w:szCs w:val="22"/>
        </w:rPr>
        <w:t xml:space="preserve"> Anticipar y digitalizar la gestión documental de envíos internacionales o interdepartamentales, presentando la documentación antes de que el paquete llegue al punto de control.</w:t>
      </w:r>
    </w:p>
    <w:p>
      <w:pPr>
        <w:spacing w:after="200" w:line="300"/>
        <w:jc w:val="both"/>
      </w:pPr>
      <w:r>
        <w:rPr>
          <w:b w:val="false"/>
          <w:bCs w:val="false"/>
          <w:color w:val="2B2B2B"/>
          <w:sz w:val="22"/>
          <w:szCs w:val="22"/>
        </w:rPr>
        <w:t xml:space="preserve">Finalmente, se recomienda repetir este análisis de Pareto de forma periódica (por ejemplo, mensual) una vez implementadas las acciones correctivas, para verificar si las causas vitales pierden peso relativo frente a las demás y así cerrar el ciclo de mejora continua.</w:t>
      </w:r>
    </w:p>
    <w:p>
      <w:pPr>
        <w:pStyle w:val="Heading1"/>
        <w:spacing w:after="180" w:before="380"/>
      </w:pPr>
      <w:r>
        <w:rPr>
          <w:rFonts w:ascii="Cambria" w:cs="Cambria" w:eastAsia="Cambria" w:hAnsi="Cambria"/>
          <w:b/>
          <w:bCs/>
          <w:color w:val="1E2761"/>
          <w:sz w:val="30"/>
          <w:szCs w:val="30"/>
        </w:rPr>
        <w:t xml:space="preserve">10. Conclusiones</w:t>
      </w:r>
    </w:p>
    <w:p>
      <w:pPr>
        <w:pStyle w:val="ListParagraph"/>
        <w:numPr>
          <w:ilvl w:val="0"/>
          <w:numId w:val="2"/>
        </w:numPr>
        <w:spacing w:after="160" w:line="300"/>
        <w:jc w:val="both"/>
      </w:pPr>
      <w:r>
        <w:rPr>
          <w:color w:val="2B2B2B"/>
          <w:sz w:val="22"/>
          <w:szCs w:val="22"/>
        </w:rPr>
        <w:t xml:space="preserve">El diagrama de Pareto permitió transformar una lista de nueve causas posibles de retraso en una prioridad clara y accionable: dos causas (tráfico y falta de stock) explican más de la mitad del problema.</w:t>
      </w:r>
    </w:p>
    <w:p>
      <w:pPr>
        <w:pStyle w:val="ListParagraph"/>
        <w:numPr>
          <w:ilvl w:val="0"/>
          <w:numId w:val="2"/>
        </w:numPr>
        <w:spacing w:after="160" w:line="300"/>
        <w:jc w:val="both"/>
      </w:pPr>
      <w:r>
        <w:rPr>
          <w:color w:val="2B2B2B"/>
          <w:sz w:val="22"/>
          <w:szCs w:val="22"/>
        </w:rPr>
        <w:t xml:space="preserve">Automatizar el cálculo y la graficación con Python garantiza que el análisis sea reproducible y fácilmente actualizable a medida que se recolecten nuevos datos de operación.</w:t>
      </w:r>
    </w:p>
    <w:p>
      <w:pPr>
        <w:pStyle w:val="ListParagraph"/>
        <w:numPr>
          <w:ilvl w:val="0"/>
          <w:numId w:val="2"/>
        </w:numPr>
        <w:spacing w:after="160" w:line="300"/>
        <w:jc w:val="both"/>
      </w:pPr>
      <w:r>
        <w:rPr>
          <w:color w:val="2B2B2B"/>
          <w:sz w:val="22"/>
          <w:szCs w:val="22"/>
        </w:rPr>
        <w:t xml:space="preserve">La regla 80/20 se cumplió de forma consistente con la teoría: un subconjunto reducido de causas (5 de 9) concentra la gran mayoría (85.1 %) del efecto observado.</w:t>
      </w:r>
    </w:p>
    <w:p>
      <w:pPr>
        <w:pStyle w:val="ListParagraph"/>
        <w:numPr>
          <w:ilvl w:val="0"/>
          <w:numId w:val="2"/>
        </w:numPr>
        <w:spacing w:after="160" w:line="300"/>
        <w:jc w:val="both"/>
      </w:pPr>
      <w:r>
        <w:rPr>
          <w:color w:val="2B2B2B"/>
          <w:sz w:val="22"/>
          <w:szCs w:val="22"/>
        </w:rPr>
        <w:t xml:space="preserve">El Pareto es un excelente punto de partida, pero debe complementarse con herramientas de análisis de causa raíz (Ishikawa) y de seguimiento en el tiempo (gráfico de control) para sostener la mejora, ambas ya disponibles en el software desarrollado para esta actividad.</w:t>
      </w:r>
    </w:p>
    <w:p>
      <w:pPr>
        <w:pStyle w:val="Heading1"/>
        <w:spacing w:after="180" w:before="380"/>
      </w:pPr>
      <w:r>
        <w:rPr>
          <w:rFonts w:ascii="Cambria" w:cs="Cambria" w:eastAsia="Cambria" w:hAnsi="Cambria"/>
          <w:b/>
          <w:bCs/>
          <w:color w:val="1E2761"/>
          <w:sz w:val="30"/>
          <w:szCs w:val="30"/>
        </w:rPr>
        <w:t xml:space="preserve">11. Referencias bibliográficas</w:t>
      </w:r>
    </w:p>
    <w:p>
      <w:pPr>
        <w:pStyle w:val="ListParagraph"/>
        <w:numPr>
          <w:ilvl w:val="0"/>
          <w:numId w:val="2"/>
        </w:numPr>
        <w:spacing w:after="160" w:line="300"/>
        <w:jc w:val="both"/>
      </w:pPr>
      <w:r>
        <w:rPr>
          <w:color w:val="2B2B2B"/>
          <w:sz w:val="22"/>
          <w:szCs w:val="22"/>
        </w:rPr>
        <w:t xml:space="preserve">Gutiérrez Pulido, H. (2010). </w:t>
      </w:r>
      <w:r>
        <w:rPr>
          <w:i/>
          <w:iCs/>
          <w:color w:val="2B2B2B"/>
          <w:sz w:val="22"/>
          <w:szCs w:val="22"/>
        </w:rPr>
        <w:t xml:space="preserve">Calidad total y productividad</w:t>
      </w:r>
      <w:r>
        <w:rPr>
          <w:color w:val="2B2B2B"/>
          <w:sz w:val="22"/>
          <w:szCs w:val="22"/>
        </w:rPr>
        <w:t xml:space="preserve"> (3.ª ed.). McGraw-Hill.</w:t>
      </w:r>
    </w:p>
    <w:p>
      <w:pPr>
        <w:pStyle w:val="ListParagraph"/>
        <w:numPr>
          <w:ilvl w:val="0"/>
          <w:numId w:val="2"/>
        </w:numPr>
        <w:spacing w:after="160" w:line="300"/>
        <w:jc w:val="both"/>
      </w:pPr>
      <w:r>
        <w:rPr>
          <w:color w:val="2B2B2B"/>
          <w:sz w:val="22"/>
          <w:szCs w:val="22"/>
        </w:rPr>
        <w:t xml:space="preserve">Juran, J. M., &amp; Godfrey, A. B. (1999). </w:t>
      </w:r>
      <w:r>
        <w:rPr>
          <w:i/>
          <w:iCs/>
          <w:color w:val="2B2B2B"/>
          <w:sz w:val="22"/>
          <w:szCs w:val="22"/>
        </w:rPr>
        <w:t xml:space="preserve">Juran's Quality Handbook</w:t>
      </w:r>
      <w:r>
        <w:rPr>
          <w:color w:val="2B2B2B"/>
          <w:sz w:val="22"/>
          <w:szCs w:val="22"/>
        </w:rPr>
        <w:t xml:space="preserve"> (5.ª ed.). McGraw-Hill.</w:t>
      </w:r>
    </w:p>
    <w:p>
      <w:pPr>
        <w:pStyle w:val="ListParagraph"/>
        <w:numPr>
          <w:ilvl w:val="0"/>
          <w:numId w:val="2"/>
        </w:numPr>
        <w:spacing w:after="160" w:line="300"/>
        <w:jc w:val="both"/>
      </w:pPr>
      <w:r>
        <w:rPr>
          <w:color w:val="2B2B2B"/>
          <w:sz w:val="22"/>
          <w:szCs w:val="22"/>
        </w:rPr>
        <w:t xml:space="preserve">Ishikawa, K. (1985). </w:t>
      </w:r>
      <w:r>
        <w:rPr>
          <w:i/>
          <w:iCs/>
          <w:color w:val="2B2B2B"/>
          <w:sz w:val="22"/>
          <w:szCs w:val="22"/>
        </w:rPr>
        <w:t xml:space="preserve">What Is Total Quality Control? The Japanese Way.</w:t>
      </w:r>
      <w:r>
        <w:rPr>
          <w:color w:val="2B2B2B"/>
          <w:sz w:val="22"/>
          <w:szCs w:val="22"/>
        </w:rPr>
        <w:t xml:space="preserve"> Prentice-Hall.</w:t>
      </w:r>
    </w:p>
    <w:p>
      <w:pPr>
        <w:pStyle w:val="ListParagraph"/>
        <w:numPr>
          <w:ilvl w:val="0"/>
          <w:numId w:val="2"/>
        </w:numPr>
        <w:spacing w:after="160" w:line="300"/>
        <w:jc w:val="both"/>
      </w:pPr>
      <w:r>
        <w:rPr>
          <w:color w:val="2B2B2B"/>
          <w:sz w:val="22"/>
          <w:szCs w:val="22"/>
        </w:rPr>
        <w:t xml:space="preserve">Kume, H. (1985). </w:t>
      </w:r>
      <w:r>
        <w:rPr>
          <w:i/>
          <w:iCs/>
          <w:color w:val="2B2B2B"/>
          <w:sz w:val="22"/>
          <w:szCs w:val="22"/>
        </w:rPr>
        <w:t xml:space="preserve">Statistical Methods for Quality Improvement.</w:t>
      </w:r>
      <w:r>
        <w:rPr>
          <w:color w:val="2B2B2B"/>
          <w:sz w:val="22"/>
          <w:szCs w:val="22"/>
        </w:rPr>
        <w:t xml:space="preserve"> The Association for Overseas Technical Scholarship (AOTS).</w:t>
      </w:r>
    </w:p>
    <w:p>
      <w:pPr>
        <w:pStyle w:val="ListParagraph"/>
        <w:numPr>
          <w:ilvl w:val="0"/>
          <w:numId w:val="2"/>
        </w:numPr>
        <w:spacing w:after="160" w:line="300"/>
        <w:jc w:val="both"/>
      </w:pPr>
      <w:r>
        <w:rPr>
          <w:color w:val="2B2B2B"/>
          <w:sz w:val="22"/>
          <w:szCs w:val="22"/>
        </w:rPr>
        <w:t xml:space="preserve">International Organization for Standardization. (2015). </w:t>
      </w:r>
      <w:r>
        <w:rPr>
          <w:i/>
          <w:iCs/>
          <w:color w:val="2B2B2B"/>
          <w:sz w:val="22"/>
          <w:szCs w:val="22"/>
        </w:rPr>
        <w:t xml:space="preserve">ISO 9001:2015 – Sistemas de gestión de la calidad: Requisitos.</w:t>
      </w:r>
    </w:p>
    <w:p>
      <w:pPr>
        <w:pStyle w:val="ListParagraph"/>
        <w:numPr>
          <w:ilvl w:val="0"/>
          <w:numId w:val="2"/>
        </w:numPr>
        <w:spacing w:after="160" w:line="300"/>
        <w:jc w:val="both"/>
      </w:pPr>
      <w:r>
        <w:rPr>
          <w:color w:val="2B2B2B"/>
          <w:sz w:val="22"/>
          <w:szCs w:val="22"/>
        </w:rPr>
        <w:t xml:space="preserve">Summers, D. C. S. (2006). </w:t>
      </w:r>
      <w:r>
        <w:rPr>
          <w:i/>
          <w:iCs/>
          <w:color w:val="2B2B2B"/>
          <w:sz w:val="22"/>
          <w:szCs w:val="22"/>
        </w:rPr>
        <w:t xml:space="preserve">Administración de la calidad.</w:t>
      </w:r>
      <w:r>
        <w:rPr>
          <w:color w:val="2B2B2B"/>
          <w:sz w:val="22"/>
          <w:szCs w:val="22"/>
        </w:rPr>
        <w:t xml:space="preserve"> Pearson Educación.</w:t>
      </w:r>
    </w:p>
    <w:p>
      <w:pPr>
        <w:pStyle w:val="Heading2"/>
        <w:spacing w:after="140" w:before="260"/>
      </w:pPr>
      <w:r>
        <w:rPr>
          <w:rFonts w:ascii="Cambria" w:cs="Cambria" w:eastAsia="Cambria" w:hAnsi="Cambria"/>
          <w:b/>
          <w:bCs/>
          <w:color w:val="2C5F8A"/>
          <w:sz w:val="25"/>
          <w:szCs w:val="25"/>
        </w:rPr>
        <w:t xml:space="preserve">Anexo: alcance adicional del software</w:t>
      </w:r>
    </w:p>
    <w:p>
      <w:pPr>
        <w:spacing w:after="200" w:line="300"/>
        <w:jc w:val="both"/>
      </w:pPr>
      <w:r>
        <w:rPr>
          <w:b w:val="false"/>
          <w:bCs w:val="false"/>
          <w:color w:val="2B2B2B"/>
          <w:sz w:val="22"/>
          <w:szCs w:val="22"/>
        </w:rPr>
        <w:t xml:space="preserve">El software desarrollado para esta actividad no se limita al diagrama de Pareto: implementa de forma modular las 7 herramientas básicas de calidad (Ishikawa, hoja de verificación, histograma, diagrama de dispersión, gráfico de control y estratificación), todas aplicadas al mismo conjunto de datos de retrasos en entregas. Estas herramientas complementarias, junto con su código fuente, están disponibles en el repositorio del proyecto para dar continuidad a este análisis en fases posteriores.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Informe de Práctica – Diagrama de Pareto | Página </w:t>
    </w: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ad80ef651639ad8f8d38349557ed387366f294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Práctica - Diagrama de Pareto</dc:title>
  <dc:creator>Santiago Bustamante Molina</dc:creator>
  <cp:lastModifiedBy>Un-named</cp:lastModifiedBy>
  <cp:revision>1</cp:revision>
  <dcterms:created xsi:type="dcterms:W3CDTF">2026-09-09T01:31:57.368Z</dcterms:created>
  <dcterms:modified xsi:type="dcterms:W3CDTF">2026-09-09T01:31:57.380Z</dcterms:modified>
</cp:coreProperties>
</file>

<file path=docProps/custom.xml><?xml version="1.0" encoding="utf-8"?>
<Properties xmlns="http://schemas.openxmlformats.org/officeDocument/2006/custom-properties" xmlns:vt="http://schemas.openxmlformats.org/officeDocument/2006/docPropsVTypes"/>
</file>