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color w:val="808080"/>
          <w:sz w:val="24"/>
        </w:rPr>
        <w:t>DiDi Global — CX Service Operations</w:t>
      </w:r>
    </w:p>
    <w:p>
      <w:pPr>
        <w:jc w:val="center"/>
      </w:pPr>
      <w:r>
        <w:rPr>
          <w:b/>
          <w:color w:val="FF6600"/>
          <w:sz w:val="44"/>
        </w:rPr>
        <w:t>Weekly Performance Report — Semana W19</w:t>
      </w:r>
    </w:p>
    <w:p>
      <w:pPr>
        <w:jc w:val="center"/>
      </w:pPr>
      <w:r>
        <w:rPr>
          <w:sz w:val="20"/>
        </w:rPr>
        <w:t>Preparado por: CX Quality Analyst  |  Fecha: 18-Aug-2026  |  CONFIDENCIAL</w:t>
      </w:r>
    </w:p>
    <w:p/>
    <w:p>
      <w:r>
        <w:rPr>
          <w:b/>
        </w:rPr>
        <w:t xml:space="preserve">Código de color: </w:t>
      </w:r>
      <w:r>
        <w:rPr>
          <w:color w:val="28A745"/>
        </w:rPr>
        <w:t xml:space="preserve">  ■ Verde = En meta  </w:t>
      </w:r>
      <w:r>
        <w:rPr>
          <w:color w:val="FFC107"/>
        </w:rPr>
        <w:t xml:space="preserve">  ■ Ámbar = Dentro de 5pp  </w:t>
      </w:r>
      <w:r>
        <w:rPr>
          <w:color w:val="DC3545"/>
        </w:rPr>
        <w:t xml:space="preserve">  ■ Rojo = &gt;5pp bajo meta  </w:t>
      </w:r>
    </w:p>
    <w:p>
      <w:pPr>
        <w:pStyle w:val="Heading1"/>
      </w:pPr>
      <w:r>
        <w:rPr>
          <w:color w:val="FF6600"/>
        </w:rPr>
        <w:t>1. Executive Summary</w:t>
      </w:r>
    </w:p>
    <w:p>
      <w:r>
        <w:t>Durante la semana W19, DiDi CX procesó 2,460 auditorías QA, 77,266 respuestas CSAT y 994,591 contactos con 57,976 recontactos. El desempeño global de QA alcanzó 94.14 puntos, superando la meta de 85 (En meta / Por encima). Sin embargo, CSAT cerró en 79.95%, 5.05pp por debajo de la meta de 85% (Más de 5pp bajo meta). La tasa de recontacto fue 5.83%, ligeramente por encima del objetivo de 5.44% (Dentro de 5pp).</w:t>
      </w:r>
    </w:p>
    <w:p>
      <w:r>
        <w:t>La divergencia más relevante es la brecha entre canales: Phone presenta QA en ámbar (83.04) mientras Live Chat supera ampliamente la meta (96.01). Paradójicamente, Phone logra CSAT verde (86.26%) pero Live Chat — con QA excelente — registra CSAT rojo (77.55%). Esto sugiere que la calidad auditada en chat no se traduce en percepción del cliente, posiblemente por volumen, tiempos de espera o resolución incompleta en primera interacción.</w:t>
      </w:r>
    </w:p>
    <w:p>
      <w:r>
        <w:t>Hallazgo crítico para liderazgo: el cluster de Contact Reasons 'Order Status &amp; Delays' y 'User Request Order Status or Delay Information' concentra 20,694 recontactos (35.7% del total), CSAT de 64.7–67.9% y volumen masivo de feedback negativo en VOC. A pesar de QA aceptable en Live Chat (95–97), la resolución en primera interacción (FCR) falla sistemáticamente. Se recomienda intervención inmediata en scripts de resolución, integración de tracking en tiempo real y reducción de respuestas genéricas identificadas en VOC.</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A1A1A"/>
          </w:tcPr>
          <w:p>
            <w:pPr>
              <w:jc w:val="center"/>
            </w:pPr>
            <w:r>
              <w:rPr>
                <w:b/>
                <w:color w:val="FFFFFF"/>
                <w:sz w:val="18"/>
              </w:rPr>
              <w:t>Métrica</w:t>
            </w:r>
          </w:p>
        </w:tc>
        <w:tc>
          <w:tcPr>
            <w:tcW w:type="dxa" w:w="1881"/>
            <w:shd w:val="clear" w:color="auto" w:fill="1A1A1A"/>
          </w:tcPr>
          <w:p>
            <w:pPr>
              <w:jc w:val="center"/>
            </w:pPr>
            <w:r>
              <w:rPr>
                <w:b/>
                <w:color w:val="FFFFFF"/>
                <w:sz w:val="18"/>
              </w:rPr>
              <w:t>Resultado</w:t>
            </w:r>
          </w:p>
        </w:tc>
        <w:tc>
          <w:tcPr>
            <w:tcW w:type="dxa" w:w="1881"/>
            <w:shd w:val="clear" w:color="auto" w:fill="1A1A1A"/>
          </w:tcPr>
          <w:p>
            <w:pPr>
              <w:jc w:val="center"/>
            </w:pPr>
            <w:r>
              <w:rPr>
                <w:b/>
                <w:color w:val="FFFFFF"/>
                <w:sz w:val="18"/>
              </w:rPr>
              <w:t>Meta</w:t>
            </w:r>
          </w:p>
        </w:tc>
        <w:tc>
          <w:tcPr>
            <w:tcW w:type="dxa" w:w="1881"/>
            <w:shd w:val="clear" w:color="auto" w:fill="1A1A1A"/>
          </w:tcPr>
          <w:p>
            <w:pPr>
              <w:jc w:val="center"/>
            </w:pPr>
            <w:r>
              <w:rPr>
                <w:b/>
                <w:color w:val="FFFFFF"/>
                <w:sz w:val="18"/>
              </w:rPr>
              <w:t>Brecha</w:t>
            </w:r>
          </w:p>
        </w:tc>
        <w:tc>
          <w:tcPr>
            <w:tcW w:type="dxa" w:w="1881"/>
            <w:shd w:val="clear" w:color="auto" w:fill="1A1A1A"/>
          </w:tcPr>
          <w:p>
            <w:pPr>
              <w:jc w:val="center"/>
            </w:pPr>
            <w:r>
              <w:rPr>
                <w:b/>
                <w:color w:val="FFFFFF"/>
                <w:sz w:val="18"/>
              </w:rPr>
              <w:t>Estado</w:t>
            </w:r>
          </w:p>
        </w:tc>
      </w:tr>
      <w:tr>
        <w:tc>
          <w:tcPr>
            <w:tcW w:type="dxa" w:w="1881"/>
          </w:tcPr>
          <w:p>
            <w:pPr>
              <w:jc w:val="center"/>
            </w:pPr>
            <w:r>
              <w:rPr>
                <w:sz w:val="18"/>
              </w:rPr>
              <w:t>QA Score</w:t>
            </w:r>
          </w:p>
        </w:tc>
        <w:tc>
          <w:tcPr>
            <w:tcW w:type="dxa" w:w="1881"/>
          </w:tcPr>
          <w:p>
            <w:pPr>
              <w:jc w:val="center"/>
            </w:pPr>
            <w:r>
              <w:rPr>
                <w:sz w:val="18"/>
              </w:rPr>
              <w:t>94.14</w:t>
            </w:r>
          </w:p>
        </w:tc>
        <w:tc>
          <w:tcPr>
            <w:tcW w:type="dxa" w:w="1881"/>
          </w:tcPr>
          <w:p>
            <w:pPr>
              <w:jc w:val="center"/>
            </w:pPr>
            <w:r>
              <w:rPr>
                <w:sz w:val="18"/>
              </w:rPr>
              <w:t>85</w:t>
            </w:r>
          </w:p>
        </w:tc>
        <w:tc>
          <w:tcPr>
            <w:tcW w:type="dxa" w:w="1881"/>
          </w:tcPr>
          <w:p>
            <w:pPr>
              <w:jc w:val="center"/>
            </w:pPr>
            <w:r>
              <w:rPr>
                <w:sz w:val="18"/>
              </w:rPr>
              <w:t>+9.14</w:t>
            </w:r>
          </w:p>
        </w:tc>
        <w:tc>
          <w:tcPr>
            <w:tcW w:type="dxa" w:w="1881"/>
            <w:shd w:fill="28A745"/>
          </w:tcPr>
          <w:p>
            <w:pPr>
              <w:jc w:val="center"/>
            </w:pPr>
            <w:r>
              <w:rPr>
                <w:sz w:val="18"/>
              </w:rPr>
              <w:t>green</w:t>
            </w:r>
          </w:p>
        </w:tc>
      </w:tr>
      <w:tr>
        <w:tc>
          <w:tcPr>
            <w:tcW w:type="dxa" w:w="1881"/>
          </w:tcPr>
          <w:p>
            <w:pPr>
              <w:jc w:val="center"/>
            </w:pPr>
            <w:r>
              <w:rPr>
                <w:sz w:val="18"/>
              </w:rPr>
              <w:t>CSAT</w:t>
            </w:r>
          </w:p>
        </w:tc>
        <w:tc>
          <w:tcPr>
            <w:tcW w:type="dxa" w:w="1881"/>
          </w:tcPr>
          <w:p>
            <w:pPr>
              <w:jc w:val="center"/>
            </w:pPr>
            <w:r>
              <w:rPr>
                <w:sz w:val="18"/>
              </w:rPr>
              <w:t>79.95%</w:t>
            </w:r>
          </w:p>
        </w:tc>
        <w:tc>
          <w:tcPr>
            <w:tcW w:type="dxa" w:w="1881"/>
          </w:tcPr>
          <w:p>
            <w:pPr>
              <w:jc w:val="center"/>
            </w:pPr>
            <w:r>
              <w:rPr>
                <w:sz w:val="18"/>
              </w:rPr>
              <w:t>85%</w:t>
            </w:r>
          </w:p>
        </w:tc>
        <w:tc>
          <w:tcPr>
            <w:tcW w:type="dxa" w:w="1881"/>
          </w:tcPr>
          <w:p>
            <w:pPr>
              <w:jc w:val="center"/>
            </w:pPr>
            <w:r>
              <w:rPr>
                <w:sz w:val="18"/>
              </w:rPr>
              <w:t>-5.05pp</w:t>
            </w:r>
          </w:p>
        </w:tc>
        <w:tc>
          <w:tcPr>
            <w:tcW w:type="dxa" w:w="1881"/>
            <w:shd w:fill="DC3545"/>
          </w:tcPr>
          <w:p>
            <w:pPr>
              <w:jc w:val="center"/>
            </w:pPr>
            <w:r>
              <w:rPr>
                <w:sz w:val="18"/>
              </w:rPr>
              <w:t>red</w:t>
            </w:r>
          </w:p>
        </w:tc>
      </w:tr>
      <w:tr>
        <w:tc>
          <w:tcPr>
            <w:tcW w:type="dxa" w:w="1881"/>
          </w:tcPr>
          <w:p>
            <w:pPr>
              <w:jc w:val="center"/>
            </w:pPr>
            <w:r>
              <w:rPr>
                <w:sz w:val="18"/>
              </w:rPr>
              <w:t>Recontact Rate</w:t>
            </w:r>
          </w:p>
        </w:tc>
        <w:tc>
          <w:tcPr>
            <w:tcW w:type="dxa" w:w="1881"/>
          </w:tcPr>
          <w:p>
            <w:pPr>
              <w:jc w:val="center"/>
            </w:pPr>
            <w:r>
              <w:rPr>
                <w:sz w:val="18"/>
              </w:rPr>
              <w:t>5.83%</w:t>
            </w:r>
          </w:p>
        </w:tc>
        <w:tc>
          <w:tcPr>
            <w:tcW w:type="dxa" w:w="1881"/>
          </w:tcPr>
          <w:p>
            <w:pPr>
              <w:jc w:val="center"/>
            </w:pPr>
            <w:r>
              <w:rPr>
                <w:sz w:val="18"/>
              </w:rPr>
              <w:t>5.44%</w:t>
            </w:r>
          </w:p>
        </w:tc>
        <w:tc>
          <w:tcPr>
            <w:tcW w:type="dxa" w:w="1881"/>
          </w:tcPr>
          <w:p>
            <w:pPr>
              <w:jc w:val="center"/>
            </w:pPr>
            <w:r>
              <w:rPr>
                <w:sz w:val="18"/>
              </w:rPr>
              <w:t>+0.39pp</w:t>
            </w:r>
          </w:p>
        </w:tc>
        <w:tc>
          <w:tcPr>
            <w:tcW w:type="dxa" w:w="1881"/>
            <w:shd w:fill="FFC107"/>
          </w:tcPr>
          <w:p>
            <w:pPr>
              <w:jc w:val="center"/>
            </w:pPr>
            <w:r>
              <w:rPr>
                <w:sz w:val="18"/>
              </w:rPr>
              <w:t>amber</w:t>
            </w:r>
          </w:p>
        </w:tc>
      </w:tr>
    </w:tbl>
    <w:p>
      <w:pPr>
        <w:pStyle w:val="Heading1"/>
      </w:pPr>
      <w:r>
        <w:rPr>
          <w:color w:val="FF6600"/>
        </w:rPr>
        <w:t>2. QA Analysis — by Channel</w:t>
      </w:r>
    </w:p>
    <w:p>
      <w:pPr>
        <w:pStyle w:val="Heading2"/>
      </w:pPr>
      <w:r>
        <w:rPr>
          <w:color w:val="1A1A1A"/>
        </w:rPr>
        <w:t>2.1 Phone</w:t>
      </w:r>
    </w:p>
    <w:p>
      <w:r>
        <w:rPr>
          <w:b/>
        </w:rPr>
        <w:t xml:space="preserve">QA Score Phone: </w:t>
      </w:r>
      <w:r>
        <w:t xml:space="preserve">83.04 (Meta: 85) — </w:t>
      </w:r>
      <w:r>
        <w:rPr>
          <w:b/>
          <w:color w:val="FFC107"/>
        </w:rPr>
        <w:t>Dentro de 5pp</w:t>
      </w:r>
    </w:p>
    <w:p>
      <w:r>
        <w:t>Phone registra 355 auditorías con 48 fallas críticas (score=0). El atributo dominante es Manejo del Tiempo (37.5% fail rate), seguido de Información Completa y Correcta (7.9%, Critical) y Compensaciones/Reembolsos (3.4%, Critical). Hipótesis: interacciones telefónicas más largas (AHT promedio elevado) generan presión temporal que compromete calidad informativa y manejo de compensaciones.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A1A1A"/>
          </w:tcPr>
          <w:p>
            <w:pPr>
              <w:jc w:val="center"/>
            </w:pPr>
            <w:r>
              <w:rPr>
                <w:b/>
                <w:color w:val="FFFFFF"/>
                <w:sz w:val="18"/>
              </w:rPr>
              <w:t>Atributo</w:t>
            </w:r>
          </w:p>
        </w:tc>
        <w:tc>
          <w:tcPr>
            <w:tcW w:type="dxa" w:w="1881"/>
            <w:shd w:val="clear" w:color="auto" w:fill="1A1A1A"/>
          </w:tcPr>
          <w:p>
            <w:pPr>
              <w:jc w:val="center"/>
            </w:pPr>
            <w:r>
              <w:rPr>
                <w:b/>
                <w:color w:val="FFFFFF"/>
                <w:sz w:val="18"/>
              </w:rPr>
              <w:t>Fallas</w:t>
            </w:r>
          </w:p>
        </w:tc>
        <w:tc>
          <w:tcPr>
            <w:tcW w:type="dxa" w:w="1881"/>
            <w:shd w:val="clear" w:color="auto" w:fill="1A1A1A"/>
          </w:tcPr>
          <w:p>
            <w:pPr>
              <w:jc w:val="center"/>
            </w:pPr>
            <w:r>
              <w:rPr>
                <w:b/>
                <w:color w:val="FFFFFF"/>
                <w:sz w:val="18"/>
              </w:rPr>
              <w:t>Aplicables</w:t>
            </w:r>
          </w:p>
        </w:tc>
        <w:tc>
          <w:tcPr>
            <w:tcW w:type="dxa" w:w="1881"/>
            <w:shd w:val="clear" w:color="auto" w:fill="1A1A1A"/>
          </w:tcPr>
          <w:p>
            <w:pPr>
              <w:jc w:val="center"/>
            </w:pPr>
            <w:r>
              <w:rPr>
                <w:b/>
                <w:color w:val="FFFFFF"/>
                <w:sz w:val="18"/>
              </w:rPr>
              <w:t>Fail Rate %</w:t>
            </w:r>
          </w:p>
        </w:tc>
        <w:tc>
          <w:tcPr>
            <w:tcW w:type="dxa" w:w="1881"/>
            <w:shd w:val="clear" w:color="auto" w:fill="1A1A1A"/>
          </w:tcPr>
          <w:p>
            <w:pPr>
              <w:jc w:val="center"/>
            </w:pPr>
            <w:r>
              <w:rPr>
                <w:b/>
                <w:color w:val="FFFFFF"/>
                <w:sz w:val="18"/>
              </w:rPr>
              <w:t>Critical</w:t>
            </w:r>
          </w:p>
        </w:tc>
      </w:tr>
      <w:tr>
        <w:tc>
          <w:tcPr>
            <w:tcW w:type="dxa" w:w="1881"/>
          </w:tcPr>
          <w:p>
            <w:pPr>
              <w:jc w:val="center"/>
            </w:pPr>
            <w:r>
              <w:rPr>
                <w:sz w:val="18"/>
              </w:rPr>
              <w:t>Manejo Del Tiempo</w:t>
            </w:r>
          </w:p>
        </w:tc>
        <w:tc>
          <w:tcPr>
            <w:tcW w:type="dxa" w:w="1881"/>
          </w:tcPr>
          <w:p>
            <w:pPr>
              <w:jc w:val="center"/>
            </w:pPr>
            <w:r>
              <w:rPr>
                <w:sz w:val="18"/>
              </w:rPr>
              <w:t>133</w:t>
            </w:r>
          </w:p>
        </w:tc>
        <w:tc>
          <w:tcPr>
            <w:tcW w:type="dxa" w:w="1881"/>
          </w:tcPr>
          <w:p>
            <w:pPr>
              <w:jc w:val="center"/>
            </w:pPr>
            <w:r>
              <w:rPr>
                <w:sz w:val="18"/>
              </w:rPr>
              <w:t>355</w:t>
            </w:r>
          </w:p>
        </w:tc>
        <w:tc>
          <w:tcPr>
            <w:tcW w:type="dxa" w:w="1881"/>
          </w:tcPr>
          <w:p>
            <w:pPr>
              <w:jc w:val="center"/>
            </w:pPr>
            <w:r>
              <w:rPr>
                <w:sz w:val="18"/>
              </w:rPr>
              <w:t>37.46%</w:t>
            </w:r>
          </w:p>
        </w:tc>
        <w:tc>
          <w:tcPr>
            <w:tcW w:type="dxa" w:w="1881"/>
          </w:tcPr>
          <w:p>
            <w:pPr>
              <w:jc w:val="center"/>
            </w:pPr>
            <w:r>
              <w:rPr>
                <w:sz w:val="18"/>
              </w:rPr>
              <w:t>No</w:t>
            </w:r>
          </w:p>
        </w:tc>
      </w:tr>
      <w:tr>
        <w:tc>
          <w:tcPr>
            <w:tcW w:type="dxa" w:w="1881"/>
          </w:tcPr>
          <w:p>
            <w:pPr>
              <w:jc w:val="center"/>
            </w:pPr>
            <w:r>
              <w:rPr>
                <w:sz w:val="18"/>
              </w:rPr>
              <w:t>Informacion Completa Y Correcta</w:t>
            </w:r>
          </w:p>
        </w:tc>
        <w:tc>
          <w:tcPr>
            <w:tcW w:type="dxa" w:w="1881"/>
          </w:tcPr>
          <w:p>
            <w:pPr>
              <w:jc w:val="center"/>
            </w:pPr>
            <w:r>
              <w:rPr>
                <w:sz w:val="18"/>
              </w:rPr>
              <w:t>28</w:t>
            </w:r>
          </w:p>
        </w:tc>
        <w:tc>
          <w:tcPr>
            <w:tcW w:type="dxa" w:w="1881"/>
          </w:tcPr>
          <w:p>
            <w:pPr>
              <w:jc w:val="center"/>
            </w:pPr>
            <w:r>
              <w:rPr>
                <w:sz w:val="18"/>
              </w:rPr>
              <w:t>355</w:t>
            </w:r>
          </w:p>
        </w:tc>
        <w:tc>
          <w:tcPr>
            <w:tcW w:type="dxa" w:w="1881"/>
          </w:tcPr>
          <w:p>
            <w:pPr>
              <w:jc w:val="center"/>
            </w:pPr>
            <w:r>
              <w:rPr>
                <w:sz w:val="18"/>
              </w:rPr>
              <w:t>7.89%</w:t>
            </w:r>
          </w:p>
        </w:tc>
        <w:tc>
          <w:tcPr>
            <w:tcW w:type="dxa" w:w="1881"/>
          </w:tcPr>
          <w:p>
            <w:pPr>
              <w:jc w:val="center"/>
            </w:pPr>
            <w:r>
              <w:rPr>
                <w:sz w:val="18"/>
              </w:rPr>
              <w:t>Sí</w:t>
            </w:r>
          </w:p>
        </w:tc>
      </w:tr>
      <w:tr>
        <w:tc>
          <w:tcPr>
            <w:tcW w:type="dxa" w:w="1881"/>
          </w:tcPr>
          <w:p>
            <w:pPr>
              <w:jc w:val="center"/>
            </w:pPr>
            <w:r>
              <w:rPr>
                <w:sz w:val="18"/>
              </w:rPr>
              <w:t>Nombre De Usuario</w:t>
            </w:r>
          </w:p>
        </w:tc>
        <w:tc>
          <w:tcPr>
            <w:tcW w:type="dxa" w:w="1881"/>
          </w:tcPr>
          <w:p>
            <w:pPr>
              <w:jc w:val="center"/>
            </w:pPr>
            <w:r>
              <w:rPr>
                <w:sz w:val="18"/>
              </w:rPr>
              <w:t>15</w:t>
            </w:r>
          </w:p>
        </w:tc>
        <w:tc>
          <w:tcPr>
            <w:tcW w:type="dxa" w:w="1881"/>
          </w:tcPr>
          <w:p>
            <w:pPr>
              <w:jc w:val="center"/>
            </w:pPr>
            <w:r>
              <w:rPr>
                <w:sz w:val="18"/>
              </w:rPr>
              <w:t>355</w:t>
            </w:r>
          </w:p>
        </w:tc>
        <w:tc>
          <w:tcPr>
            <w:tcW w:type="dxa" w:w="1881"/>
          </w:tcPr>
          <w:p>
            <w:pPr>
              <w:jc w:val="center"/>
            </w:pPr>
            <w:r>
              <w:rPr>
                <w:sz w:val="18"/>
              </w:rPr>
              <w:t>4.23%</w:t>
            </w:r>
          </w:p>
        </w:tc>
        <w:tc>
          <w:tcPr>
            <w:tcW w:type="dxa" w:w="1881"/>
          </w:tcPr>
          <w:p>
            <w:pPr>
              <w:jc w:val="center"/>
            </w:pPr>
            <w:r>
              <w:rPr>
                <w:sz w:val="18"/>
              </w:rPr>
              <w:t>No</w:t>
            </w:r>
          </w:p>
        </w:tc>
      </w:tr>
      <w:tr>
        <w:tc>
          <w:tcPr>
            <w:tcW w:type="dxa" w:w="1881"/>
          </w:tcPr>
          <w:p>
            <w:pPr>
              <w:jc w:val="center"/>
            </w:pPr>
            <w:r>
              <w:rPr>
                <w:sz w:val="18"/>
              </w:rPr>
              <w:t>Compensaciones Reembolsos</w:t>
            </w:r>
          </w:p>
        </w:tc>
        <w:tc>
          <w:tcPr>
            <w:tcW w:type="dxa" w:w="1881"/>
          </w:tcPr>
          <w:p>
            <w:pPr>
              <w:jc w:val="center"/>
            </w:pPr>
            <w:r>
              <w:rPr>
                <w:sz w:val="18"/>
              </w:rPr>
              <w:t>12</w:t>
            </w:r>
          </w:p>
        </w:tc>
        <w:tc>
          <w:tcPr>
            <w:tcW w:type="dxa" w:w="1881"/>
          </w:tcPr>
          <w:p>
            <w:pPr>
              <w:jc w:val="center"/>
            </w:pPr>
            <w:r>
              <w:rPr>
                <w:sz w:val="18"/>
              </w:rPr>
              <w:t>355</w:t>
            </w:r>
          </w:p>
        </w:tc>
        <w:tc>
          <w:tcPr>
            <w:tcW w:type="dxa" w:w="1881"/>
          </w:tcPr>
          <w:p>
            <w:pPr>
              <w:jc w:val="center"/>
            </w:pPr>
            <w:r>
              <w:rPr>
                <w:sz w:val="18"/>
              </w:rPr>
              <w:t>3.38%</w:t>
            </w:r>
          </w:p>
        </w:tc>
        <w:tc>
          <w:tcPr>
            <w:tcW w:type="dxa" w:w="1881"/>
          </w:tcPr>
          <w:p>
            <w:pPr>
              <w:jc w:val="center"/>
            </w:pPr>
            <w:r>
              <w:rPr>
                <w:sz w:val="18"/>
              </w:rPr>
              <w:t>Sí</w:t>
            </w:r>
          </w:p>
        </w:tc>
      </w:tr>
      <w:tr>
        <w:tc>
          <w:tcPr>
            <w:tcW w:type="dxa" w:w="1881"/>
          </w:tcPr>
          <w:p>
            <w:pPr>
              <w:jc w:val="center"/>
            </w:pPr>
            <w:r>
              <w:rPr>
                <w:sz w:val="18"/>
              </w:rPr>
              <w:t>Negacion De Servicio</w:t>
            </w:r>
          </w:p>
        </w:tc>
        <w:tc>
          <w:tcPr>
            <w:tcW w:type="dxa" w:w="1881"/>
          </w:tcPr>
          <w:p>
            <w:pPr>
              <w:jc w:val="center"/>
            </w:pPr>
            <w:r>
              <w:rPr>
                <w:sz w:val="18"/>
              </w:rPr>
              <w:t>8</w:t>
            </w:r>
          </w:p>
        </w:tc>
        <w:tc>
          <w:tcPr>
            <w:tcW w:type="dxa" w:w="1881"/>
          </w:tcPr>
          <w:p>
            <w:pPr>
              <w:jc w:val="center"/>
            </w:pPr>
            <w:r>
              <w:rPr>
                <w:sz w:val="18"/>
              </w:rPr>
              <w:t>355</w:t>
            </w:r>
          </w:p>
        </w:tc>
        <w:tc>
          <w:tcPr>
            <w:tcW w:type="dxa" w:w="1881"/>
          </w:tcPr>
          <w:p>
            <w:pPr>
              <w:jc w:val="center"/>
            </w:pPr>
            <w:r>
              <w:rPr>
                <w:sz w:val="18"/>
              </w:rPr>
              <w:t>2.25%</w:t>
            </w:r>
          </w:p>
        </w:tc>
        <w:tc>
          <w:tcPr>
            <w:tcW w:type="dxa" w:w="1881"/>
          </w:tcPr>
          <w:p>
            <w:pPr>
              <w:jc w:val="center"/>
            </w:pPr>
            <w:r>
              <w:rPr>
                <w:sz w:val="18"/>
              </w:rPr>
              <w:t>Sí</w:t>
            </w:r>
          </w:p>
        </w:tc>
      </w:tr>
    </w:tbl>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1A1A"/>
          </w:tcPr>
          <w:p>
            <w:pPr>
              <w:jc w:val="center"/>
            </w:pPr>
            <w:r>
              <w:rPr>
                <w:b/>
                <w:color w:val="FFFFFF"/>
                <w:sz w:val="18"/>
              </w:rPr>
              <w:t>CR Lv4 (Phone)</w:t>
            </w:r>
          </w:p>
        </w:tc>
        <w:tc>
          <w:tcPr>
            <w:tcW w:type="dxa" w:w="2351"/>
            <w:shd w:val="clear" w:color="auto" w:fill="1A1A1A"/>
          </w:tcPr>
          <w:p>
            <w:pPr>
              <w:jc w:val="center"/>
            </w:pPr>
            <w:r>
              <w:rPr>
                <w:b/>
                <w:color w:val="FFFFFF"/>
                <w:sz w:val="18"/>
              </w:rPr>
              <w:t>QA Score</w:t>
            </w:r>
          </w:p>
        </w:tc>
        <w:tc>
          <w:tcPr>
            <w:tcW w:type="dxa" w:w="2351"/>
            <w:shd w:val="clear" w:color="auto" w:fill="1A1A1A"/>
          </w:tcPr>
          <w:p>
            <w:pPr>
              <w:jc w:val="center"/>
            </w:pPr>
            <w:r>
              <w:rPr>
                <w:b/>
                <w:color w:val="FFFFFF"/>
                <w:sz w:val="18"/>
              </w:rPr>
              <w:t>Audits</w:t>
            </w:r>
          </w:p>
        </w:tc>
        <w:tc>
          <w:tcPr>
            <w:tcW w:type="dxa" w:w="2351"/>
            <w:shd w:val="clear" w:color="auto" w:fill="1A1A1A"/>
          </w:tcPr>
          <w:p>
            <w:pPr>
              <w:jc w:val="center"/>
            </w:pPr>
            <w:r>
              <w:rPr>
                <w:b/>
                <w:color w:val="FFFFFF"/>
                <w:sz w:val="18"/>
              </w:rPr>
              <w:t>Hipótesis Root Cause</w:t>
            </w:r>
          </w:p>
        </w:tc>
      </w:tr>
      <w:tr>
        <w:tc>
          <w:tcPr>
            <w:tcW w:type="dxa" w:w="2351"/>
          </w:tcPr>
          <w:p>
            <w:pPr>
              <w:jc w:val="center"/>
            </w:pPr>
            <w:r>
              <w:rPr>
                <w:sz w:val="18"/>
              </w:rPr>
              <w:t>Order appears as completed but customer haven't receive it - market place</w:t>
            </w:r>
          </w:p>
        </w:tc>
        <w:tc>
          <w:tcPr>
            <w:tcW w:type="dxa" w:w="2351"/>
          </w:tcPr>
          <w:p>
            <w:pPr>
              <w:jc w:val="center"/>
            </w:pPr>
            <w:r>
              <w:rPr>
                <w:sz w:val="18"/>
              </w:rPr>
              <w:t>47.5</w:t>
            </w:r>
          </w:p>
        </w:tc>
        <w:tc>
          <w:tcPr>
            <w:tcW w:type="dxa" w:w="2351"/>
          </w:tcPr>
          <w:p>
            <w:pPr>
              <w:jc w:val="center"/>
            </w:pPr>
            <w:r>
              <w:rPr>
                <w:sz w:val="18"/>
              </w:rPr>
              <w:t>4</w:t>
            </w:r>
          </w:p>
        </w:tc>
        <w:tc>
          <w:tcPr>
            <w:tcW w:type="dxa" w:w="2351"/>
          </w:tcPr>
          <w:p>
            <w:pPr>
              <w:jc w:val="center"/>
            </w:pPr>
            <w:r>
              <w:rPr>
                <w:sz w:val="18"/>
              </w:rPr>
              <w:t>Fallas Critical en info/compensación; casos complejos de entrega</w:t>
            </w:r>
          </w:p>
        </w:tc>
      </w:tr>
      <w:tr>
        <w:tc>
          <w:tcPr>
            <w:tcW w:type="dxa" w:w="2351"/>
          </w:tcPr>
          <w:p>
            <w:pPr>
              <w:jc w:val="center"/>
            </w:pPr>
            <w:r>
              <w:rPr>
                <w:sz w:val="18"/>
              </w:rPr>
              <w:t>Order is active but customer already received it</w:t>
            </w:r>
          </w:p>
        </w:tc>
        <w:tc>
          <w:tcPr>
            <w:tcW w:type="dxa" w:w="2351"/>
          </w:tcPr>
          <w:p>
            <w:pPr>
              <w:jc w:val="center"/>
            </w:pPr>
            <w:r>
              <w:rPr>
                <w:sz w:val="18"/>
              </w:rPr>
              <w:t>65.8</w:t>
            </w:r>
          </w:p>
        </w:tc>
        <w:tc>
          <w:tcPr>
            <w:tcW w:type="dxa" w:w="2351"/>
          </w:tcPr>
          <w:p>
            <w:pPr>
              <w:jc w:val="center"/>
            </w:pPr>
            <w:r>
              <w:rPr>
                <w:sz w:val="18"/>
              </w:rPr>
              <w:t>12</w:t>
            </w:r>
          </w:p>
        </w:tc>
        <w:tc>
          <w:tcPr>
            <w:tcW w:type="dxa" w:w="2351"/>
          </w:tcPr>
          <w:p>
            <w:pPr>
              <w:jc w:val="center"/>
            </w:pPr>
            <w:r>
              <w:rPr>
                <w:sz w:val="18"/>
              </w:rPr>
              <w:t>Fallas Critical en info/compensación; casos complejos de entrega</w:t>
            </w:r>
          </w:p>
        </w:tc>
      </w:tr>
      <w:tr>
        <w:tc>
          <w:tcPr>
            <w:tcW w:type="dxa" w:w="2351"/>
          </w:tcPr>
          <w:p>
            <w:pPr>
              <w:jc w:val="center"/>
            </w:pPr>
            <w:r>
              <w:rPr>
                <w:sz w:val="18"/>
              </w:rPr>
              <w:t>Issues while paying to courier</w:t>
            </w:r>
          </w:p>
        </w:tc>
        <w:tc>
          <w:tcPr>
            <w:tcW w:type="dxa" w:w="2351"/>
          </w:tcPr>
          <w:p>
            <w:pPr>
              <w:jc w:val="center"/>
            </w:pPr>
            <w:r>
              <w:rPr>
                <w:sz w:val="18"/>
              </w:rPr>
              <w:t>66.7</w:t>
            </w:r>
          </w:p>
        </w:tc>
        <w:tc>
          <w:tcPr>
            <w:tcW w:type="dxa" w:w="2351"/>
          </w:tcPr>
          <w:p>
            <w:pPr>
              <w:jc w:val="center"/>
            </w:pPr>
            <w:r>
              <w:rPr>
                <w:sz w:val="18"/>
              </w:rPr>
              <w:t>3</w:t>
            </w:r>
          </w:p>
        </w:tc>
        <w:tc>
          <w:tcPr>
            <w:tcW w:type="dxa" w:w="2351"/>
          </w:tcPr>
          <w:p>
            <w:pPr>
              <w:jc w:val="center"/>
            </w:pPr>
            <w:r>
              <w:rPr>
                <w:sz w:val="18"/>
              </w:rPr>
              <w:t>Fallas Critical en info/compensación; casos complejos de entrega</w:t>
            </w:r>
          </w:p>
        </w:tc>
      </w:tr>
      <w:tr>
        <w:tc>
          <w:tcPr>
            <w:tcW w:type="dxa" w:w="2351"/>
          </w:tcPr>
          <w:p>
            <w:pPr>
              <w:jc w:val="center"/>
            </w:pPr>
            <w:r>
              <w:rPr>
                <w:sz w:val="18"/>
              </w:rPr>
              <w:t>Order appears as completed but customer haven't receive it - full service</w:t>
            </w:r>
          </w:p>
        </w:tc>
        <w:tc>
          <w:tcPr>
            <w:tcW w:type="dxa" w:w="2351"/>
          </w:tcPr>
          <w:p>
            <w:pPr>
              <w:jc w:val="center"/>
            </w:pPr>
            <w:r>
              <w:rPr>
                <w:sz w:val="18"/>
              </w:rPr>
              <w:t>68.2</w:t>
            </w:r>
          </w:p>
        </w:tc>
        <w:tc>
          <w:tcPr>
            <w:tcW w:type="dxa" w:w="2351"/>
          </w:tcPr>
          <w:p>
            <w:pPr>
              <w:jc w:val="center"/>
            </w:pPr>
            <w:r>
              <w:rPr>
                <w:sz w:val="18"/>
              </w:rPr>
              <w:t>49</w:t>
            </w:r>
          </w:p>
        </w:tc>
        <w:tc>
          <w:tcPr>
            <w:tcW w:type="dxa" w:w="2351"/>
          </w:tcPr>
          <w:p>
            <w:pPr>
              <w:jc w:val="center"/>
            </w:pPr>
            <w:r>
              <w:rPr>
                <w:sz w:val="18"/>
              </w:rPr>
              <w:t>Fallas Critical en info/compensación; casos complejos de entrega</w:t>
            </w:r>
          </w:p>
        </w:tc>
      </w:tr>
      <w:tr>
        <w:tc>
          <w:tcPr>
            <w:tcW w:type="dxa" w:w="2351"/>
          </w:tcPr>
          <w:p>
            <w:pPr>
              <w:jc w:val="center"/>
            </w:pPr>
            <w:r>
              <w:rPr>
                <w:sz w:val="18"/>
              </w:rPr>
              <w:t>Courier overcharged me</w:t>
            </w:r>
          </w:p>
        </w:tc>
        <w:tc>
          <w:tcPr>
            <w:tcW w:type="dxa" w:w="2351"/>
          </w:tcPr>
          <w:p>
            <w:pPr>
              <w:jc w:val="center"/>
            </w:pPr>
            <w:r>
              <w:rPr>
                <w:sz w:val="18"/>
              </w:rPr>
              <w:t>68.6</w:t>
            </w:r>
          </w:p>
        </w:tc>
        <w:tc>
          <w:tcPr>
            <w:tcW w:type="dxa" w:w="2351"/>
          </w:tcPr>
          <w:p>
            <w:pPr>
              <w:jc w:val="center"/>
            </w:pPr>
            <w:r>
              <w:rPr>
                <w:sz w:val="18"/>
              </w:rPr>
              <w:t>7</w:t>
            </w:r>
          </w:p>
        </w:tc>
        <w:tc>
          <w:tcPr>
            <w:tcW w:type="dxa" w:w="2351"/>
          </w:tcPr>
          <w:p>
            <w:pPr>
              <w:jc w:val="center"/>
            </w:pPr>
            <w:r>
              <w:rPr>
                <w:sz w:val="18"/>
              </w:rPr>
              <w:t>Fallas Critical en info/compensación; casos complejos de entrega</w:t>
            </w:r>
          </w:p>
        </w:tc>
      </w:tr>
    </w:tbl>
    <w:p>
      <w:pPr>
        <w:pStyle w:val="Heading2"/>
      </w:pPr>
      <w:r>
        <w:rPr>
          <w:color w:val="1A1A1A"/>
        </w:rPr>
        <w:t>2.2 Live Chat</w:t>
      </w:r>
    </w:p>
    <w:p>
      <w:r>
        <w:rPr>
          <w:b/>
        </w:rPr>
        <w:t xml:space="preserve">QA Score Live Chat: </w:t>
      </w:r>
      <w:r>
        <w:t xml:space="preserve">96.01 (Meta: 85) — </w:t>
      </w:r>
      <w:r>
        <w:rPr>
          <w:b/>
          <w:color w:val="28A745"/>
        </w:rPr>
        <w:t>En meta / Por encima</w:t>
      </w:r>
    </w:p>
    <w:p>
      <w:r>
        <w:t>Live Chat concentra 2,105 auditorías (85.6% del total) con QA de 96.01. Los top fails no-críticos: Saludo e Identificación (4.6%), Actitud de Servicio (3.3%) y Disponibilidad del Servicio (2.2%, Critical). A pesar del alto score, estos atributos de experiencia inicial impactan percepción cuando el cliente ya llega frustrado por demoras.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1A1A"/>
          </w:tcPr>
          <w:p>
            <w:pPr>
              <w:jc w:val="center"/>
            </w:pPr>
            <w:r>
              <w:rPr>
                <w:b/>
                <w:color w:val="FFFFFF"/>
                <w:sz w:val="18"/>
              </w:rPr>
              <w:t>Atributo</w:t>
            </w:r>
          </w:p>
        </w:tc>
        <w:tc>
          <w:tcPr>
            <w:tcW w:type="dxa" w:w="2351"/>
            <w:shd w:val="clear" w:color="auto" w:fill="1A1A1A"/>
          </w:tcPr>
          <w:p>
            <w:pPr>
              <w:jc w:val="center"/>
            </w:pPr>
            <w:r>
              <w:rPr>
                <w:b/>
                <w:color w:val="FFFFFF"/>
                <w:sz w:val="18"/>
              </w:rPr>
              <w:t>Fallas</w:t>
            </w:r>
          </w:p>
        </w:tc>
        <w:tc>
          <w:tcPr>
            <w:tcW w:type="dxa" w:w="2351"/>
            <w:shd w:val="clear" w:color="auto" w:fill="1A1A1A"/>
          </w:tcPr>
          <w:p>
            <w:pPr>
              <w:jc w:val="center"/>
            </w:pPr>
            <w:r>
              <w:rPr>
                <w:b/>
                <w:color w:val="FFFFFF"/>
                <w:sz w:val="18"/>
              </w:rPr>
              <w:t>Aplicables</w:t>
            </w:r>
          </w:p>
        </w:tc>
        <w:tc>
          <w:tcPr>
            <w:tcW w:type="dxa" w:w="2351"/>
            <w:shd w:val="clear" w:color="auto" w:fill="1A1A1A"/>
          </w:tcPr>
          <w:p>
            <w:pPr>
              <w:jc w:val="center"/>
            </w:pPr>
            <w:r>
              <w:rPr>
                <w:b/>
                <w:color w:val="FFFFFF"/>
                <w:sz w:val="18"/>
              </w:rPr>
              <w:t>Fail Rate %</w:t>
            </w:r>
          </w:p>
        </w:tc>
      </w:tr>
      <w:tr>
        <w:tc>
          <w:tcPr>
            <w:tcW w:type="dxa" w:w="2351"/>
          </w:tcPr>
          <w:p>
            <w:pPr>
              <w:jc w:val="center"/>
            </w:pPr>
            <w:r>
              <w:rPr>
                <w:sz w:val="18"/>
              </w:rPr>
              <w:t>Saludo E Identificacion</w:t>
            </w:r>
          </w:p>
        </w:tc>
        <w:tc>
          <w:tcPr>
            <w:tcW w:type="dxa" w:w="2351"/>
          </w:tcPr>
          <w:p>
            <w:pPr>
              <w:jc w:val="center"/>
            </w:pPr>
            <w:r>
              <w:rPr>
                <w:sz w:val="18"/>
              </w:rPr>
              <w:t>96</w:t>
            </w:r>
          </w:p>
        </w:tc>
        <w:tc>
          <w:tcPr>
            <w:tcW w:type="dxa" w:w="2351"/>
          </w:tcPr>
          <w:p>
            <w:pPr>
              <w:jc w:val="center"/>
            </w:pPr>
            <w:r>
              <w:rPr>
                <w:sz w:val="18"/>
              </w:rPr>
              <w:t>2105</w:t>
            </w:r>
          </w:p>
        </w:tc>
        <w:tc>
          <w:tcPr>
            <w:tcW w:type="dxa" w:w="2351"/>
          </w:tcPr>
          <w:p>
            <w:pPr>
              <w:jc w:val="center"/>
            </w:pPr>
            <w:r>
              <w:rPr>
                <w:sz w:val="18"/>
              </w:rPr>
              <w:t>4.56%</w:t>
            </w:r>
          </w:p>
        </w:tc>
      </w:tr>
      <w:tr>
        <w:tc>
          <w:tcPr>
            <w:tcW w:type="dxa" w:w="2351"/>
          </w:tcPr>
          <w:p>
            <w:pPr>
              <w:jc w:val="center"/>
            </w:pPr>
            <w:r>
              <w:rPr>
                <w:sz w:val="18"/>
              </w:rPr>
              <w:t>Actitud De Servicio</w:t>
            </w:r>
          </w:p>
        </w:tc>
        <w:tc>
          <w:tcPr>
            <w:tcW w:type="dxa" w:w="2351"/>
          </w:tcPr>
          <w:p>
            <w:pPr>
              <w:jc w:val="center"/>
            </w:pPr>
            <w:r>
              <w:rPr>
                <w:sz w:val="18"/>
              </w:rPr>
              <w:t>69</w:t>
            </w:r>
          </w:p>
        </w:tc>
        <w:tc>
          <w:tcPr>
            <w:tcW w:type="dxa" w:w="2351"/>
          </w:tcPr>
          <w:p>
            <w:pPr>
              <w:jc w:val="center"/>
            </w:pPr>
            <w:r>
              <w:rPr>
                <w:sz w:val="18"/>
              </w:rPr>
              <w:t>2105</w:t>
            </w:r>
          </w:p>
        </w:tc>
        <w:tc>
          <w:tcPr>
            <w:tcW w:type="dxa" w:w="2351"/>
          </w:tcPr>
          <w:p>
            <w:pPr>
              <w:jc w:val="center"/>
            </w:pPr>
            <w:r>
              <w:rPr>
                <w:sz w:val="18"/>
              </w:rPr>
              <w:t>3.28%</w:t>
            </w:r>
          </w:p>
        </w:tc>
      </w:tr>
      <w:tr>
        <w:tc>
          <w:tcPr>
            <w:tcW w:type="dxa" w:w="2351"/>
          </w:tcPr>
          <w:p>
            <w:pPr>
              <w:jc w:val="center"/>
            </w:pPr>
            <w:r>
              <w:rPr>
                <w:sz w:val="18"/>
              </w:rPr>
              <w:t>Disponibilidad Del Servicio</w:t>
            </w:r>
          </w:p>
        </w:tc>
        <w:tc>
          <w:tcPr>
            <w:tcW w:type="dxa" w:w="2351"/>
          </w:tcPr>
          <w:p>
            <w:pPr>
              <w:jc w:val="center"/>
            </w:pPr>
            <w:r>
              <w:rPr>
                <w:sz w:val="18"/>
              </w:rPr>
              <w:t>46</w:t>
            </w:r>
          </w:p>
        </w:tc>
        <w:tc>
          <w:tcPr>
            <w:tcW w:type="dxa" w:w="2351"/>
          </w:tcPr>
          <w:p>
            <w:pPr>
              <w:jc w:val="center"/>
            </w:pPr>
            <w:r>
              <w:rPr>
                <w:sz w:val="18"/>
              </w:rPr>
              <w:t>2105</w:t>
            </w:r>
          </w:p>
        </w:tc>
        <w:tc>
          <w:tcPr>
            <w:tcW w:type="dxa" w:w="2351"/>
          </w:tcPr>
          <w:p>
            <w:pPr>
              <w:jc w:val="center"/>
            </w:pPr>
            <w:r>
              <w:rPr>
                <w:sz w:val="18"/>
              </w:rPr>
              <w:t>2.19%</w:t>
            </w:r>
          </w:p>
        </w:tc>
      </w:tr>
      <w:tr>
        <w:tc>
          <w:tcPr>
            <w:tcW w:type="dxa" w:w="2351"/>
          </w:tcPr>
          <w:p>
            <w:pPr>
              <w:jc w:val="center"/>
            </w:pPr>
            <w:r>
              <w:rPr>
                <w:sz w:val="18"/>
              </w:rPr>
              <w:t>Calidad Del Sondeo</w:t>
            </w:r>
          </w:p>
        </w:tc>
        <w:tc>
          <w:tcPr>
            <w:tcW w:type="dxa" w:w="2351"/>
          </w:tcPr>
          <w:p>
            <w:pPr>
              <w:jc w:val="center"/>
            </w:pPr>
            <w:r>
              <w:rPr>
                <w:sz w:val="18"/>
              </w:rPr>
              <w:t>32</w:t>
            </w:r>
          </w:p>
        </w:tc>
        <w:tc>
          <w:tcPr>
            <w:tcW w:type="dxa" w:w="2351"/>
          </w:tcPr>
          <w:p>
            <w:pPr>
              <w:jc w:val="center"/>
            </w:pPr>
            <w:r>
              <w:rPr>
                <w:sz w:val="18"/>
              </w:rPr>
              <w:t>2105</w:t>
            </w:r>
          </w:p>
        </w:tc>
        <w:tc>
          <w:tcPr>
            <w:tcW w:type="dxa" w:w="2351"/>
          </w:tcPr>
          <w:p>
            <w:pPr>
              <w:jc w:val="center"/>
            </w:pPr>
            <w:r>
              <w:rPr>
                <w:sz w:val="18"/>
              </w:rPr>
              <w:t>1.52%</w:t>
            </w:r>
          </w:p>
        </w:tc>
      </w:tr>
      <w:tr>
        <w:tc>
          <w:tcPr>
            <w:tcW w:type="dxa" w:w="2351"/>
          </w:tcPr>
          <w:p>
            <w:pPr>
              <w:jc w:val="center"/>
            </w:pPr>
            <w:r>
              <w:rPr>
                <w:sz w:val="18"/>
              </w:rPr>
              <w:t>Calidad De Comunicacion</w:t>
            </w:r>
          </w:p>
        </w:tc>
        <w:tc>
          <w:tcPr>
            <w:tcW w:type="dxa" w:w="2351"/>
          </w:tcPr>
          <w:p>
            <w:pPr>
              <w:jc w:val="center"/>
            </w:pPr>
            <w:r>
              <w:rPr>
                <w:sz w:val="18"/>
              </w:rPr>
              <w:t>25</w:t>
            </w:r>
          </w:p>
        </w:tc>
        <w:tc>
          <w:tcPr>
            <w:tcW w:type="dxa" w:w="2351"/>
          </w:tcPr>
          <w:p>
            <w:pPr>
              <w:jc w:val="center"/>
            </w:pPr>
            <w:r>
              <w:rPr>
                <w:sz w:val="18"/>
              </w:rPr>
              <w:t>2105</w:t>
            </w:r>
          </w:p>
        </w:tc>
        <w:tc>
          <w:tcPr>
            <w:tcW w:type="dxa" w:w="2351"/>
          </w:tcPr>
          <w:p>
            <w:pPr>
              <w:jc w:val="center"/>
            </w:pPr>
            <w:r>
              <w:rPr>
                <w:sz w:val="18"/>
              </w:rPr>
              <w:t>1.19%</w:t>
            </w:r>
          </w:p>
        </w:tc>
      </w:tr>
    </w:tbl>
    <w:p>
      <w:r>
        <w:drawing>
          <wp:inline xmlns:a="http://schemas.openxmlformats.org/drawingml/2006/main" xmlns:pic="http://schemas.openxmlformats.org/drawingml/2006/picture">
            <wp:extent cx="5669280" cy="2956023"/>
            <wp:docPr id="1" name="Picture 1"/>
            <wp:cNvGraphicFramePr>
              <a:graphicFrameLocks noChangeAspect="1"/>
            </wp:cNvGraphicFramePr>
            <a:graphic>
              <a:graphicData uri="http://schemas.openxmlformats.org/drawingml/2006/picture">
                <pic:pic>
                  <pic:nvPicPr>
                    <pic:cNvPr id="0" name="02_pareto_attributes.png"/>
                    <pic:cNvPicPr/>
                  </pic:nvPicPr>
                  <pic:blipFill>
                    <a:blip r:embed="rId9"/>
                    <a:stretch>
                      <a:fillRect/>
                    </a:stretch>
                  </pic:blipFill>
                  <pic:spPr>
                    <a:xfrm>
                      <a:off x="0" y="0"/>
                      <a:ext cx="5669280" cy="2956023"/>
                    </a:xfrm>
                    <a:prstGeom prst="rect"/>
                  </pic:spPr>
                </pic:pic>
              </a:graphicData>
            </a:graphic>
          </wp:inline>
        </w:drawing>
      </w:r>
    </w:p>
    <w:p>
      <w:r>
        <w:drawing>
          <wp:inline xmlns:a="http://schemas.openxmlformats.org/drawingml/2006/main" xmlns:pic="http://schemas.openxmlformats.org/drawingml/2006/picture">
            <wp:extent cx="5669280" cy="2743721"/>
            <wp:docPr id="2" name="Picture 2"/>
            <wp:cNvGraphicFramePr>
              <a:graphicFrameLocks noChangeAspect="1"/>
            </wp:cNvGraphicFramePr>
            <a:graphic>
              <a:graphicData uri="http://schemas.openxmlformats.org/drawingml/2006/picture">
                <pic:pic>
                  <pic:nvPicPr>
                    <pic:cNvPr id="0" name="03_histogram_qa_scores.png"/>
                    <pic:cNvPicPr/>
                  </pic:nvPicPr>
                  <pic:blipFill>
                    <a:blip r:embed="rId10"/>
                    <a:stretch>
                      <a:fillRect/>
                    </a:stretch>
                  </pic:blipFill>
                  <pic:spPr>
                    <a:xfrm>
                      <a:off x="0" y="0"/>
                      <a:ext cx="5669280" cy="2743721"/>
                    </a:xfrm>
                    <a:prstGeom prst="rect"/>
                  </pic:spPr>
                </pic:pic>
              </a:graphicData>
            </a:graphic>
          </wp:inline>
        </w:drawing>
      </w:r>
    </w:p>
    <w:p>
      <w:pPr>
        <w:pStyle w:val="Heading1"/>
      </w:pPr>
      <w:r>
        <w:rPr>
          <w:color w:val="FF6600"/>
        </w:rPr>
        <w:t>3. QA Analysis — by CR Lv4</w:t>
      </w:r>
    </w:p>
    <w:p>
      <w:r>
        <w:t>Ranking de CR Lv4 con menor desempeño QA (mínimo 3 auditorías). Se observa concentración en casos de entrega no recibida, pedido activo ya entregado, y compensaciones/reembolsos — todos con alta incidencia de atributos Critical.</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A1A1A"/>
          </w:tcPr>
          <w:p>
            <w:pPr>
              <w:jc w:val="center"/>
            </w:pPr>
            <w:r>
              <w:rPr>
                <w:b/>
                <w:color w:val="FFFFFF"/>
                <w:sz w:val="18"/>
              </w:rPr>
              <w:t>CR Lv4</w:t>
            </w:r>
          </w:p>
        </w:tc>
        <w:tc>
          <w:tcPr>
            <w:tcW w:type="dxa" w:w="1881"/>
            <w:shd w:val="clear" w:color="auto" w:fill="1A1A1A"/>
          </w:tcPr>
          <w:p>
            <w:pPr>
              <w:jc w:val="center"/>
            </w:pPr>
            <w:r>
              <w:rPr>
                <w:b/>
                <w:color w:val="FFFFFF"/>
                <w:sz w:val="18"/>
              </w:rPr>
              <w:t>QA Score</w:t>
            </w:r>
          </w:p>
        </w:tc>
        <w:tc>
          <w:tcPr>
            <w:tcW w:type="dxa" w:w="1881"/>
            <w:shd w:val="clear" w:color="auto" w:fill="1A1A1A"/>
          </w:tcPr>
          <w:p>
            <w:pPr>
              <w:jc w:val="center"/>
            </w:pPr>
            <w:r>
              <w:rPr>
                <w:b/>
                <w:color w:val="FFFFFF"/>
                <w:sz w:val="18"/>
              </w:rPr>
              <w:t>Audits</w:t>
            </w:r>
          </w:p>
        </w:tc>
        <w:tc>
          <w:tcPr>
            <w:tcW w:type="dxa" w:w="1881"/>
            <w:shd w:val="clear" w:color="auto" w:fill="1A1A1A"/>
          </w:tcPr>
          <w:p>
            <w:pPr>
              <w:jc w:val="center"/>
            </w:pPr>
            <w:r>
              <w:rPr>
                <w:b/>
                <w:color w:val="FFFFFF"/>
                <w:sz w:val="18"/>
              </w:rPr>
              <w:t>Estado</w:t>
            </w:r>
          </w:p>
        </w:tc>
        <w:tc>
          <w:tcPr>
            <w:tcW w:type="dxa" w:w="1881"/>
            <w:shd w:val="clear" w:color="auto" w:fill="1A1A1A"/>
          </w:tcPr>
          <w:p>
            <w:pPr>
              <w:jc w:val="center"/>
            </w:pPr>
            <w:r>
              <w:rPr>
                <w:b/>
                <w:color w:val="FFFFFF"/>
                <w:sz w:val="18"/>
              </w:rPr>
              <w:t>Hipótesis</w:t>
            </w:r>
          </w:p>
        </w:tc>
      </w:tr>
      <w:tr>
        <w:tc>
          <w:tcPr>
            <w:tcW w:type="dxa" w:w="1881"/>
          </w:tcPr>
          <w:p>
            <w:pPr>
              <w:jc w:val="center"/>
            </w:pPr>
            <w:r>
              <w:rPr>
                <w:sz w:val="18"/>
              </w:rPr>
              <w:t>Order appears as completed but customer haven't receive it - market place</w:t>
            </w:r>
          </w:p>
        </w:tc>
        <w:tc>
          <w:tcPr>
            <w:tcW w:type="dxa" w:w="1881"/>
          </w:tcPr>
          <w:p>
            <w:pPr>
              <w:jc w:val="center"/>
            </w:pPr>
            <w:r>
              <w:rPr>
                <w:sz w:val="18"/>
              </w:rPr>
              <w:t>47.5</w:t>
            </w:r>
          </w:p>
        </w:tc>
        <w:tc>
          <w:tcPr>
            <w:tcW w:type="dxa" w:w="1881"/>
          </w:tcPr>
          <w:p>
            <w:pPr>
              <w:jc w:val="center"/>
            </w:pPr>
            <w:r>
              <w:rPr>
                <w:sz w:val="18"/>
              </w:rPr>
              <w:t>4</w:t>
            </w:r>
          </w:p>
        </w:tc>
        <w:tc>
          <w:tcPr>
            <w:tcW w:type="dxa" w:w="1881"/>
            <w:shd w:fill="DC3545"/>
          </w:tcPr>
          <w:p>
            <w:pPr>
              <w:jc w:val="center"/>
            </w:pPr>
            <w:r>
              <w:rPr>
                <w:sz w:val="18"/>
              </w:rPr>
              <w:t>red</w:t>
            </w:r>
          </w:p>
        </w:tc>
        <w:tc>
          <w:tcPr>
            <w:tcW w:type="dxa" w:w="1881"/>
          </w:tcPr>
          <w:p>
            <w:pPr>
              <w:jc w:val="center"/>
            </w:pPr>
            <w:r>
              <w:rPr>
                <w:sz w:val="18"/>
              </w:rPr>
              <w:t>Falla Critical: info incorrecta o negación de servicio/compensación</w:t>
            </w:r>
          </w:p>
        </w:tc>
      </w:tr>
      <w:tr>
        <w:tc>
          <w:tcPr>
            <w:tcW w:type="dxa" w:w="1881"/>
          </w:tcPr>
          <w:p>
            <w:pPr>
              <w:jc w:val="center"/>
            </w:pPr>
            <w:r>
              <w:rPr>
                <w:sz w:val="18"/>
              </w:rPr>
              <w:t>Order is active but customer already received it</w:t>
            </w:r>
          </w:p>
        </w:tc>
        <w:tc>
          <w:tcPr>
            <w:tcW w:type="dxa" w:w="1881"/>
          </w:tcPr>
          <w:p>
            <w:pPr>
              <w:jc w:val="center"/>
            </w:pPr>
            <w:r>
              <w:rPr>
                <w:sz w:val="18"/>
              </w:rPr>
              <w:t>65.8</w:t>
            </w:r>
          </w:p>
        </w:tc>
        <w:tc>
          <w:tcPr>
            <w:tcW w:type="dxa" w:w="1881"/>
          </w:tcPr>
          <w:p>
            <w:pPr>
              <w:jc w:val="center"/>
            </w:pPr>
            <w:r>
              <w:rPr>
                <w:sz w:val="18"/>
              </w:rPr>
              <w:t>12</w:t>
            </w:r>
          </w:p>
        </w:tc>
        <w:tc>
          <w:tcPr>
            <w:tcW w:type="dxa" w:w="1881"/>
            <w:shd w:fill="DC3545"/>
          </w:tcPr>
          <w:p>
            <w:pPr>
              <w:jc w:val="center"/>
            </w:pPr>
            <w:r>
              <w:rPr>
                <w:sz w:val="18"/>
              </w:rPr>
              <w:t>red</w:t>
            </w:r>
          </w:p>
        </w:tc>
        <w:tc>
          <w:tcPr>
            <w:tcW w:type="dxa" w:w="1881"/>
          </w:tcPr>
          <w:p>
            <w:pPr>
              <w:jc w:val="center"/>
            </w:pPr>
            <w:r>
              <w:rPr>
                <w:sz w:val="18"/>
              </w:rPr>
              <w:t>Falla Critical: info incorrecta o negación de servicio/compensación</w:t>
            </w:r>
          </w:p>
        </w:tc>
      </w:tr>
      <w:tr>
        <w:tc>
          <w:tcPr>
            <w:tcW w:type="dxa" w:w="1881"/>
          </w:tcPr>
          <w:p>
            <w:pPr>
              <w:jc w:val="center"/>
            </w:pPr>
            <w:r>
              <w:rPr>
                <w:sz w:val="18"/>
              </w:rPr>
              <w:t>Order appears as completed but customer haven't receive it - full service</w:t>
            </w:r>
          </w:p>
        </w:tc>
        <w:tc>
          <w:tcPr>
            <w:tcW w:type="dxa" w:w="1881"/>
          </w:tcPr>
          <w:p>
            <w:pPr>
              <w:jc w:val="center"/>
            </w:pPr>
            <w:r>
              <w:rPr>
                <w:sz w:val="18"/>
              </w:rPr>
              <w:t>68.2</w:t>
            </w:r>
          </w:p>
        </w:tc>
        <w:tc>
          <w:tcPr>
            <w:tcW w:type="dxa" w:w="1881"/>
          </w:tcPr>
          <w:p>
            <w:pPr>
              <w:jc w:val="center"/>
            </w:pPr>
            <w:r>
              <w:rPr>
                <w:sz w:val="18"/>
              </w:rPr>
              <w:t>49</w:t>
            </w:r>
          </w:p>
        </w:tc>
        <w:tc>
          <w:tcPr>
            <w:tcW w:type="dxa" w:w="1881"/>
            <w:shd w:fill="DC3545"/>
          </w:tcPr>
          <w:p>
            <w:pPr>
              <w:jc w:val="center"/>
            </w:pPr>
            <w:r>
              <w:rPr>
                <w:sz w:val="18"/>
              </w:rPr>
              <w:t>red</w:t>
            </w:r>
          </w:p>
        </w:tc>
        <w:tc>
          <w:tcPr>
            <w:tcW w:type="dxa" w:w="1881"/>
          </w:tcPr>
          <w:p>
            <w:pPr>
              <w:jc w:val="center"/>
            </w:pPr>
            <w:r>
              <w:rPr>
                <w:sz w:val="18"/>
              </w:rPr>
              <w:t>Falla Critical: info incorrecta o negación de servicio/compensación</w:t>
            </w:r>
          </w:p>
        </w:tc>
      </w:tr>
      <w:tr>
        <w:tc>
          <w:tcPr>
            <w:tcW w:type="dxa" w:w="1881"/>
          </w:tcPr>
          <w:p>
            <w:pPr>
              <w:jc w:val="center"/>
            </w:pPr>
            <w:r>
              <w:rPr>
                <w:sz w:val="18"/>
              </w:rPr>
              <w:t>verbal aggression</w:t>
            </w:r>
          </w:p>
        </w:tc>
        <w:tc>
          <w:tcPr>
            <w:tcW w:type="dxa" w:w="1881"/>
          </w:tcPr>
          <w:p>
            <w:pPr>
              <w:jc w:val="center"/>
            </w:pPr>
            <w:r>
              <w:rPr>
                <w:sz w:val="18"/>
              </w:rPr>
              <w:t>76.0</w:t>
            </w:r>
          </w:p>
        </w:tc>
        <w:tc>
          <w:tcPr>
            <w:tcW w:type="dxa" w:w="1881"/>
          </w:tcPr>
          <w:p>
            <w:pPr>
              <w:jc w:val="center"/>
            </w:pPr>
            <w:r>
              <w:rPr>
                <w:sz w:val="18"/>
              </w:rPr>
              <w:t>5</w:t>
            </w:r>
          </w:p>
        </w:tc>
        <w:tc>
          <w:tcPr>
            <w:tcW w:type="dxa" w:w="1881"/>
            <w:shd w:fill="DC3545"/>
          </w:tcPr>
          <w:p>
            <w:pPr>
              <w:jc w:val="center"/>
            </w:pPr>
            <w:r>
              <w:rPr>
                <w:sz w:val="18"/>
              </w:rPr>
              <w:t>red</w:t>
            </w:r>
          </w:p>
        </w:tc>
        <w:tc>
          <w:tcPr>
            <w:tcW w:type="dxa" w:w="1881"/>
          </w:tcPr>
          <w:p>
            <w:pPr>
              <w:jc w:val="center"/>
            </w:pPr>
            <w:r>
              <w:rPr>
                <w:sz w:val="18"/>
              </w:rPr>
              <w:t>Falla Critical: info incorrecta o negación de servicio/compensación</w:t>
            </w:r>
          </w:p>
        </w:tc>
      </w:tr>
      <w:tr>
        <w:tc>
          <w:tcPr>
            <w:tcW w:type="dxa" w:w="1881"/>
          </w:tcPr>
          <w:p>
            <w:pPr>
              <w:jc w:val="center"/>
            </w:pPr>
            <w:r>
              <w:rPr>
                <w:sz w:val="18"/>
              </w:rPr>
              <w:t>Refund status and conditions</w:t>
            </w:r>
          </w:p>
        </w:tc>
        <w:tc>
          <w:tcPr>
            <w:tcW w:type="dxa" w:w="1881"/>
          </w:tcPr>
          <w:p>
            <w:pPr>
              <w:jc w:val="center"/>
            </w:pPr>
            <w:r>
              <w:rPr>
                <w:sz w:val="18"/>
              </w:rPr>
              <w:t>76.4</w:t>
            </w:r>
          </w:p>
        </w:tc>
        <w:tc>
          <w:tcPr>
            <w:tcW w:type="dxa" w:w="1881"/>
          </w:tcPr>
          <w:p>
            <w:pPr>
              <w:jc w:val="center"/>
            </w:pPr>
            <w:r>
              <w:rPr>
                <w:sz w:val="18"/>
              </w:rPr>
              <w:t>25</w:t>
            </w:r>
          </w:p>
        </w:tc>
        <w:tc>
          <w:tcPr>
            <w:tcW w:type="dxa" w:w="1881"/>
            <w:shd w:fill="DC3545"/>
          </w:tcPr>
          <w:p>
            <w:pPr>
              <w:jc w:val="center"/>
            </w:pPr>
            <w:r>
              <w:rPr>
                <w:sz w:val="18"/>
              </w:rPr>
              <w:t>red</w:t>
            </w:r>
          </w:p>
        </w:tc>
        <w:tc>
          <w:tcPr>
            <w:tcW w:type="dxa" w:w="1881"/>
          </w:tcPr>
          <w:p>
            <w:pPr>
              <w:jc w:val="center"/>
            </w:pPr>
            <w:r>
              <w:rPr>
                <w:sz w:val="18"/>
              </w:rPr>
              <w:t>Falla Critical: info incorrecta o negación de servicio/compensación</w:t>
            </w:r>
          </w:p>
        </w:tc>
      </w:tr>
      <w:tr>
        <w:tc>
          <w:tcPr>
            <w:tcW w:type="dxa" w:w="1881"/>
          </w:tcPr>
          <w:p>
            <w:pPr>
              <w:jc w:val="center"/>
            </w:pPr>
            <w:r>
              <w:rPr>
                <w:sz w:val="18"/>
              </w:rPr>
              <w:t>referral coupon information</w:t>
            </w:r>
          </w:p>
        </w:tc>
        <w:tc>
          <w:tcPr>
            <w:tcW w:type="dxa" w:w="1881"/>
          </w:tcPr>
          <w:p>
            <w:pPr>
              <w:jc w:val="center"/>
            </w:pPr>
            <w:r>
              <w:rPr>
                <w:sz w:val="18"/>
              </w:rPr>
              <w:t>80.0</w:t>
            </w:r>
          </w:p>
        </w:tc>
        <w:tc>
          <w:tcPr>
            <w:tcW w:type="dxa" w:w="1881"/>
          </w:tcPr>
          <w:p>
            <w:pPr>
              <w:jc w:val="center"/>
            </w:pPr>
            <w:r>
              <w:rPr>
                <w:sz w:val="18"/>
              </w:rPr>
              <w:t>5</w:t>
            </w:r>
          </w:p>
        </w:tc>
        <w:tc>
          <w:tcPr>
            <w:tcW w:type="dxa" w:w="1881"/>
            <w:shd w:fill="FFC107"/>
          </w:tcPr>
          <w:p>
            <w:pPr>
              <w:jc w:val="center"/>
            </w:pPr>
            <w:r>
              <w:rPr>
                <w:sz w:val="18"/>
              </w:rPr>
              <w:t>amber</w:t>
            </w:r>
          </w:p>
        </w:tc>
        <w:tc>
          <w:tcPr>
            <w:tcW w:type="dxa" w:w="1881"/>
          </w:tcPr>
          <w:p>
            <w:pPr>
              <w:jc w:val="center"/>
            </w:pPr>
            <w:r>
              <w:rPr>
                <w:sz w:val="18"/>
              </w:rPr>
              <w:t>Falla Critical: info incorrecta o negación de servicio/compensación</w:t>
            </w:r>
          </w:p>
        </w:tc>
      </w:tr>
      <w:tr>
        <w:tc>
          <w:tcPr>
            <w:tcW w:type="dxa" w:w="1881"/>
          </w:tcPr>
          <w:p>
            <w:pPr>
              <w:jc w:val="center"/>
            </w:pPr>
            <w:r>
              <w:rPr>
                <w:sz w:val="18"/>
              </w:rPr>
              <w:t>store registration</w:t>
            </w:r>
          </w:p>
        </w:tc>
        <w:tc>
          <w:tcPr>
            <w:tcW w:type="dxa" w:w="1881"/>
          </w:tcPr>
          <w:p>
            <w:pPr>
              <w:jc w:val="center"/>
            </w:pPr>
            <w:r>
              <w:rPr>
                <w:sz w:val="18"/>
              </w:rPr>
              <w:t>80.0</w:t>
            </w:r>
          </w:p>
        </w:tc>
        <w:tc>
          <w:tcPr>
            <w:tcW w:type="dxa" w:w="1881"/>
          </w:tcPr>
          <w:p>
            <w:pPr>
              <w:jc w:val="center"/>
            </w:pPr>
            <w:r>
              <w:rPr>
                <w:sz w:val="18"/>
              </w:rPr>
              <w:t>5</w:t>
            </w:r>
          </w:p>
        </w:tc>
        <w:tc>
          <w:tcPr>
            <w:tcW w:type="dxa" w:w="1881"/>
            <w:shd w:fill="FFC107"/>
          </w:tcPr>
          <w:p>
            <w:pPr>
              <w:jc w:val="center"/>
            </w:pPr>
            <w:r>
              <w:rPr>
                <w:sz w:val="18"/>
              </w:rPr>
              <w:t>amber</w:t>
            </w:r>
          </w:p>
        </w:tc>
        <w:tc>
          <w:tcPr>
            <w:tcW w:type="dxa" w:w="1881"/>
          </w:tcPr>
          <w:p>
            <w:pPr>
              <w:jc w:val="center"/>
            </w:pPr>
            <w:r>
              <w:rPr>
                <w:sz w:val="18"/>
              </w:rPr>
              <w:t>Falla Critical: info incorrecta o negación de servicio/compensación</w:t>
            </w:r>
          </w:p>
        </w:tc>
      </w:tr>
      <w:tr>
        <w:tc>
          <w:tcPr>
            <w:tcW w:type="dxa" w:w="1881"/>
          </w:tcPr>
          <w:p>
            <w:pPr>
              <w:jc w:val="center"/>
            </w:pPr>
            <w:r>
              <w:rPr>
                <w:sz w:val="18"/>
              </w:rPr>
              <w:t>Wrong order</w:t>
            </w:r>
          </w:p>
        </w:tc>
        <w:tc>
          <w:tcPr>
            <w:tcW w:type="dxa" w:w="1881"/>
          </w:tcPr>
          <w:p>
            <w:pPr>
              <w:jc w:val="center"/>
            </w:pPr>
            <w:r>
              <w:rPr>
                <w:sz w:val="18"/>
              </w:rPr>
              <w:t>81.0</w:t>
            </w:r>
          </w:p>
        </w:tc>
        <w:tc>
          <w:tcPr>
            <w:tcW w:type="dxa" w:w="1881"/>
          </w:tcPr>
          <w:p>
            <w:pPr>
              <w:jc w:val="center"/>
            </w:pPr>
            <w:r>
              <w:rPr>
                <w:sz w:val="18"/>
              </w:rPr>
              <w:t>20</w:t>
            </w:r>
          </w:p>
        </w:tc>
        <w:tc>
          <w:tcPr>
            <w:tcW w:type="dxa" w:w="1881"/>
            <w:shd w:fill="FFC107"/>
          </w:tcPr>
          <w:p>
            <w:pPr>
              <w:jc w:val="center"/>
            </w:pPr>
            <w:r>
              <w:rPr>
                <w:sz w:val="18"/>
              </w:rPr>
              <w:t>amber</w:t>
            </w:r>
          </w:p>
        </w:tc>
        <w:tc>
          <w:tcPr>
            <w:tcW w:type="dxa" w:w="1881"/>
          </w:tcPr>
          <w:p>
            <w:pPr>
              <w:jc w:val="center"/>
            </w:pPr>
            <w:r>
              <w:rPr>
                <w:sz w:val="18"/>
              </w:rPr>
              <w:t>Falla Critical: info incorrecta o negación de servicio/compensación</w:t>
            </w:r>
          </w:p>
        </w:tc>
      </w:tr>
      <w:tr>
        <w:tc>
          <w:tcPr>
            <w:tcW w:type="dxa" w:w="1881"/>
          </w:tcPr>
          <w:p>
            <w:pPr>
              <w:jc w:val="center"/>
            </w:pPr>
            <w:r>
              <w:rPr>
                <w:sz w:val="18"/>
              </w:rPr>
              <w:t>modify payment method</w:t>
            </w:r>
          </w:p>
        </w:tc>
        <w:tc>
          <w:tcPr>
            <w:tcW w:type="dxa" w:w="1881"/>
          </w:tcPr>
          <w:p>
            <w:pPr>
              <w:jc w:val="center"/>
            </w:pPr>
            <w:r>
              <w:rPr>
                <w:sz w:val="18"/>
              </w:rPr>
              <w:t>86.7</w:t>
            </w:r>
          </w:p>
        </w:tc>
        <w:tc>
          <w:tcPr>
            <w:tcW w:type="dxa" w:w="1881"/>
          </w:tcPr>
          <w:p>
            <w:pPr>
              <w:jc w:val="center"/>
            </w:pPr>
            <w:r>
              <w:rPr>
                <w:sz w:val="18"/>
              </w:rPr>
              <w:t>9</w:t>
            </w:r>
          </w:p>
        </w:tc>
        <w:tc>
          <w:tcPr>
            <w:tcW w:type="dxa" w:w="1881"/>
            <w:shd w:fill="28A745"/>
          </w:tcPr>
          <w:p>
            <w:pPr>
              <w:jc w:val="center"/>
            </w:pPr>
            <w:r>
              <w:rPr>
                <w:sz w:val="18"/>
              </w:rPr>
              <w:t>green</w:t>
            </w:r>
          </w:p>
        </w:tc>
        <w:tc>
          <w:tcPr>
            <w:tcW w:type="dxa" w:w="1881"/>
          </w:tcPr>
          <w:p>
            <w:pPr>
              <w:jc w:val="center"/>
            </w:pPr>
            <w:r>
              <w:rPr>
                <w:sz w:val="18"/>
              </w:rPr>
              <w:t>Falla Critical: info incorrecta o negación de servicio/compensación</w:t>
            </w:r>
          </w:p>
        </w:tc>
      </w:tr>
      <w:tr>
        <w:tc>
          <w:tcPr>
            <w:tcW w:type="dxa" w:w="1881"/>
          </w:tcPr>
          <w:p>
            <w:pPr>
              <w:jc w:val="center"/>
            </w:pPr>
            <w:r>
              <w:rPr>
                <w:sz w:val="18"/>
              </w:rPr>
              <w:t>cancel the order</w:t>
            </w:r>
          </w:p>
        </w:tc>
        <w:tc>
          <w:tcPr>
            <w:tcW w:type="dxa" w:w="1881"/>
          </w:tcPr>
          <w:p>
            <w:pPr>
              <w:jc w:val="center"/>
            </w:pPr>
            <w:r>
              <w:rPr>
                <w:sz w:val="18"/>
              </w:rPr>
              <w:t>86.7</w:t>
            </w:r>
          </w:p>
        </w:tc>
        <w:tc>
          <w:tcPr>
            <w:tcW w:type="dxa" w:w="1881"/>
          </w:tcPr>
          <w:p>
            <w:pPr>
              <w:jc w:val="center"/>
            </w:pPr>
            <w:r>
              <w:rPr>
                <w:sz w:val="18"/>
              </w:rPr>
              <w:t>9</w:t>
            </w:r>
          </w:p>
        </w:tc>
        <w:tc>
          <w:tcPr>
            <w:tcW w:type="dxa" w:w="1881"/>
            <w:shd w:fill="28A745"/>
          </w:tcPr>
          <w:p>
            <w:pPr>
              <w:jc w:val="center"/>
            </w:pPr>
            <w:r>
              <w:rPr>
                <w:sz w:val="18"/>
              </w:rPr>
              <w:t>green</w:t>
            </w:r>
          </w:p>
        </w:tc>
        <w:tc>
          <w:tcPr>
            <w:tcW w:type="dxa" w:w="1881"/>
          </w:tcPr>
          <w:p>
            <w:pPr>
              <w:jc w:val="center"/>
            </w:pPr>
            <w:r>
              <w:rPr>
                <w:sz w:val="18"/>
              </w:rPr>
              <w:t>Falla Critical: info incorrecta o negación de servicio/compensación</w:t>
            </w:r>
          </w:p>
        </w:tc>
      </w:tr>
    </w:tbl>
    <w:p>
      <w:r>
        <w:drawing>
          <wp:inline xmlns:a="http://schemas.openxmlformats.org/drawingml/2006/main" xmlns:pic="http://schemas.openxmlformats.org/drawingml/2006/picture">
            <wp:extent cx="5486400" cy="2984360"/>
            <wp:docPr id="3" name="Picture 3"/>
            <wp:cNvGraphicFramePr>
              <a:graphicFrameLocks noChangeAspect="1"/>
            </wp:cNvGraphicFramePr>
            <a:graphic>
              <a:graphicData uri="http://schemas.openxmlformats.org/drawingml/2006/picture">
                <pic:pic>
                  <pic:nvPicPr>
                    <pic:cNvPr id="0" name="04_control_chart_qa.png"/>
                    <pic:cNvPicPr/>
                  </pic:nvPicPr>
                  <pic:blipFill>
                    <a:blip r:embed="rId11"/>
                    <a:stretch>
                      <a:fillRect/>
                    </a:stretch>
                  </pic:blipFill>
                  <pic:spPr>
                    <a:xfrm>
                      <a:off x="0" y="0"/>
                      <a:ext cx="5486400" cy="2984360"/>
                    </a:xfrm>
                    <a:prstGeom prst="rect"/>
                  </pic:spPr>
                </pic:pic>
              </a:graphicData>
            </a:graphic>
          </wp:inline>
        </w:drawing>
      </w:r>
    </w:p>
    <w:p>
      <w:pPr>
        <w:pStyle w:val="Heading1"/>
      </w:pPr>
      <w:r>
        <w:rPr>
          <w:color w:val="FF6600"/>
        </w:rPr>
        <w:t>4. CSAT / VOC Analysis</w:t>
      </w:r>
    </w:p>
    <w:p>
      <w:r>
        <w:rPr>
          <w:b/>
        </w:rPr>
        <w:t xml:space="preserve">CSAT Global: </w:t>
      </w:r>
      <w:r>
        <w:t xml:space="preserve">79.95% (Meta: 85%) — </w:t>
      </w:r>
      <w:r>
        <w:rPr>
          <w:b/>
          <w:color w:val="DC3545"/>
        </w:rPr>
        <w:t>Más de 5pp bajo meta</w:t>
      </w:r>
    </w:p>
    <w:p>
      <w:r>
        <w:t>CSAT por canal: Phone 86.26% (verde, +1.26pp) vs Live Chat 77.55% (rojo, -7.45pp). Live Chat representa 72.4% del feedback (55,962 encuestas), arrastrando el promedio global.</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A1A1A"/>
          </w:tcPr>
          <w:p>
            <w:pPr>
              <w:jc w:val="center"/>
            </w:pPr>
            <w:r>
              <w:rPr>
                <w:b/>
                <w:color w:val="FFFFFF"/>
                <w:sz w:val="18"/>
              </w:rPr>
              <w:t>Canal</w:t>
            </w:r>
          </w:p>
        </w:tc>
        <w:tc>
          <w:tcPr>
            <w:tcW w:type="dxa" w:w="1881"/>
            <w:shd w:val="clear" w:color="auto" w:fill="1A1A1A"/>
          </w:tcPr>
          <w:p>
            <w:pPr>
              <w:jc w:val="center"/>
            </w:pPr>
            <w:r>
              <w:rPr>
                <w:b/>
                <w:color w:val="FFFFFF"/>
                <w:sz w:val="18"/>
              </w:rPr>
              <w:t>Feedback</w:t>
            </w:r>
          </w:p>
        </w:tc>
        <w:tc>
          <w:tcPr>
            <w:tcW w:type="dxa" w:w="1881"/>
            <w:shd w:val="clear" w:color="auto" w:fill="1A1A1A"/>
          </w:tcPr>
          <w:p>
            <w:pPr>
              <w:jc w:val="center"/>
            </w:pPr>
            <w:r>
              <w:rPr>
                <w:b/>
                <w:color w:val="FFFFFF"/>
                <w:sz w:val="18"/>
              </w:rPr>
              <w:t>CSAT %</w:t>
            </w:r>
          </w:p>
        </w:tc>
        <w:tc>
          <w:tcPr>
            <w:tcW w:type="dxa" w:w="1881"/>
            <w:shd w:val="clear" w:color="auto" w:fill="1A1A1A"/>
          </w:tcPr>
          <w:p>
            <w:pPr>
              <w:jc w:val="center"/>
            </w:pPr>
            <w:r>
              <w:rPr>
                <w:b/>
                <w:color w:val="FFFFFF"/>
                <w:sz w:val="18"/>
              </w:rPr>
              <w:t>Brecha</w:t>
            </w:r>
          </w:p>
        </w:tc>
        <w:tc>
          <w:tcPr>
            <w:tcW w:type="dxa" w:w="1881"/>
            <w:shd w:val="clear" w:color="auto" w:fill="1A1A1A"/>
          </w:tcPr>
          <w:p>
            <w:pPr>
              <w:jc w:val="center"/>
            </w:pPr>
            <w:r>
              <w:rPr>
                <w:b/>
                <w:color w:val="FFFFFF"/>
                <w:sz w:val="18"/>
              </w:rPr>
              <w:t>Estado</w:t>
            </w:r>
          </w:p>
        </w:tc>
      </w:tr>
      <w:tr>
        <w:tc>
          <w:tcPr>
            <w:tcW w:type="dxa" w:w="1881"/>
          </w:tcPr>
          <w:p>
            <w:pPr>
              <w:jc w:val="center"/>
            </w:pPr>
            <w:r>
              <w:rPr>
                <w:sz w:val="18"/>
              </w:rPr>
              <w:t>Phone</w:t>
            </w:r>
          </w:p>
        </w:tc>
        <w:tc>
          <w:tcPr>
            <w:tcW w:type="dxa" w:w="1881"/>
          </w:tcPr>
          <w:p>
            <w:pPr>
              <w:jc w:val="center"/>
            </w:pPr>
            <w:r>
              <w:rPr>
                <w:sz w:val="18"/>
              </w:rPr>
              <w:t>21,304</w:t>
            </w:r>
          </w:p>
        </w:tc>
        <w:tc>
          <w:tcPr>
            <w:tcW w:type="dxa" w:w="1881"/>
          </w:tcPr>
          <w:p>
            <w:pPr>
              <w:jc w:val="center"/>
            </w:pPr>
            <w:r>
              <w:rPr>
                <w:sz w:val="18"/>
              </w:rPr>
              <w:t>86.26%</w:t>
            </w:r>
          </w:p>
        </w:tc>
        <w:tc>
          <w:tcPr>
            <w:tcW w:type="dxa" w:w="1881"/>
          </w:tcPr>
          <w:p>
            <w:pPr>
              <w:jc w:val="center"/>
            </w:pPr>
            <w:r>
              <w:rPr>
                <w:sz w:val="18"/>
              </w:rPr>
              <w:t>+1.26pp</w:t>
            </w:r>
          </w:p>
        </w:tc>
        <w:tc>
          <w:tcPr>
            <w:tcW w:type="dxa" w:w="1881"/>
            <w:shd w:fill="28A745"/>
          </w:tcPr>
          <w:p>
            <w:pPr>
              <w:jc w:val="center"/>
            </w:pPr>
            <w:r>
              <w:rPr>
                <w:sz w:val="18"/>
              </w:rPr>
              <w:t>green</w:t>
            </w:r>
          </w:p>
        </w:tc>
      </w:tr>
      <w:tr>
        <w:tc>
          <w:tcPr>
            <w:tcW w:type="dxa" w:w="1881"/>
          </w:tcPr>
          <w:p>
            <w:pPr>
              <w:jc w:val="center"/>
            </w:pPr>
            <w:r>
              <w:rPr>
                <w:sz w:val="18"/>
              </w:rPr>
              <w:t>Live Chat</w:t>
            </w:r>
          </w:p>
        </w:tc>
        <w:tc>
          <w:tcPr>
            <w:tcW w:type="dxa" w:w="1881"/>
          </w:tcPr>
          <w:p>
            <w:pPr>
              <w:jc w:val="center"/>
            </w:pPr>
            <w:r>
              <w:rPr>
                <w:sz w:val="18"/>
              </w:rPr>
              <w:t>55,962</w:t>
            </w:r>
          </w:p>
        </w:tc>
        <w:tc>
          <w:tcPr>
            <w:tcW w:type="dxa" w:w="1881"/>
          </w:tcPr>
          <w:p>
            <w:pPr>
              <w:jc w:val="center"/>
            </w:pPr>
            <w:r>
              <w:rPr>
                <w:sz w:val="18"/>
              </w:rPr>
              <w:t>77.55%</w:t>
            </w:r>
          </w:p>
        </w:tc>
        <w:tc>
          <w:tcPr>
            <w:tcW w:type="dxa" w:w="1881"/>
          </w:tcPr>
          <w:p>
            <w:pPr>
              <w:jc w:val="center"/>
            </w:pPr>
            <w:r>
              <w:rPr>
                <w:sz w:val="18"/>
              </w:rPr>
              <w:t>-7.45pp</w:t>
            </w:r>
          </w:p>
        </w:tc>
        <w:tc>
          <w:tcPr>
            <w:tcW w:type="dxa" w:w="1881"/>
            <w:shd w:fill="DC3545"/>
          </w:tcPr>
          <w:p>
            <w:pPr>
              <w:jc w:val="center"/>
            </w:pPr>
            <w:r>
              <w:rPr>
                <w:sz w:val="18"/>
              </w:rPr>
              <w:t>red</w:t>
            </w:r>
          </w:p>
        </w:tc>
      </w:tr>
    </w:tbl>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1A1A"/>
          </w:tcPr>
          <w:p>
            <w:pPr>
              <w:jc w:val="center"/>
            </w:pPr>
            <w:r>
              <w:rPr>
                <w:b/>
                <w:color w:val="FFFFFF"/>
                <w:sz w:val="18"/>
              </w:rPr>
              <w:t>Business Type</w:t>
            </w:r>
          </w:p>
        </w:tc>
        <w:tc>
          <w:tcPr>
            <w:tcW w:type="dxa" w:w="2351"/>
            <w:shd w:val="clear" w:color="auto" w:fill="1A1A1A"/>
          </w:tcPr>
          <w:p>
            <w:pPr>
              <w:jc w:val="center"/>
            </w:pPr>
            <w:r>
              <w:rPr>
                <w:b/>
                <w:color w:val="FFFFFF"/>
                <w:sz w:val="18"/>
              </w:rPr>
              <w:t>Feedback</w:t>
            </w:r>
          </w:p>
        </w:tc>
        <w:tc>
          <w:tcPr>
            <w:tcW w:type="dxa" w:w="2351"/>
            <w:shd w:val="clear" w:color="auto" w:fill="1A1A1A"/>
          </w:tcPr>
          <w:p>
            <w:pPr>
              <w:jc w:val="center"/>
            </w:pPr>
            <w:r>
              <w:rPr>
                <w:b/>
                <w:color w:val="FFFFFF"/>
                <w:sz w:val="18"/>
              </w:rPr>
              <w:t>CSAT %</w:t>
            </w:r>
          </w:p>
        </w:tc>
        <w:tc>
          <w:tcPr>
            <w:tcW w:type="dxa" w:w="2351"/>
            <w:shd w:val="clear" w:color="auto" w:fill="1A1A1A"/>
          </w:tcPr>
          <w:p>
            <w:pPr>
              <w:jc w:val="center"/>
            </w:pPr>
            <w:r>
              <w:rPr>
                <w:b/>
                <w:color w:val="FFFFFF"/>
                <w:sz w:val="18"/>
              </w:rPr>
              <w:t>Estado</w:t>
            </w:r>
          </w:p>
        </w:tc>
      </w:tr>
      <w:tr>
        <w:tc>
          <w:tcPr>
            <w:tcW w:type="dxa" w:w="2351"/>
          </w:tcPr>
          <w:p>
            <w:pPr>
              <w:jc w:val="center"/>
            </w:pPr>
            <w:r>
              <w:rPr>
                <w:sz w:val="18"/>
              </w:rPr>
              <w:t>Other</w:t>
            </w:r>
          </w:p>
        </w:tc>
        <w:tc>
          <w:tcPr>
            <w:tcW w:type="dxa" w:w="2351"/>
          </w:tcPr>
          <w:p>
            <w:pPr>
              <w:jc w:val="center"/>
            </w:pPr>
            <w:r>
              <w:rPr>
                <w:sz w:val="18"/>
              </w:rPr>
              <w:t>558</w:t>
            </w:r>
          </w:p>
        </w:tc>
        <w:tc>
          <w:tcPr>
            <w:tcW w:type="dxa" w:w="2351"/>
          </w:tcPr>
          <w:p>
            <w:pPr>
              <w:jc w:val="center"/>
            </w:pPr>
            <w:r>
              <w:rPr>
                <w:sz w:val="18"/>
              </w:rPr>
              <w:t>26.52%</w:t>
            </w:r>
          </w:p>
        </w:tc>
        <w:tc>
          <w:tcPr>
            <w:tcW w:type="dxa" w:w="2351"/>
            <w:shd w:fill="DC3545"/>
          </w:tcPr>
          <w:p>
            <w:pPr>
              <w:jc w:val="center"/>
            </w:pPr>
            <w:r>
              <w:rPr>
                <w:sz w:val="18"/>
              </w:rPr>
              <w:t>red</w:t>
            </w:r>
          </w:p>
        </w:tc>
      </w:tr>
      <w:tr>
        <w:tc>
          <w:tcPr>
            <w:tcW w:type="dxa" w:w="2351"/>
          </w:tcPr>
          <w:p>
            <w:pPr>
              <w:jc w:val="center"/>
            </w:pPr>
            <w:r>
              <w:rPr>
                <w:sz w:val="18"/>
              </w:rPr>
              <w:t>Pickup</w:t>
            </w:r>
          </w:p>
        </w:tc>
        <w:tc>
          <w:tcPr>
            <w:tcW w:type="dxa" w:w="2351"/>
          </w:tcPr>
          <w:p>
            <w:pPr>
              <w:jc w:val="center"/>
            </w:pPr>
            <w:r>
              <w:rPr>
                <w:sz w:val="18"/>
              </w:rPr>
              <w:t>35</w:t>
            </w:r>
          </w:p>
        </w:tc>
        <w:tc>
          <w:tcPr>
            <w:tcW w:type="dxa" w:w="2351"/>
          </w:tcPr>
          <w:p>
            <w:pPr>
              <w:jc w:val="center"/>
            </w:pPr>
            <w:r>
              <w:rPr>
                <w:sz w:val="18"/>
              </w:rPr>
              <w:t>74.29%</w:t>
            </w:r>
          </w:p>
        </w:tc>
        <w:tc>
          <w:tcPr>
            <w:tcW w:type="dxa" w:w="2351"/>
            <w:shd w:fill="DC3545"/>
          </w:tcPr>
          <w:p>
            <w:pPr>
              <w:jc w:val="center"/>
            </w:pPr>
            <w:r>
              <w:rPr>
                <w:sz w:val="18"/>
              </w:rPr>
              <w:t>red</w:t>
            </w:r>
          </w:p>
        </w:tc>
      </w:tr>
      <w:tr>
        <w:tc>
          <w:tcPr>
            <w:tcW w:type="dxa" w:w="2351"/>
          </w:tcPr>
          <w:p>
            <w:pPr>
              <w:jc w:val="center"/>
            </w:pPr>
            <w:r>
              <w:rPr>
                <w:sz w:val="18"/>
              </w:rPr>
              <w:t>Full Service</w:t>
            </w:r>
          </w:p>
        </w:tc>
        <w:tc>
          <w:tcPr>
            <w:tcW w:type="dxa" w:w="2351"/>
          </w:tcPr>
          <w:p>
            <w:pPr>
              <w:jc w:val="center"/>
            </w:pPr>
            <w:r>
              <w:rPr>
                <w:sz w:val="18"/>
              </w:rPr>
              <w:t>27113</w:t>
            </w:r>
          </w:p>
        </w:tc>
        <w:tc>
          <w:tcPr>
            <w:tcW w:type="dxa" w:w="2351"/>
          </w:tcPr>
          <w:p>
            <w:pPr>
              <w:jc w:val="center"/>
            </w:pPr>
            <w:r>
              <w:rPr>
                <w:sz w:val="18"/>
              </w:rPr>
              <w:t>79.67%</w:t>
            </w:r>
          </w:p>
        </w:tc>
        <w:tc>
          <w:tcPr>
            <w:tcW w:type="dxa" w:w="2351"/>
            <w:shd w:fill="DC3545"/>
          </w:tcPr>
          <w:p>
            <w:pPr>
              <w:jc w:val="center"/>
            </w:pPr>
            <w:r>
              <w:rPr>
                <w:sz w:val="18"/>
              </w:rPr>
              <w:t>red</w:t>
            </w:r>
          </w:p>
        </w:tc>
      </w:tr>
      <w:tr>
        <w:tc>
          <w:tcPr>
            <w:tcW w:type="dxa" w:w="2351"/>
          </w:tcPr>
          <w:p>
            <w:pPr>
              <w:jc w:val="center"/>
            </w:pPr>
            <w:r>
              <w:rPr>
                <w:sz w:val="18"/>
              </w:rPr>
              <w:t>Market Place</w:t>
            </w:r>
          </w:p>
        </w:tc>
        <w:tc>
          <w:tcPr>
            <w:tcW w:type="dxa" w:w="2351"/>
          </w:tcPr>
          <w:p>
            <w:pPr>
              <w:jc w:val="center"/>
            </w:pPr>
            <w:r>
              <w:rPr>
                <w:sz w:val="18"/>
              </w:rPr>
              <w:t>3489</w:t>
            </w:r>
          </w:p>
        </w:tc>
        <w:tc>
          <w:tcPr>
            <w:tcW w:type="dxa" w:w="2351"/>
          </w:tcPr>
          <w:p>
            <w:pPr>
              <w:jc w:val="center"/>
            </w:pPr>
            <w:r>
              <w:rPr>
                <w:sz w:val="18"/>
              </w:rPr>
              <w:t>80.34%</w:t>
            </w:r>
          </w:p>
        </w:tc>
        <w:tc>
          <w:tcPr>
            <w:tcW w:type="dxa" w:w="2351"/>
            <w:shd w:fill="FFC107"/>
          </w:tcPr>
          <w:p>
            <w:pPr>
              <w:jc w:val="center"/>
            </w:pPr>
            <w:r>
              <w:rPr>
                <w:sz w:val="18"/>
              </w:rPr>
              <w:t>amber</w:t>
            </w:r>
          </w:p>
        </w:tc>
      </w:tr>
      <w:tr>
        <w:tc>
          <w:tcPr>
            <w:tcW w:type="dxa" w:w="2351"/>
          </w:tcPr>
          <w:p>
            <w:pPr>
              <w:jc w:val="center"/>
            </w:pPr>
            <w:r>
              <w:rPr>
                <w:sz w:val="18"/>
              </w:rPr>
              <w:t>Food</w:t>
            </w:r>
          </w:p>
        </w:tc>
        <w:tc>
          <w:tcPr>
            <w:tcW w:type="dxa" w:w="2351"/>
          </w:tcPr>
          <w:p>
            <w:pPr>
              <w:jc w:val="center"/>
            </w:pPr>
            <w:r>
              <w:rPr>
                <w:sz w:val="18"/>
              </w:rPr>
              <w:t>46071</w:t>
            </w:r>
          </w:p>
        </w:tc>
        <w:tc>
          <w:tcPr>
            <w:tcW w:type="dxa" w:w="2351"/>
          </w:tcPr>
          <w:p>
            <w:pPr>
              <w:jc w:val="center"/>
            </w:pPr>
            <w:r>
              <w:rPr>
                <w:sz w:val="18"/>
              </w:rPr>
              <w:t>80.74%</w:t>
            </w:r>
          </w:p>
        </w:tc>
        <w:tc>
          <w:tcPr>
            <w:tcW w:type="dxa" w:w="2351"/>
            <w:shd w:fill="FFC107"/>
          </w:tcPr>
          <w:p>
            <w:pPr>
              <w:jc w:val="center"/>
            </w:pPr>
            <w:r>
              <w:rPr>
                <w:sz w:val="18"/>
              </w:rPr>
              <w:t>amber</w:t>
            </w:r>
          </w:p>
        </w:tc>
      </w:tr>
    </w:tbl>
    <w:p>
      <w:r>
        <w:t>Top CR Lv4 con peor CSAT (mín. 20 feedback):</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1A1A"/>
          </w:tcPr>
          <w:p>
            <w:pPr>
              <w:jc w:val="center"/>
            </w:pPr>
            <w:r>
              <w:rPr>
                <w:b/>
                <w:color w:val="FFFFFF"/>
                <w:sz w:val="18"/>
              </w:rPr>
              <w:t>CR Lv4</w:t>
            </w:r>
          </w:p>
        </w:tc>
        <w:tc>
          <w:tcPr>
            <w:tcW w:type="dxa" w:w="2351"/>
            <w:shd w:val="clear" w:color="auto" w:fill="1A1A1A"/>
          </w:tcPr>
          <w:p>
            <w:pPr>
              <w:jc w:val="center"/>
            </w:pPr>
            <w:r>
              <w:rPr>
                <w:b/>
                <w:color w:val="FFFFFF"/>
                <w:sz w:val="18"/>
              </w:rPr>
              <w:t>Feedback</w:t>
            </w:r>
          </w:p>
        </w:tc>
        <w:tc>
          <w:tcPr>
            <w:tcW w:type="dxa" w:w="2351"/>
            <w:shd w:val="clear" w:color="auto" w:fill="1A1A1A"/>
          </w:tcPr>
          <w:p>
            <w:pPr>
              <w:jc w:val="center"/>
            </w:pPr>
            <w:r>
              <w:rPr>
                <w:b/>
                <w:color w:val="FFFFFF"/>
                <w:sz w:val="18"/>
              </w:rPr>
              <w:t>CSAT %</w:t>
            </w:r>
          </w:p>
        </w:tc>
        <w:tc>
          <w:tcPr>
            <w:tcW w:type="dxa" w:w="2351"/>
            <w:shd w:val="clear" w:color="auto" w:fill="1A1A1A"/>
          </w:tcPr>
          <w:p>
            <w:pPr>
              <w:jc w:val="center"/>
            </w:pPr>
            <w:r>
              <w:rPr>
                <w:b/>
                <w:color w:val="FFFFFF"/>
                <w:sz w:val="18"/>
              </w:rPr>
              <w:t>Estado</w:t>
            </w:r>
          </w:p>
        </w:tc>
      </w:tr>
      <w:tr>
        <w:tc>
          <w:tcPr>
            <w:tcW w:type="dxa" w:w="2351"/>
          </w:tcPr>
          <w:p>
            <w:pPr>
              <w:jc w:val="center"/>
            </w:pPr>
            <w:r>
              <w:rPr>
                <w:sz w:val="18"/>
              </w:rPr>
              <w:t>after sales user fraud (under anti fraud review)</w:t>
            </w:r>
          </w:p>
        </w:tc>
        <w:tc>
          <w:tcPr>
            <w:tcW w:type="dxa" w:w="2351"/>
          </w:tcPr>
          <w:p>
            <w:pPr>
              <w:jc w:val="center"/>
            </w:pPr>
            <w:r>
              <w:rPr>
                <w:sz w:val="18"/>
              </w:rPr>
              <w:t>475</w:t>
            </w:r>
          </w:p>
        </w:tc>
        <w:tc>
          <w:tcPr>
            <w:tcW w:type="dxa" w:w="2351"/>
          </w:tcPr>
          <w:p>
            <w:pPr>
              <w:jc w:val="center"/>
            </w:pPr>
            <w:r>
              <w:rPr>
                <w:sz w:val="18"/>
              </w:rPr>
              <w:t>6.11%</w:t>
            </w:r>
          </w:p>
        </w:tc>
        <w:tc>
          <w:tcPr>
            <w:tcW w:type="dxa" w:w="2351"/>
            <w:shd w:fill="DC3545"/>
          </w:tcPr>
          <w:p>
            <w:pPr>
              <w:jc w:val="center"/>
            </w:pPr>
            <w:r>
              <w:rPr>
                <w:sz w:val="18"/>
              </w:rPr>
              <w:t>red</w:t>
            </w:r>
          </w:p>
        </w:tc>
      </w:tr>
      <w:tr>
        <w:tc>
          <w:tcPr>
            <w:tcW w:type="dxa" w:w="2351"/>
          </w:tcPr>
          <w:p>
            <w:pPr>
              <w:jc w:val="center"/>
            </w:pPr>
            <w:r>
              <w:rPr>
                <w:sz w:val="18"/>
              </w:rPr>
              <w:t>delivery fee information</w:t>
            </w:r>
          </w:p>
        </w:tc>
        <w:tc>
          <w:tcPr>
            <w:tcW w:type="dxa" w:w="2351"/>
          </w:tcPr>
          <w:p>
            <w:pPr>
              <w:jc w:val="center"/>
            </w:pPr>
            <w:r>
              <w:rPr>
                <w:sz w:val="18"/>
              </w:rPr>
              <w:t>21</w:t>
            </w:r>
          </w:p>
        </w:tc>
        <w:tc>
          <w:tcPr>
            <w:tcW w:type="dxa" w:w="2351"/>
          </w:tcPr>
          <w:p>
            <w:pPr>
              <w:jc w:val="center"/>
            </w:pPr>
            <w:r>
              <w:rPr>
                <w:sz w:val="18"/>
              </w:rPr>
              <w:t>19.05%</w:t>
            </w:r>
          </w:p>
        </w:tc>
        <w:tc>
          <w:tcPr>
            <w:tcW w:type="dxa" w:w="2351"/>
            <w:shd w:fill="DC3545"/>
          </w:tcPr>
          <w:p>
            <w:pPr>
              <w:jc w:val="center"/>
            </w:pPr>
            <w:r>
              <w:rPr>
                <w:sz w:val="18"/>
              </w:rPr>
              <w:t>red</w:t>
            </w:r>
          </w:p>
        </w:tc>
      </w:tr>
      <w:tr>
        <w:tc>
          <w:tcPr>
            <w:tcW w:type="dxa" w:w="2351"/>
          </w:tcPr>
          <w:p>
            <w:pPr>
              <w:jc w:val="center"/>
            </w:pPr>
            <w:r>
              <w:rPr>
                <w:sz w:val="18"/>
              </w:rPr>
              <w:t>Other</w:t>
            </w:r>
          </w:p>
        </w:tc>
        <w:tc>
          <w:tcPr>
            <w:tcW w:type="dxa" w:w="2351"/>
          </w:tcPr>
          <w:p>
            <w:pPr>
              <w:jc w:val="center"/>
            </w:pPr>
            <w:r>
              <w:rPr>
                <w:sz w:val="18"/>
              </w:rPr>
              <w:t>566</w:t>
            </w:r>
          </w:p>
        </w:tc>
        <w:tc>
          <w:tcPr>
            <w:tcW w:type="dxa" w:w="2351"/>
          </w:tcPr>
          <w:p>
            <w:pPr>
              <w:jc w:val="center"/>
            </w:pPr>
            <w:r>
              <w:rPr>
                <w:sz w:val="18"/>
              </w:rPr>
              <w:t>26.33%</w:t>
            </w:r>
          </w:p>
        </w:tc>
        <w:tc>
          <w:tcPr>
            <w:tcW w:type="dxa" w:w="2351"/>
            <w:shd w:fill="DC3545"/>
          </w:tcPr>
          <w:p>
            <w:pPr>
              <w:jc w:val="center"/>
            </w:pPr>
            <w:r>
              <w:rPr>
                <w:sz w:val="18"/>
              </w:rPr>
              <w:t>red</w:t>
            </w:r>
          </w:p>
        </w:tc>
      </w:tr>
      <w:tr>
        <w:tc>
          <w:tcPr>
            <w:tcW w:type="dxa" w:w="2351"/>
          </w:tcPr>
          <w:p>
            <w:pPr>
              <w:jc w:val="center"/>
            </w:pPr>
            <w:r>
              <w:rPr>
                <w:sz w:val="18"/>
              </w:rPr>
              <w:t>system instabilities</w:t>
            </w:r>
          </w:p>
        </w:tc>
        <w:tc>
          <w:tcPr>
            <w:tcW w:type="dxa" w:w="2351"/>
          </w:tcPr>
          <w:p>
            <w:pPr>
              <w:jc w:val="center"/>
            </w:pPr>
            <w:r>
              <w:rPr>
                <w:sz w:val="18"/>
              </w:rPr>
              <w:t>28</w:t>
            </w:r>
          </w:p>
        </w:tc>
        <w:tc>
          <w:tcPr>
            <w:tcW w:type="dxa" w:w="2351"/>
          </w:tcPr>
          <w:p>
            <w:pPr>
              <w:jc w:val="center"/>
            </w:pPr>
            <w:r>
              <w:rPr>
                <w:sz w:val="18"/>
              </w:rPr>
              <w:t>28.57%</w:t>
            </w:r>
          </w:p>
        </w:tc>
        <w:tc>
          <w:tcPr>
            <w:tcW w:type="dxa" w:w="2351"/>
            <w:shd w:fill="DC3545"/>
          </w:tcPr>
          <w:p>
            <w:pPr>
              <w:jc w:val="center"/>
            </w:pPr>
            <w:r>
              <w:rPr>
                <w:sz w:val="18"/>
              </w:rPr>
              <w:t>red</w:t>
            </w:r>
          </w:p>
        </w:tc>
      </w:tr>
      <w:tr>
        <w:tc>
          <w:tcPr>
            <w:tcW w:type="dxa" w:w="2351"/>
          </w:tcPr>
          <w:p>
            <w:pPr>
              <w:jc w:val="center"/>
            </w:pPr>
            <w:r>
              <w:rPr>
                <w:sz w:val="18"/>
              </w:rPr>
              <w:t>membership program renewal charge</w:t>
            </w:r>
          </w:p>
        </w:tc>
        <w:tc>
          <w:tcPr>
            <w:tcW w:type="dxa" w:w="2351"/>
          </w:tcPr>
          <w:p>
            <w:pPr>
              <w:jc w:val="center"/>
            </w:pPr>
            <w:r>
              <w:rPr>
                <w:sz w:val="18"/>
              </w:rPr>
              <w:t>248</w:t>
            </w:r>
          </w:p>
        </w:tc>
        <w:tc>
          <w:tcPr>
            <w:tcW w:type="dxa" w:w="2351"/>
          </w:tcPr>
          <w:p>
            <w:pPr>
              <w:jc w:val="center"/>
            </w:pPr>
            <w:r>
              <w:rPr>
                <w:sz w:val="18"/>
              </w:rPr>
              <w:t>28.63%</w:t>
            </w:r>
          </w:p>
        </w:tc>
        <w:tc>
          <w:tcPr>
            <w:tcW w:type="dxa" w:w="2351"/>
            <w:shd w:fill="DC3545"/>
          </w:tcPr>
          <w:p>
            <w:pPr>
              <w:jc w:val="center"/>
            </w:pPr>
            <w:r>
              <w:rPr>
                <w:sz w:val="18"/>
              </w:rPr>
              <w:t>red</w:t>
            </w:r>
          </w:p>
        </w:tc>
      </w:tr>
      <w:tr>
        <w:tc>
          <w:tcPr>
            <w:tcW w:type="dxa" w:w="2351"/>
          </w:tcPr>
          <w:p>
            <w:pPr>
              <w:jc w:val="center"/>
            </w:pPr>
            <w:r>
              <w:rPr>
                <w:sz w:val="18"/>
              </w:rPr>
              <w:t>issues while paying to courier</w:t>
            </w:r>
          </w:p>
        </w:tc>
        <w:tc>
          <w:tcPr>
            <w:tcW w:type="dxa" w:w="2351"/>
          </w:tcPr>
          <w:p>
            <w:pPr>
              <w:jc w:val="center"/>
            </w:pPr>
            <w:r>
              <w:rPr>
                <w:sz w:val="18"/>
              </w:rPr>
              <w:t>96</w:t>
            </w:r>
          </w:p>
        </w:tc>
        <w:tc>
          <w:tcPr>
            <w:tcW w:type="dxa" w:w="2351"/>
          </w:tcPr>
          <w:p>
            <w:pPr>
              <w:jc w:val="center"/>
            </w:pPr>
            <w:r>
              <w:rPr>
                <w:sz w:val="18"/>
              </w:rPr>
              <w:t>30.21%</w:t>
            </w:r>
          </w:p>
        </w:tc>
        <w:tc>
          <w:tcPr>
            <w:tcW w:type="dxa" w:w="2351"/>
            <w:shd w:fill="DC3545"/>
          </w:tcPr>
          <w:p>
            <w:pPr>
              <w:jc w:val="center"/>
            </w:pPr>
            <w:r>
              <w:rPr>
                <w:sz w:val="18"/>
              </w:rPr>
              <w:t>red</w:t>
            </w:r>
          </w:p>
        </w:tc>
      </w:tr>
      <w:tr>
        <w:tc>
          <w:tcPr>
            <w:tcW w:type="dxa" w:w="2351"/>
          </w:tcPr>
          <w:p>
            <w:pPr>
              <w:jc w:val="center"/>
            </w:pPr>
            <w:r>
              <w:rPr>
                <w:sz w:val="18"/>
              </w:rPr>
              <w:t>delete account</w:t>
            </w:r>
          </w:p>
        </w:tc>
        <w:tc>
          <w:tcPr>
            <w:tcW w:type="dxa" w:w="2351"/>
          </w:tcPr>
          <w:p>
            <w:pPr>
              <w:jc w:val="center"/>
            </w:pPr>
            <w:r>
              <w:rPr>
                <w:sz w:val="18"/>
              </w:rPr>
              <w:t>25</w:t>
            </w:r>
          </w:p>
        </w:tc>
        <w:tc>
          <w:tcPr>
            <w:tcW w:type="dxa" w:w="2351"/>
          </w:tcPr>
          <w:p>
            <w:pPr>
              <w:jc w:val="center"/>
            </w:pPr>
            <w:r>
              <w:rPr>
                <w:sz w:val="18"/>
              </w:rPr>
              <w:t>32.0%</w:t>
            </w:r>
          </w:p>
        </w:tc>
        <w:tc>
          <w:tcPr>
            <w:tcW w:type="dxa" w:w="2351"/>
            <w:shd w:fill="DC3545"/>
          </w:tcPr>
          <w:p>
            <w:pPr>
              <w:jc w:val="center"/>
            </w:pPr>
            <w:r>
              <w:rPr>
                <w:sz w:val="18"/>
              </w:rPr>
              <w:t>red</w:t>
            </w:r>
          </w:p>
        </w:tc>
      </w:tr>
      <w:tr>
        <w:tc>
          <w:tcPr>
            <w:tcW w:type="dxa" w:w="2351"/>
          </w:tcPr>
          <w:p>
            <w:pPr>
              <w:jc w:val="center"/>
            </w:pPr>
            <w:r>
              <w:rPr>
                <w:sz w:val="18"/>
              </w:rPr>
              <w:t>apply coupon to pay an order(Non-AF)</w:t>
            </w:r>
          </w:p>
        </w:tc>
        <w:tc>
          <w:tcPr>
            <w:tcW w:type="dxa" w:w="2351"/>
          </w:tcPr>
          <w:p>
            <w:pPr>
              <w:jc w:val="center"/>
            </w:pPr>
            <w:r>
              <w:rPr>
                <w:sz w:val="18"/>
              </w:rPr>
              <w:t>26</w:t>
            </w:r>
          </w:p>
        </w:tc>
        <w:tc>
          <w:tcPr>
            <w:tcW w:type="dxa" w:w="2351"/>
          </w:tcPr>
          <w:p>
            <w:pPr>
              <w:jc w:val="center"/>
            </w:pPr>
            <w:r>
              <w:rPr>
                <w:sz w:val="18"/>
              </w:rPr>
              <w:t>34.62%</w:t>
            </w:r>
          </w:p>
        </w:tc>
        <w:tc>
          <w:tcPr>
            <w:tcW w:type="dxa" w:w="2351"/>
            <w:shd w:fill="DC3545"/>
          </w:tcPr>
          <w:p>
            <w:pPr>
              <w:jc w:val="center"/>
            </w:pPr>
            <w:r>
              <w:rPr>
                <w:sz w:val="18"/>
              </w:rPr>
              <w:t>red</w:t>
            </w:r>
          </w:p>
        </w:tc>
      </w:tr>
      <w:tr>
        <w:tc>
          <w:tcPr>
            <w:tcW w:type="dxa" w:w="2351"/>
          </w:tcPr>
          <w:p>
            <w:pPr>
              <w:jc w:val="center"/>
            </w:pPr>
            <w:r>
              <w:rPr>
                <w:sz w:val="18"/>
              </w:rPr>
              <w:t>modify order products</w:t>
            </w:r>
          </w:p>
        </w:tc>
        <w:tc>
          <w:tcPr>
            <w:tcW w:type="dxa" w:w="2351"/>
          </w:tcPr>
          <w:p>
            <w:pPr>
              <w:jc w:val="center"/>
            </w:pPr>
            <w:r>
              <w:rPr>
                <w:sz w:val="18"/>
              </w:rPr>
              <w:t>52</w:t>
            </w:r>
          </w:p>
        </w:tc>
        <w:tc>
          <w:tcPr>
            <w:tcW w:type="dxa" w:w="2351"/>
          </w:tcPr>
          <w:p>
            <w:pPr>
              <w:jc w:val="center"/>
            </w:pPr>
            <w:r>
              <w:rPr>
                <w:sz w:val="18"/>
              </w:rPr>
              <w:t>34.62%</w:t>
            </w:r>
          </w:p>
        </w:tc>
        <w:tc>
          <w:tcPr>
            <w:tcW w:type="dxa" w:w="2351"/>
            <w:shd w:fill="DC3545"/>
          </w:tcPr>
          <w:p>
            <w:pPr>
              <w:jc w:val="center"/>
            </w:pPr>
            <w:r>
              <w:rPr>
                <w:sz w:val="18"/>
              </w:rPr>
              <w:t>red</w:t>
            </w:r>
          </w:p>
        </w:tc>
      </w:tr>
      <w:tr>
        <w:tc>
          <w:tcPr>
            <w:tcW w:type="dxa" w:w="2351"/>
          </w:tcPr>
          <w:p>
            <w:pPr>
              <w:jc w:val="center"/>
            </w:pPr>
            <w:r>
              <w:rPr>
                <w:sz w:val="18"/>
              </w:rPr>
              <w:t>modify phone number</w:t>
            </w:r>
          </w:p>
        </w:tc>
        <w:tc>
          <w:tcPr>
            <w:tcW w:type="dxa" w:w="2351"/>
          </w:tcPr>
          <w:p>
            <w:pPr>
              <w:jc w:val="center"/>
            </w:pPr>
            <w:r>
              <w:rPr>
                <w:sz w:val="18"/>
              </w:rPr>
              <w:t>42</w:t>
            </w:r>
          </w:p>
        </w:tc>
        <w:tc>
          <w:tcPr>
            <w:tcW w:type="dxa" w:w="2351"/>
          </w:tcPr>
          <w:p>
            <w:pPr>
              <w:jc w:val="center"/>
            </w:pPr>
            <w:r>
              <w:rPr>
                <w:sz w:val="18"/>
              </w:rPr>
              <w:t>40.48%</w:t>
            </w:r>
          </w:p>
        </w:tc>
        <w:tc>
          <w:tcPr>
            <w:tcW w:type="dxa" w:w="2351"/>
            <w:shd w:fill="DC3545"/>
          </w:tcPr>
          <w:p>
            <w:pPr>
              <w:jc w:val="center"/>
            </w:pPr>
            <w:r>
              <w:rPr>
                <w:sz w:val="18"/>
              </w:rPr>
              <w:t>red</w:t>
            </w:r>
          </w:p>
        </w:tc>
      </w:tr>
    </w:tbl>
    <w:p>
      <w:r>
        <w:t>Voice of Customer — Temas recurrentes en feedback insatisfecho:</w:t>
      </w:r>
    </w:p>
    <w:p>
      <w:pPr>
        <w:pStyle w:val="ListBullet"/>
      </w:pPr>
      <w:r>
        <w:t>Sin solución / 'Aún no me dan solución' — CRs de order status, inedible, damaged</w:t>
      </w:r>
    </w:p>
    <w:p>
      <w:pPr>
        <w:pStyle w:val="ListBullet"/>
      </w:pPr>
      <w:r>
        <w:t>Respuestas genéricas: 'espere', 'confiemos en que llegue' — sin información accionable</w:t>
      </w:r>
    </w:p>
    <w:p>
      <w:pPr>
        <w:pStyle w:val="ListBullet"/>
      </w:pPr>
      <w:r>
        <w:t>Problemas de reembolso/compensación: 'no me regresaron el dinero', 'mentirosos'</w:t>
      </w:r>
    </w:p>
    <w:p>
      <w:pPr>
        <w:pStyle w:val="ListBullet"/>
      </w:pPr>
      <w:r>
        <w:t>Soporte lento en Live Chat pese a QA alto — gap percepción vs auditoría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1A1A"/>
          </w:tcPr>
          <w:p>
            <w:pPr>
              <w:jc w:val="center"/>
            </w:pPr>
            <w:r>
              <w:rPr>
                <w:b/>
                <w:color w:val="FFFFFF"/>
                <w:sz w:val="18"/>
              </w:rPr>
              <w:t>CR Lv4</w:t>
            </w:r>
          </w:p>
        </w:tc>
        <w:tc>
          <w:tcPr>
            <w:tcW w:type="dxa" w:w="2351"/>
            <w:shd w:val="clear" w:color="auto" w:fill="1A1A1A"/>
          </w:tcPr>
          <w:p>
            <w:pPr>
              <w:jc w:val="center"/>
            </w:pPr>
            <w:r>
              <w:rPr>
                <w:b/>
                <w:color w:val="FFFFFF"/>
                <w:sz w:val="18"/>
              </w:rPr>
              <w:t>Canal</w:t>
            </w:r>
          </w:p>
        </w:tc>
        <w:tc>
          <w:tcPr>
            <w:tcW w:type="dxa" w:w="2351"/>
            <w:shd w:val="clear" w:color="auto" w:fill="1A1A1A"/>
          </w:tcPr>
          <w:p>
            <w:pPr>
              <w:jc w:val="center"/>
            </w:pPr>
            <w:r>
              <w:rPr>
                <w:b/>
                <w:color w:val="FFFFFF"/>
                <w:sz w:val="18"/>
              </w:rPr>
              <w:t>País</w:t>
            </w:r>
          </w:p>
        </w:tc>
        <w:tc>
          <w:tcPr>
            <w:tcW w:type="dxa" w:w="2351"/>
            <w:shd w:val="clear" w:color="auto" w:fill="1A1A1A"/>
          </w:tcPr>
          <w:p>
            <w:pPr>
              <w:jc w:val="center"/>
            </w:pPr>
            <w:r>
              <w:rPr>
                <w:b/>
                <w:color w:val="FFFFFF"/>
                <w:sz w:val="18"/>
              </w:rPr>
              <w:t>Comentario VOC</w:t>
            </w:r>
          </w:p>
        </w:tc>
      </w:tr>
      <w:tr>
        <w:tc>
          <w:tcPr>
            <w:tcW w:type="dxa" w:w="2351"/>
          </w:tcPr>
          <w:p>
            <w:pPr>
              <w:jc w:val="center"/>
            </w:pPr>
            <w:r>
              <w:rPr>
                <w:sz w:val="18"/>
              </w:rPr>
              <w:t>Damaged order</w:t>
            </w:r>
          </w:p>
        </w:tc>
        <w:tc>
          <w:tcPr>
            <w:tcW w:type="dxa" w:w="2351"/>
          </w:tcPr>
          <w:p>
            <w:pPr>
              <w:jc w:val="center"/>
            </w:pPr>
            <w:r>
              <w:rPr>
                <w:sz w:val="18"/>
              </w:rPr>
              <w:t>LIVE CHAT</w:t>
            </w:r>
          </w:p>
        </w:tc>
        <w:tc>
          <w:tcPr>
            <w:tcW w:type="dxa" w:w="2351"/>
          </w:tcPr>
          <w:p>
            <w:pPr>
              <w:jc w:val="center"/>
            </w:pPr>
            <w:r>
              <w:rPr>
                <w:sz w:val="18"/>
              </w:rPr>
              <w:t>CO</w:t>
            </w:r>
          </w:p>
        </w:tc>
        <w:tc>
          <w:tcPr>
            <w:tcW w:type="dxa" w:w="2351"/>
          </w:tcPr>
          <w:p>
            <w:pPr>
              <w:jc w:val="center"/>
            </w:pPr>
            <w:r>
              <w:rPr>
                <w:sz w:val="18"/>
              </w:rPr>
              <w:t>No me dieron solución</w:t>
            </w:r>
          </w:p>
        </w:tc>
      </w:tr>
      <w:tr>
        <w:tc>
          <w:tcPr>
            <w:tcW w:type="dxa" w:w="2351"/>
          </w:tcPr>
          <w:p>
            <w:pPr>
              <w:jc w:val="center"/>
            </w:pPr>
            <w:r>
              <w:rPr>
                <w:sz w:val="18"/>
              </w:rPr>
              <w:t>inedible order</w:t>
            </w:r>
          </w:p>
        </w:tc>
        <w:tc>
          <w:tcPr>
            <w:tcW w:type="dxa" w:w="2351"/>
          </w:tcPr>
          <w:p>
            <w:pPr>
              <w:jc w:val="center"/>
            </w:pPr>
            <w:r>
              <w:rPr>
                <w:sz w:val="18"/>
              </w:rPr>
              <w:t>LIVE CHAT</w:t>
            </w:r>
          </w:p>
        </w:tc>
        <w:tc>
          <w:tcPr>
            <w:tcW w:type="dxa" w:w="2351"/>
          </w:tcPr>
          <w:p>
            <w:pPr>
              <w:jc w:val="center"/>
            </w:pPr>
            <w:r>
              <w:rPr>
                <w:sz w:val="18"/>
              </w:rPr>
              <w:t>MX</w:t>
            </w:r>
          </w:p>
        </w:tc>
        <w:tc>
          <w:tcPr>
            <w:tcW w:type="dxa" w:w="2351"/>
          </w:tcPr>
          <w:p>
            <w:pPr>
              <w:jc w:val="center"/>
            </w:pPr>
            <w:r>
              <w:rPr>
                <w:sz w:val="18"/>
              </w:rPr>
              <w:t>Aún no me dan solución</w:t>
            </w:r>
          </w:p>
        </w:tc>
      </w:tr>
      <w:tr>
        <w:tc>
          <w:tcPr>
            <w:tcW w:type="dxa" w:w="2351"/>
          </w:tcPr>
          <w:p>
            <w:pPr>
              <w:jc w:val="center"/>
            </w:pPr>
            <w:r>
              <w:rPr>
                <w:sz w:val="18"/>
              </w:rPr>
              <w:t>user request order status or delay information</w:t>
            </w:r>
          </w:p>
        </w:tc>
        <w:tc>
          <w:tcPr>
            <w:tcW w:type="dxa" w:w="2351"/>
          </w:tcPr>
          <w:p>
            <w:pPr>
              <w:jc w:val="center"/>
            </w:pPr>
            <w:r>
              <w:rPr>
                <w:sz w:val="18"/>
              </w:rPr>
              <w:t>LIVE CHAT</w:t>
            </w:r>
          </w:p>
        </w:tc>
        <w:tc>
          <w:tcPr>
            <w:tcW w:type="dxa" w:w="2351"/>
          </w:tcPr>
          <w:p>
            <w:pPr>
              <w:jc w:val="center"/>
            </w:pPr>
            <w:r>
              <w:rPr>
                <w:sz w:val="18"/>
              </w:rPr>
              <w:t>MX</w:t>
            </w:r>
          </w:p>
        </w:tc>
        <w:tc>
          <w:tcPr>
            <w:tcW w:type="dxa" w:w="2351"/>
          </w:tcPr>
          <w:p>
            <w:pPr>
              <w:jc w:val="center"/>
            </w:pPr>
            <w:r>
              <w:rPr>
                <w:sz w:val="18"/>
              </w:rPr>
              <w:t>Siguen sin resolver mi problema</w:t>
            </w:r>
          </w:p>
        </w:tc>
      </w:tr>
      <w:tr>
        <w:tc>
          <w:tcPr>
            <w:tcW w:type="dxa" w:w="2351"/>
          </w:tcPr>
          <w:p>
            <w:pPr>
              <w:jc w:val="center"/>
            </w:pPr>
            <w:r>
              <w:rPr>
                <w:sz w:val="18"/>
              </w:rPr>
              <w:t>user request order status or delay information</w:t>
            </w:r>
          </w:p>
        </w:tc>
        <w:tc>
          <w:tcPr>
            <w:tcW w:type="dxa" w:w="2351"/>
          </w:tcPr>
          <w:p>
            <w:pPr>
              <w:jc w:val="center"/>
            </w:pPr>
            <w:r>
              <w:rPr>
                <w:sz w:val="18"/>
              </w:rPr>
              <w:t>LIVE CHAT</w:t>
            </w:r>
          </w:p>
        </w:tc>
        <w:tc>
          <w:tcPr>
            <w:tcW w:type="dxa" w:w="2351"/>
          </w:tcPr>
          <w:p>
            <w:pPr>
              <w:jc w:val="center"/>
            </w:pPr>
            <w:r>
              <w:rPr>
                <w:sz w:val="18"/>
              </w:rPr>
              <w:t>MX</w:t>
            </w:r>
          </w:p>
        </w:tc>
        <w:tc>
          <w:tcPr>
            <w:tcW w:type="dxa" w:w="2351"/>
          </w:tcPr>
          <w:p>
            <w:pPr>
              <w:jc w:val="center"/>
            </w:pPr>
            <w:r>
              <w:rPr>
                <w:sz w:val="18"/>
              </w:rPr>
              <w:t>Other</w:t>
            </w:r>
          </w:p>
        </w:tc>
      </w:tr>
      <w:tr>
        <w:tc>
          <w:tcPr>
            <w:tcW w:type="dxa" w:w="2351"/>
          </w:tcPr>
          <w:p>
            <w:pPr>
              <w:jc w:val="center"/>
            </w:pPr>
            <w:r>
              <w:rPr>
                <w:sz w:val="18"/>
              </w:rPr>
              <w:t>user request order status or delay information</w:t>
            </w:r>
          </w:p>
        </w:tc>
        <w:tc>
          <w:tcPr>
            <w:tcW w:type="dxa" w:w="2351"/>
          </w:tcPr>
          <w:p>
            <w:pPr>
              <w:jc w:val="center"/>
            </w:pPr>
            <w:r>
              <w:rPr>
                <w:sz w:val="18"/>
              </w:rPr>
              <w:t>PHONE</w:t>
            </w:r>
          </w:p>
        </w:tc>
        <w:tc>
          <w:tcPr>
            <w:tcW w:type="dxa" w:w="2351"/>
          </w:tcPr>
          <w:p>
            <w:pPr>
              <w:jc w:val="center"/>
            </w:pPr>
            <w:r>
              <w:rPr>
                <w:sz w:val="18"/>
              </w:rPr>
              <w:t>CO</w:t>
            </w:r>
          </w:p>
        </w:tc>
        <w:tc>
          <w:tcPr>
            <w:tcW w:type="dxa" w:w="2351"/>
          </w:tcPr>
          <w:p>
            <w:pPr>
              <w:jc w:val="center"/>
            </w:pPr>
            <w:r>
              <w:rPr>
                <w:sz w:val="18"/>
              </w:rPr>
              <w:t>Other</w:t>
            </w:r>
          </w:p>
        </w:tc>
      </w:tr>
      <w:tr>
        <w:tc>
          <w:tcPr>
            <w:tcW w:type="dxa" w:w="2351"/>
          </w:tcPr>
          <w:p>
            <w:pPr>
              <w:jc w:val="center"/>
            </w:pPr>
            <w:r>
              <w:rPr>
                <w:sz w:val="18"/>
              </w:rPr>
              <w:t>user request order status or delay information</w:t>
            </w:r>
          </w:p>
        </w:tc>
        <w:tc>
          <w:tcPr>
            <w:tcW w:type="dxa" w:w="2351"/>
          </w:tcPr>
          <w:p>
            <w:pPr>
              <w:jc w:val="center"/>
            </w:pPr>
            <w:r>
              <w:rPr>
                <w:sz w:val="18"/>
              </w:rPr>
              <w:t>LIVE CHAT</w:t>
            </w:r>
          </w:p>
        </w:tc>
        <w:tc>
          <w:tcPr>
            <w:tcW w:type="dxa" w:w="2351"/>
          </w:tcPr>
          <w:p>
            <w:pPr>
              <w:jc w:val="center"/>
            </w:pPr>
            <w:r>
              <w:rPr>
                <w:sz w:val="18"/>
              </w:rPr>
              <w:t>MX</w:t>
            </w:r>
          </w:p>
        </w:tc>
        <w:tc>
          <w:tcPr>
            <w:tcW w:type="dxa" w:w="2351"/>
          </w:tcPr>
          <w:p>
            <w:pPr>
              <w:jc w:val="center"/>
            </w:pPr>
            <w:r>
              <w:rPr>
                <w:sz w:val="18"/>
              </w:rPr>
              <w:t>Other</w:t>
            </w:r>
          </w:p>
        </w:tc>
      </w:tr>
      <w:tr>
        <w:tc>
          <w:tcPr>
            <w:tcW w:type="dxa" w:w="2351"/>
          </w:tcPr>
          <w:p>
            <w:pPr>
              <w:jc w:val="center"/>
            </w:pPr>
            <w:r>
              <w:rPr>
                <w:sz w:val="18"/>
              </w:rPr>
              <w:t>terms and conditions</w:t>
            </w:r>
          </w:p>
        </w:tc>
        <w:tc>
          <w:tcPr>
            <w:tcW w:type="dxa" w:w="2351"/>
          </w:tcPr>
          <w:p>
            <w:pPr>
              <w:jc w:val="center"/>
            </w:pPr>
            <w:r>
              <w:rPr>
                <w:sz w:val="18"/>
              </w:rPr>
              <w:t>LIVE CHAT</w:t>
            </w:r>
          </w:p>
        </w:tc>
        <w:tc>
          <w:tcPr>
            <w:tcW w:type="dxa" w:w="2351"/>
          </w:tcPr>
          <w:p>
            <w:pPr>
              <w:jc w:val="center"/>
            </w:pPr>
            <w:r>
              <w:rPr>
                <w:sz w:val="18"/>
              </w:rPr>
              <w:t>MX</w:t>
            </w:r>
          </w:p>
        </w:tc>
        <w:tc>
          <w:tcPr>
            <w:tcW w:type="dxa" w:w="2351"/>
          </w:tcPr>
          <w:p>
            <w:pPr>
              <w:jc w:val="center"/>
            </w:pPr>
            <w:r>
              <w:rPr>
                <w:sz w:val="18"/>
              </w:rPr>
              <w:t>Other</w:t>
            </w:r>
          </w:p>
        </w:tc>
      </w:tr>
      <w:tr>
        <w:tc>
          <w:tcPr>
            <w:tcW w:type="dxa" w:w="2351"/>
          </w:tcPr>
          <w:p>
            <w:pPr>
              <w:jc w:val="center"/>
            </w:pPr>
            <w:r>
              <w:rPr>
                <w:sz w:val="18"/>
              </w:rPr>
              <w:t>user request order status or delay information</w:t>
            </w:r>
          </w:p>
        </w:tc>
        <w:tc>
          <w:tcPr>
            <w:tcW w:type="dxa" w:w="2351"/>
          </w:tcPr>
          <w:p>
            <w:pPr>
              <w:jc w:val="center"/>
            </w:pPr>
            <w:r>
              <w:rPr>
                <w:sz w:val="18"/>
              </w:rPr>
              <w:t>LIVE CHAT</w:t>
            </w:r>
          </w:p>
        </w:tc>
        <w:tc>
          <w:tcPr>
            <w:tcW w:type="dxa" w:w="2351"/>
          </w:tcPr>
          <w:p>
            <w:pPr>
              <w:jc w:val="center"/>
            </w:pPr>
            <w:r>
              <w:rPr>
                <w:sz w:val="18"/>
              </w:rPr>
              <w:t>MX</w:t>
            </w:r>
          </w:p>
        </w:tc>
        <w:tc>
          <w:tcPr>
            <w:tcW w:type="dxa" w:w="2351"/>
          </w:tcPr>
          <w:p>
            <w:pPr>
              <w:jc w:val="center"/>
            </w:pPr>
            <w:r>
              <w:rPr>
                <w:sz w:val="18"/>
              </w:rPr>
              <w:t>Other</w:t>
            </w:r>
          </w:p>
        </w:tc>
      </w:tr>
    </w:tbl>
    <w:p>
      <w:r>
        <w:t>Correlación QA–CSAT (CR Lv4, n≥5 audits): r = 0.004. Correlación moderada positiva; QA alto no garantiza CSAT alto en CRs de alto volumen operacional.</w:t>
      </w:r>
    </w:p>
    <w:p>
      <w:r>
        <w:drawing>
          <wp:inline xmlns:a="http://schemas.openxmlformats.org/drawingml/2006/main" xmlns:pic="http://schemas.openxmlformats.org/drawingml/2006/picture">
            <wp:extent cx="5029200" cy="3693814"/>
            <wp:docPr id="4" name="Picture 4"/>
            <wp:cNvGraphicFramePr>
              <a:graphicFrameLocks noChangeAspect="1"/>
            </wp:cNvGraphicFramePr>
            <a:graphic>
              <a:graphicData uri="http://schemas.openxmlformats.org/drawingml/2006/picture">
                <pic:pic>
                  <pic:nvPicPr>
                    <pic:cNvPr id="0" name="05_scatter_qa_csat.png"/>
                    <pic:cNvPicPr/>
                  </pic:nvPicPr>
                  <pic:blipFill>
                    <a:blip r:embed="rId12"/>
                    <a:stretch>
                      <a:fillRect/>
                    </a:stretch>
                  </pic:blipFill>
                  <pic:spPr>
                    <a:xfrm>
                      <a:off x="0" y="0"/>
                      <a:ext cx="5029200" cy="3693814"/>
                    </a:xfrm>
                    <a:prstGeom prst="rect"/>
                  </pic:spPr>
                </pic:pic>
              </a:graphicData>
            </a:graphic>
          </wp:inline>
        </w:drawing>
      </w:r>
    </w:p>
    <w:p>
      <w:pPr>
        <w:pStyle w:val="Heading1"/>
      </w:pPr>
      <w:r>
        <w:rPr>
          <w:color w:val="FF6600"/>
        </w:rPr>
        <w:t>5. Recontact Analysis</w:t>
      </w:r>
    </w:p>
    <w:p>
      <w:r>
        <w:rPr>
          <w:b/>
        </w:rPr>
        <w:t xml:space="preserve">Recontact Rate Global: </w:t>
      </w:r>
      <w:r>
        <w:t xml:space="preserve">5.83% (Meta: 5.44%) — </w:t>
      </w:r>
      <w:r>
        <w:rPr>
          <w:b/>
          <w:color w:val="FFC107"/>
        </w:rPr>
        <w:t>Dentro de 5pp</w:t>
      </w:r>
    </w:p>
    <w:p>
      <w:r>
        <w:t>Volumen total: 57,976 recontactos / 994,591 contactos. Live Chat concentra 15.99% recontact rate vs Phone 13.47%. GPTBOT (13.73%) y Email (15.41%) también superan meta.</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A1A1A"/>
          </w:tcPr>
          <w:p>
            <w:pPr>
              <w:jc w:val="center"/>
            </w:pPr>
            <w:r>
              <w:rPr>
                <w:b/>
                <w:color w:val="FFFFFF"/>
                <w:sz w:val="18"/>
              </w:rPr>
              <w:t>Canal</w:t>
            </w:r>
          </w:p>
        </w:tc>
        <w:tc>
          <w:tcPr>
            <w:tcW w:type="dxa" w:w="1881"/>
            <w:shd w:val="clear" w:color="auto" w:fill="1A1A1A"/>
          </w:tcPr>
          <w:p>
            <w:pPr>
              <w:jc w:val="center"/>
            </w:pPr>
            <w:r>
              <w:rPr>
                <w:b/>
                <w:color w:val="FFFFFF"/>
                <w:sz w:val="18"/>
              </w:rPr>
              <w:t>Contactos</w:t>
            </w:r>
          </w:p>
        </w:tc>
        <w:tc>
          <w:tcPr>
            <w:tcW w:type="dxa" w:w="1881"/>
            <w:shd w:val="clear" w:color="auto" w:fill="1A1A1A"/>
          </w:tcPr>
          <w:p>
            <w:pPr>
              <w:jc w:val="center"/>
            </w:pPr>
            <w:r>
              <w:rPr>
                <w:b/>
                <w:color w:val="FFFFFF"/>
                <w:sz w:val="18"/>
              </w:rPr>
              <w:t>Recontact Vol.</w:t>
            </w:r>
          </w:p>
        </w:tc>
        <w:tc>
          <w:tcPr>
            <w:tcW w:type="dxa" w:w="1881"/>
            <w:shd w:val="clear" w:color="auto" w:fill="1A1A1A"/>
          </w:tcPr>
          <w:p>
            <w:pPr>
              <w:jc w:val="center"/>
            </w:pPr>
            <w:r>
              <w:rPr>
                <w:b/>
                <w:color w:val="FFFFFF"/>
                <w:sz w:val="18"/>
              </w:rPr>
              <w:t>Rate %</w:t>
            </w:r>
          </w:p>
        </w:tc>
        <w:tc>
          <w:tcPr>
            <w:tcW w:type="dxa" w:w="1881"/>
            <w:shd w:val="clear" w:color="auto" w:fill="1A1A1A"/>
          </w:tcPr>
          <w:p>
            <w:pPr>
              <w:jc w:val="center"/>
            </w:pPr>
            <w:r>
              <w:rPr>
                <w:b/>
                <w:color w:val="FFFFFF"/>
                <w:sz w:val="18"/>
              </w:rPr>
              <w:t>Estado</w:t>
            </w:r>
          </w:p>
        </w:tc>
      </w:tr>
      <w:tr>
        <w:tc>
          <w:tcPr>
            <w:tcW w:type="dxa" w:w="1881"/>
          </w:tcPr>
          <w:p>
            <w:pPr>
              <w:jc w:val="center"/>
            </w:pPr>
            <w:r>
              <w:rPr>
                <w:sz w:val="18"/>
              </w:rPr>
              <w:t>Live Chat</w:t>
            </w:r>
          </w:p>
        </w:tc>
        <w:tc>
          <w:tcPr>
            <w:tcW w:type="dxa" w:w="1881"/>
          </w:tcPr>
          <w:p>
            <w:pPr>
              <w:jc w:val="center"/>
            </w:pPr>
            <w:r>
              <w:rPr>
                <w:sz w:val="18"/>
              </w:rPr>
              <w:t>243,626</w:t>
            </w:r>
          </w:p>
        </w:tc>
        <w:tc>
          <w:tcPr>
            <w:tcW w:type="dxa" w:w="1881"/>
          </w:tcPr>
          <w:p>
            <w:pPr>
              <w:jc w:val="center"/>
            </w:pPr>
            <w:r>
              <w:rPr>
                <w:sz w:val="18"/>
              </w:rPr>
              <w:t>38,961</w:t>
            </w:r>
          </w:p>
        </w:tc>
        <w:tc>
          <w:tcPr>
            <w:tcW w:type="dxa" w:w="1881"/>
          </w:tcPr>
          <w:p>
            <w:pPr>
              <w:jc w:val="center"/>
            </w:pPr>
            <w:r>
              <w:rPr>
                <w:sz w:val="18"/>
              </w:rPr>
              <w:t>15.99%</w:t>
            </w:r>
          </w:p>
        </w:tc>
        <w:tc>
          <w:tcPr>
            <w:tcW w:type="dxa" w:w="1881"/>
            <w:shd w:fill="DC3545"/>
          </w:tcPr>
          <w:p>
            <w:pPr>
              <w:jc w:val="center"/>
            </w:pPr>
            <w:r>
              <w:rPr>
                <w:sz w:val="18"/>
              </w:rPr>
              <w:t>red</w:t>
            </w:r>
          </w:p>
        </w:tc>
      </w:tr>
      <w:tr>
        <w:tc>
          <w:tcPr>
            <w:tcW w:type="dxa" w:w="1881"/>
          </w:tcPr>
          <w:p>
            <w:pPr>
              <w:jc w:val="center"/>
            </w:pPr>
            <w:r>
              <w:rPr>
                <w:sz w:val="18"/>
              </w:rPr>
              <w:t>Phone</w:t>
            </w:r>
          </w:p>
        </w:tc>
        <w:tc>
          <w:tcPr>
            <w:tcW w:type="dxa" w:w="1881"/>
          </w:tcPr>
          <w:p>
            <w:pPr>
              <w:jc w:val="center"/>
            </w:pPr>
            <w:r>
              <w:rPr>
                <w:sz w:val="18"/>
              </w:rPr>
              <w:t>49,674</w:t>
            </w:r>
          </w:p>
        </w:tc>
        <w:tc>
          <w:tcPr>
            <w:tcW w:type="dxa" w:w="1881"/>
          </w:tcPr>
          <w:p>
            <w:pPr>
              <w:jc w:val="center"/>
            </w:pPr>
            <w:r>
              <w:rPr>
                <w:sz w:val="18"/>
              </w:rPr>
              <w:t>6,690</w:t>
            </w:r>
          </w:p>
        </w:tc>
        <w:tc>
          <w:tcPr>
            <w:tcW w:type="dxa" w:w="1881"/>
          </w:tcPr>
          <w:p>
            <w:pPr>
              <w:jc w:val="center"/>
            </w:pPr>
            <w:r>
              <w:rPr>
                <w:sz w:val="18"/>
              </w:rPr>
              <w:t>13.47%</w:t>
            </w:r>
          </w:p>
        </w:tc>
        <w:tc>
          <w:tcPr>
            <w:tcW w:type="dxa" w:w="1881"/>
            <w:shd w:fill="DC3545"/>
          </w:tcPr>
          <w:p>
            <w:pPr>
              <w:jc w:val="center"/>
            </w:pPr>
            <w:r>
              <w:rPr>
                <w:sz w:val="18"/>
              </w:rPr>
              <w:t>red</w:t>
            </w:r>
          </w:p>
        </w:tc>
      </w:tr>
      <w:tr>
        <w:tc>
          <w:tcPr>
            <w:tcW w:type="dxa" w:w="1881"/>
          </w:tcPr>
          <w:p>
            <w:pPr>
              <w:jc w:val="center"/>
            </w:pPr>
            <w:r>
              <w:rPr>
                <w:sz w:val="18"/>
              </w:rPr>
              <w:t>GPTBOT</w:t>
            </w:r>
          </w:p>
        </w:tc>
        <w:tc>
          <w:tcPr>
            <w:tcW w:type="dxa" w:w="1881"/>
          </w:tcPr>
          <w:p>
            <w:pPr>
              <w:jc w:val="center"/>
            </w:pPr>
            <w:r>
              <w:rPr>
                <w:sz w:val="18"/>
              </w:rPr>
              <w:t>19,508</w:t>
            </w:r>
          </w:p>
        </w:tc>
        <w:tc>
          <w:tcPr>
            <w:tcW w:type="dxa" w:w="1881"/>
          </w:tcPr>
          <w:p>
            <w:pPr>
              <w:jc w:val="center"/>
            </w:pPr>
            <w:r>
              <w:rPr>
                <w:sz w:val="18"/>
              </w:rPr>
              <w:t>2,679</w:t>
            </w:r>
          </w:p>
        </w:tc>
        <w:tc>
          <w:tcPr>
            <w:tcW w:type="dxa" w:w="1881"/>
          </w:tcPr>
          <w:p>
            <w:pPr>
              <w:jc w:val="center"/>
            </w:pPr>
            <w:r>
              <w:rPr>
                <w:sz w:val="18"/>
              </w:rPr>
              <w:t>13.73%</w:t>
            </w:r>
          </w:p>
        </w:tc>
        <w:tc>
          <w:tcPr>
            <w:tcW w:type="dxa" w:w="1881"/>
            <w:shd w:fill="DC3545"/>
          </w:tcPr>
          <w:p>
            <w:pPr>
              <w:jc w:val="center"/>
            </w:pPr>
            <w:r>
              <w:rPr>
                <w:sz w:val="18"/>
              </w:rPr>
              <w:t>red</w:t>
            </w:r>
          </w:p>
        </w:tc>
      </w:tr>
      <w:tr>
        <w:tc>
          <w:tcPr>
            <w:tcW w:type="dxa" w:w="1881"/>
          </w:tcPr>
          <w:p>
            <w:pPr>
              <w:jc w:val="center"/>
            </w:pPr>
            <w:r>
              <w:rPr>
                <w:sz w:val="18"/>
              </w:rPr>
              <w:t>Self Help</w:t>
            </w:r>
          </w:p>
        </w:tc>
        <w:tc>
          <w:tcPr>
            <w:tcW w:type="dxa" w:w="1881"/>
          </w:tcPr>
          <w:p>
            <w:pPr>
              <w:jc w:val="center"/>
            </w:pPr>
            <w:r>
              <w:rPr>
                <w:sz w:val="18"/>
              </w:rPr>
              <w:t>666,650</w:t>
            </w:r>
          </w:p>
        </w:tc>
        <w:tc>
          <w:tcPr>
            <w:tcW w:type="dxa" w:w="1881"/>
          </w:tcPr>
          <w:p>
            <w:pPr>
              <w:jc w:val="center"/>
            </w:pPr>
            <w:r>
              <w:rPr>
                <w:sz w:val="18"/>
              </w:rPr>
              <w:t>8,154</w:t>
            </w:r>
          </w:p>
        </w:tc>
        <w:tc>
          <w:tcPr>
            <w:tcW w:type="dxa" w:w="1881"/>
          </w:tcPr>
          <w:p>
            <w:pPr>
              <w:jc w:val="center"/>
            </w:pPr>
            <w:r>
              <w:rPr>
                <w:sz w:val="18"/>
              </w:rPr>
              <w:t>1.22%</w:t>
            </w:r>
          </w:p>
        </w:tc>
        <w:tc>
          <w:tcPr>
            <w:tcW w:type="dxa" w:w="1881"/>
            <w:shd w:fill="28A745"/>
          </w:tcPr>
          <w:p>
            <w:pPr>
              <w:jc w:val="center"/>
            </w:pPr>
            <w:r>
              <w:rPr>
                <w:sz w:val="18"/>
              </w:rPr>
              <w:t>green</w:t>
            </w:r>
          </w:p>
        </w:tc>
      </w:tr>
    </w:tbl>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A1A1A"/>
          </w:tcPr>
          <w:p>
            <w:pPr>
              <w:jc w:val="center"/>
            </w:pPr>
            <w:r>
              <w:rPr>
                <w:b/>
                <w:color w:val="FFFFFF"/>
                <w:sz w:val="18"/>
              </w:rPr>
              <w:t>CR Lv4</w:t>
            </w:r>
          </w:p>
        </w:tc>
        <w:tc>
          <w:tcPr>
            <w:tcW w:type="dxa" w:w="1881"/>
            <w:shd w:val="clear" w:color="auto" w:fill="1A1A1A"/>
          </w:tcPr>
          <w:p>
            <w:pPr>
              <w:jc w:val="center"/>
            </w:pPr>
            <w:r>
              <w:rPr>
                <w:b/>
                <w:color w:val="FFFFFF"/>
                <w:sz w:val="18"/>
              </w:rPr>
              <w:t>Contactos</w:t>
            </w:r>
          </w:p>
        </w:tc>
        <w:tc>
          <w:tcPr>
            <w:tcW w:type="dxa" w:w="1881"/>
            <w:shd w:val="clear" w:color="auto" w:fill="1A1A1A"/>
          </w:tcPr>
          <w:p>
            <w:pPr>
              <w:jc w:val="center"/>
            </w:pPr>
            <w:r>
              <w:rPr>
                <w:b/>
                <w:color w:val="FFFFFF"/>
                <w:sz w:val="18"/>
              </w:rPr>
              <w:t>Recontact Vol.</w:t>
            </w:r>
          </w:p>
        </w:tc>
        <w:tc>
          <w:tcPr>
            <w:tcW w:type="dxa" w:w="1881"/>
            <w:shd w:val="clear" w:color="auto" w:fill="1A1A1A"/>
          </w:tcPr>
          <w:p>
            <w:pPr>
              <w:jc w:val="center"/>
            </w:pPr>
            <w:r>
              <w:rPr>
                <w:b/>
                <w:color w:val="FFFFFF"/>
                <w:sz w:val="18"/>
              </w:rPr>
              <w:t>Rate %</w:t>
            </w:r>
          </w:p>
        </w:tc>
        <w:tc>
          <w:tcPr>
            <w:tcW w:type="dxa" w:w="1881"/>
            <w:shd w:val="clear" w:color="auto" w:fill="1A1A1A"/>
          </w:tcPr>
          <w:p>
            <w:pPr>
              <w:jc w:val="center"/>
            </w:pPr>
            <w:r>
              <w:rPr>
                <w:b/>
                <w:color w:val="FFFFFF"/>
                <w:sz w:val="18"/>
              </w:rPr>
              <w:t>Estado</w:t>
            </w:r>
          </w:p>
        </w:tc>
      </w:tr>
      <w:tr>
        <w:tc>
          <w:tcPr>
            <w:tcW w:type="dxa" w:w="1881"/>
          </w:tcPr>
          <w:p>
            <w:pPr>
              <w:jc w:val="center"/>
            </w:pPr>
            <w:r>
              <w:rPr>
                <w:sz w:val="18"/>
              </w:rPr>
              <w:t>user request order status or delay information</w:t>
            </w:r>
          </w:p>
        </w:tc>
        <w:tc>
          <w:tcPr>
            <w:tcW w:type="dxa" w:w="1881"/>
          </w:tcPr>
          <w:p>
            <w:pPr>
              <w:jc w:val="center"/>
            </w:pPr>
            <w:r>
              <w:rPr>
                <w:sz w:val="18"/>
              </w:rPr>
              <w:t>76,911</w:t>
            </w:r>
          </w:p>
        </w:tc>
        <w:tc>
          <w:tcPr>
            <w:tcW w:type="dxa" w:w="1881"/>
          </w:tcPr>
          <w:p>
            <w:pPr>
              <w:jc w:val="center"/>
            </w:pPr>
            <w:r>
              <w:rPr>
                <w:sz w:val="18"/>
              </w:rPr>
              <w:t>13,014</w:t>
            </w:r>
          </w:p>
        </w:tc>
        <w:tc>
          <w:tcPr>
            <w:tcW w:type="dxa" w:w="1881"/>
          </w:tcPr>
          <w:p>
            <w:pPr>
              <w:jc w:val="center"/>
            </w:pPr>
            <w:r>
              <w:rPr>
                <w:sz w:val="18"/>
              </w:rPr>
              <w:t>16.92%</w:t>
            </w:r>
          </w:p>
        </w:tc>
        <w:tc>
          <w:tcPr>
            <w:tcW w:type="dxa" w:w="1881"/>
            <w:shd w:fill="DC3545"/>
          </w:tcPr>
          <w:p>
            <w:pPr>
              <w:jc w:val="center"/>
            </w:pPr>
            <w:r>
              <w:rPr>
                <w:sz w:val="18"/>
              </w:rPr>
              <w:t>red</w:t>
            </w:r>
          </w:p>
        </w:tc>
      </w:tr>
      <w:tr>
        <w:tc>
          <w:tcPr>
            <w:tcW w:type="dxa" w:w="1881"/>
          </w:tcPr>
          <w:p>
            <w:pPr>
              <w:jc w:val="center"/>
            </w:pPr>
            <w:r>
              <w:rPr>
                <w:sz w:val="18"/>
              </w:rPr>
              <w:t>order status &amp; delays</w:t>
            </w:r>
          </w:p>
        </w:tc>
        <w:tc>
          <w:tcPr>
            <w:tcW w:type="dxa" w:w="1881"/>
          </w:tcPr>
          <w:p>
            <w:pPr>
              <w:jc w:val="center"/>
            </w:pPr>
            <w:r>
              <w:rPr>
                <w:sz w:val="18"/>
              </w:rPr>
              <w:t>39,706</w:t>
            </w:r>
          </w:p>
        </w:tc>
        <w:tc>
          <w:tcPr>
            <w:tcW w:type="dxa" w:w="1881"/>
          </w:tcPr>
          <w:p>
            <w:pPr>
              <w:jc w:val="center"/>
            </w:pPr>
            <w:r>
              <w:rPr>
                <w:sz w:val="18"/>
              </w:rPr>
              <w:t>7,680</w:t>
            </w:r>
          </w:p>
        </w:tc>
        <w:tc>
          <w:tcPr>
            <w:tcW w:type="dxa" w:w="1881"/>
          </w:tcPr>
          <w:p>
            <w:pPr>
              <w:jc w:val="center"/>
            </w:pPr>
            <w:r>
              <w:rPr>
                <w:sz w:val="18"/>
              </w:rPr>
              <w:t>19.34%</w:t>
            </w:r>
          </w:p>
        </w:tc>
        <w:tc>
          <w:tcPr>
            <w:tcW w:type="dxa" w:w="1881"/>
            <w:shd w:fill="DC3545"/>
          </w:tcPr>
          <w:p>
            <w:pPr>
              <w:jc w:val="center"/>
            </w:pPr>
            <w:r>
              <w:rPr>
                <w:sz w:val="18"/>
              </w:rPr>
              <w:t>red</w:t>
            </w:r>
          </w:p>
        </w:tc>
      </w:tr>
      <w:tr>
        <w:tc>
          <w:tcPr>
            <w:tcW w:type="dxa" w:w="1881"/>
          </w:tcPr>
          <w:p>
            <w:pPr>
              <w:jc w:val="center"/>
            </w:pPr>
            <w:r>
              <w:rPr>
                <w:sz w:val="18"/>
              </w:rPr>
              <w:t>User disagrees with cancellation charge/debt</w:t>
            </w:r>
          </w:p>
        </w:tc>
        <w:tc>
          <w:tcPr>
            <w:tcW w:type="dxa" w:w="1881"/>
          </w:tcPr>
          <w:p>
            <w:pPr>
              <w:jc w:val="center"/>
            </w:pPr>
            <w:r>
              <w:rPr>
                <w:sz w:val="18"/>
              </w:rPr>
              <w:t>50,902</w:t>
            </w:r>
          </w:p>
        </w:tc>
        <w:tc>
          <w:tcPr>
            <w:tcW w:type="dxa" w:w="1881"/>
          </w:tcPr>
          <w:p>
            <w:pPr>
              <w:jc w:val="center"/>
            </w:pPr>
            <w:r>
              <w:rPr>
                <w:sz w:val="18"/>
              </w:rPr>
              <w:t>6,599</w:t>
            </w:r>
          </w:p>
        </w:tc>
        <w:tc>
          <w:tcPr>
            <w:tcW w:type="dxa" w:w="1881"/>
          </w:tcPr>
          <w:p>
            <w:pPr>
              <w:jc w:val="center"/>
            </w:pPr>
            <w:r>
              <w:rPr>
                <w:sz w:val="18"/>
              </w:rPr>
              <w:t>12.96%</w:t>
            </w:r>
          </w:p>
        </w:tc>
        <w:tc>
          <w:tcPr>
            <w:tcW w:type="dxa" w:w="1881"/>
            <w:shd w:fill="DC3545"/>
          </w:tcPr>
          <w:p>
            <w:pPr>
              <w:jc w:val="center"/>
            </w:pPr>
            <w:r>
              <w:rPr>
                <w:sz w:val="18"/>
              </w:rPr>
              <w:t>red</w:t>
            </w:r>
          </w:p>
        </w:tc>
      </w:tr>
      <w:tr>
        <w:tc>
          <w:tcPr>
            <w:tcW w:type="dxa" w:w="1881"/>
          </w:tcPr>
          <w:p>
            <w:pPr>
              <w:jc w:val="center"/>
            </w:pPr>
            <w:r>
              <w:rPr>
                <w:sz w:val="18"/>
              </w:rPr>
              <w:t>user don't want the order anymore</w:t>
            </w:r>
          </w:p>
        </w:tc>
        <w:tc>
          <w:tcPr>
            <w:tcW w:type="dxa" w:w="1881"/>
          </w:tcPr>
          <w:p>
            <w:pPr>
              <w:jc w:val="center"/>
            </w:pPr>
            <w:r>
              <w:rPr>
                <w:sz w:val="18"/>
              </w:rPr>
              <w:t>282,543</w:t>
            </w:r>
          </w:p>
        </w:tc>
        <w:tc>
          <w:tcPr>
            <w:tcW w:type="dxa" w:w="1881"/>
          </w:tcPr>
          <w:p>
            <w:pPr>
              <w:jc w:val="center"/>
            </w:pPr>
            <w:r>
              <w:rPr>
                <w:sz w:val="18"/>
              </w:rPr>
              <w:t>6,216</w:t>
            </w:r>
          </w:p>
        </w:tc>
        <w:tc>
          <w:tcPr>
            <w:tcW w:type="dxa" w:w="1881"/>
          </w:tcPr>
          <w:p>
            <w:pPr>
              <w:jc w:val="center"/>
            </w:pPr>
            <w:r>
              <w:rPr>
                <w:sz w:val="18"/>
              </w:rPr>
              <w:t>2.20%</w:t>
            </w:r>
          </w:p>
        </w:tc>
        <w:tc>
          <w:tcPr>
            <w:tcW w:type="dxa" w:w="1881"/>
            <w:shd w:fill="28A745"/>
          </w:tcPr>
          <w:p>
            <w:pPr>
              <w:jc w:val="center"/>
            </w:pPr>
            <w:r>
              <w:rPr>
                <w:sz w:val="18"/>
              </w:rPr>
              <w:t>green</w:t>
            </w:r>
          </w:p>
        </w:tc>
      </w:tr>
      <w:tr>
        <w:tc>
          <w:tcPr>
            <w:tcW w:type="dxa" w:w="1881"/>
          </w:tcPr>
          <w:p>
            <w:pPr>
              <w:jc w:val="center"/>
            </w:pPr>
            <w:r>
              <w:rPr>
                <w:sz w:val="18"/>
              </w:rPr>
              <w:t>incomplete order</w:t>
            </w:r>
          </w:p>
        </w:tc>
        <w:tc>
          <w:tcPr>
            <w:tcW w:type="dxa" w:w="1881"/>
          </w:tcPr>
          <w:p>
            <w:pPr>
              <w:jc w:val="center"/>
            </w:pPr>
            <w:r>
              <w:rPr>
                <w:sz w:val="18"/>
              </w:rPr>
              <w:t>128,724</w:t>
            </w:r>
          </w:p>
        </w:tc>
        <w:tc>
          <w:tcPr>
            <w:tcW w:type="dxa" w:w="1881"/>
          </w:tcPr>
          <w:p>
            <w:pPr>
              <w:jc w:val="center"/>
            </w:pPr>
            <w:r>
              <w:rPr>
                <w:sz w:val="18"/>
              </w:rPr>
              <w:t>4,110</w:t>
            </w:r>
          </w:p>
        </w:tc>
        <w:tc>
          <w:tcPr>
            <w:tcW w:type="dxa" w:w="1881"/>
          </w:tcPr>
          <w:p>
            <w:pPr>
              <w:jc w:val="center"/>
            </w:pPr>
            <w:r>
              <w:rPr>
                <w:sz w:val="18"/>
              </w:rPr>
              <w:t>3.19%</w:t>
            </w:r>
          </w:p>
        </w:tc>
        <w:tc>
          <w:tcPr>
            <w:tcW w:type="dxa" w:w="1881"/>
            <w:shd w:fill="28A745"/>
          </w:tcPr>
          <w:p>
            <w:pPr>
              <w:jc w:val="center"/>
            </w:pPr>
            <w:r>
              <w:rPr>
                <w:sz w:val="18"/>
              </w:rPr>
              <w:t>green</w:t>
            </w:r>
          </w:p>
        </w:tc>
      </w:tr>
      <w:tr>
        <w:tc>
          <w:tcPr>
            <w:tcW w:type="dxa" w:w="1881"/>
          </w:tcPr>
          <w:p>
            <w:pPr>
              <w:jc w:val="center"/>
            </w:pPr>
            <w:r>
              <w:rPr>
                <w:sz w:val="18"/>
              </w:rPr>
              <w:t>cancel the order</w:t>
            </w:r>
          </w:p>
        </w:tc>
        <w:tc>
          <w:tcPr>
            <w:tcW w:type="dxa" w:w="1881"/>
          </w:tcPr>
          <w:p>
            <w:pPr>
              <w:jc w:val="center"/>
            </w:pPr>
            <w:r>
              <w:rPr>
                <w:sz w:val="18"/>
              </w:rPr>
              <w:t>136,897</w:t>
            </w:r>
          </w:p>
        </w:tc>
        <w:tc>
          <w:tcPr>
            <w:tcW w:type="dxa" w:w="1881"/>
          </w:tcPr>
          <w:p>
            <w:pPr>
              <w:jc w:val="center"/>
            </w:pPr>
            <w:r>
              <w:rPr>
                <w:sz w:val="18"/>
              </w:rPr>
              <w:t>3,786</w:t>
            </w:r>
          </w:p>
        </w:tc>
        <w:tc>
          <w:tcPr>
            <w:tcW w:type="dxa" w:w="1881"/>
          </w:tcPr>
          <w:p>
            <w:pPr>
              <w:jc w:val="center"/>
            </w:pPr>
            <w:r>
              <w:rPr>
                <w:sz w:val="18"/>
              </w:rPr>
              <w:t>2.77%</w:t>
            </w:r>
          </w:p>
        </w:tc>
        <w:tc>
          <w:tcPr>
            <w:tcW w:type="dxa" w:w="1881"/>
            <w:shd w:fill="28A745"/>
          </w:tcPr>
          <w:p>
            <w:pPr>
              <w:jc w:val="center"/>
            </w:pPr>
            <w:r>
              <w:rPr>
                <w:sz w:val="18"/>
              </w:rPr>
              <w:t>green</w:t>
            </w:r>
          </w:p>
        </w:tc>
      </w:tr>
      <w:tr>
        <w:tc>
          <w:tcPr>
            <w:tcW w:type="dxa" w:w="1881"/>
          </w:tcPr>
          <w:p>
            <w:pPr>
              <w:jc w:val="center"/>
            </w:pPr>
            <w:r>
              <w:rPr>
                <w:sz w:val="18"/>
              </w:rPr>
              <w:t>inedible order</w:t>
            </w:r>
          </w:p>
        </w:tc>
        <w:tc>
          <w:tcPr>
            <w:tcW w:type="dxa" w:w="1881"/>
          </w:tcPr>
          <w:p>
            <w:pPr>
              <w:jc w:val="center"/>
            </w:pPr>
            <w:r>
              <w:rPr>
                <w:sz w:val="18"/>
              </w:rPr>
              <w:t>57,682</w:t>
            </w:r>
          </w:p>
        </w:tc>
        <w:tc>
          <w:tcPr>
            <w:tcW w:type="dxa" w:w="1881"/>
          </w:tcPr>
          <w:p>
            <w:pPr>
              <w:jc w:val="center"/>
            </w:pPr>
            <w:r>
              <w:rPr>
                <w:sz w:val="18"/>
              </w:rPr>
              <w:t>2,985</w:t>
            </w:r>
          </w:p>
        </w:tc>
        <w:tc>
          <w:tcPr>
            <w:tcW w:type="dxa" w:w="1881"/>
          </w:tcPr>
          <w:p>
            <w:pPr>
              <w:jc w:val="center"/>
            </w:pPr>
            <w:r>
              <w:rPr>
                <w:sz w:val="18"/>
              </w:rPr>
              <w:t>5.17%</w:t>
            </w:r>
          </w:p>
        </w:tc>
        <w:tc>
          <w:tcPr>
            <w:tcW w:type="dxa" w:w="1881"/>
            <w:shd w:fill="28A745"/>
          </w:tcPr>
          <w:p>
            <w:pPr>
              <w:jc w:val="center"/>
            </w:pPr>
            <w:r>
              <w:rPr>
                <w:sz w:val="18"/>
              </w:rPr>
              <w:t>green</w:t>
            </w:r>
          </w:p>
        </w:tc>
      </w:tr>
      <w:tr>
        <w:tc>
          <w:tcPr>
            <w:tcW w:type="dxa" w:w="1881"/>
          </w:tcPr>
          <w:p>
            <w:pPr>
              <w:jc w:val="center"/>
            </w:pPr>
            <w:r>
              <w:rPr>
                <w:sz w:val="18"/>
              </w:rPr>
              <w:t>refund status and conditions</w:t>
            </w:r>
          </w:p>
        </w:tc>
        <w:tc>
          <w:tcPr>
            <w:tcW w:type="dxa" w:w="1881"/>
          </w:tcPr>
          <w:p>
            <w:pPr>
              <w:jc w:val="center"/>
            </w:pPr>
            <w:r>
              <w:rPr>
                <w:sz w:val="18"/>
              </w:rPr>
              <w:t>18,484</w:t>
            </w:r>
          </w:p>
        </w:tc>
        <w:tc>
          <w:tcPr>
            <w:tcW w:type="dxa" w:w="1881"/>
          </w:tcPr>
          <w:p>
            <w:pPr>
              <w:jc w:val="center"/>
            </w:pPr>
            <w:r>
              <w:rPr>
                <w:sz w:val="18"/>
              </w:rPr>
              <w:t>2,901</w:t>
            </w:r>
          </w:p>
        </w:tc>
        <w:tc>
          <w:tcPr>
            <w:tcW w:type="dxa" w:w="1881"/>
          </w:tcPr>
          <w:p>
            <w:pPr>
              <w:jc w:val="center"/>
            </w:pPr>
            <w:r>
              <w:rPr>
                <w:sz w:val="18"/>
              </w:rPr>
              <w:t>15.69%</w:t>
            </w:r>
          </w:p>
        </w:tc>
        <w:tc>
          <w:tcPr>
            <w:tcW w:type="dxa" w:w="1881"/>
            <w:shd w:fill="DC3545"/>
          </w:tcPr>
          <w:p>
            <w:pPr>
              <w:jc w:val="center"/>
            </w:pPr>
            <w:r>
              <w:rPr>
                <w:sz w:val="18"/>
              </w:rPr>
              <w:t>red</w:t>
            </w:r>
          </w:p>
        </w:tc>
      </w:tr>
    </w:tbl>
    <w:p>
      <w:r>
        <w:t>Relación Recontact–QA–CSAT: CRs con alto recontact (order status, refund status, cancellation charge) simultáneamente presentan CSAT rojo. QA en Live Chat para estos CRs es verde (95–98), confirmando que el problema es de resolución/FCR, no de cumplimiento de script auditado.</w:t>
      </w:r>
    </w:p>
    <w:p>
      <w:r>
        <w:drawing>
          <wp:inline xmlns:a="http://schemas.openxmlformats.org/drawingml/2006/main" xmlns:pic="http://schemas.openxmlformats.org/drawingml/2006/picture">
            <wp:extent cx="5486400" cy="3262505"/>
            <wp:docPr id="5" name="Picture 5"/>
            <wp:cNvGraphicFramePr>
              <a:graphicFrameLocks noChangeAspect="1"/>
            </wp:cNvGraphicFramePr>
            <a:graphic>
              <a:graphicData uri="http://schemas.openxmlformats.org/drawingml/2006/picture">
                <pic:pic>
                  <pic:nvPicPr>
                    <pic:cNvPr id="0" name="08_pareto_recontact.png"/>
                    <pic:cNvPicPr/>
                  </pic:nvPicPr>
                  <pic:blipFill>
                    <a:blip r:embed="rId13"/>
                    <a:stretch>
                      <a:fillRect/>
                    </a:stretch>
                  </pic:blipFill>
                  <pic:spPr>
                    <a:xfrm>
                      <a:off x="0" y="0"/>
                      <a:ext cx="5486400" cy="3262505"/>
                    </a:xfrm>
                    <a:prstGeom prst="rect"/>
                  </pic:spPr>
                </pic:pic>
              </a:graphicData>
            </a:graphic>
          </wp:inline>
        </w:drawing>
      </w:r>
    </w:p>
    <w:p>
      <w:pPr>
        <w:pStyle w:val="Heading1"/>
      </w:pPr>
      <w:r>
        <w:rPr>
          <w:color w:val="FF6600"/>
        </w:rPr>
        <w:t>6. Combined Analysis</w:t>
      </w:r>
    </w:p>
    <w:p>
      <w:r>
        <w:t>Insight integrado — Cluster 'Order Status &amp; Delay Information':</w:t>
        <w:br/>
        <w:t>• user request order status or delay information: 16.92% recontact (130,014 vol.), CSAT 67.85%, QA N/A en auditoría masiva</w:t>
        <w:br/>
        <w:t>• order status &amp; delays: 19.34% recontact (7,680 vol.), CSAT 64.68%, QA 97.33 (verde)</w:t>
        <w:br/>
        <w:t>• User disagrees with cancellation charge/debt: 12.96% recontact (6,599 vol.), CSAT 67.44%, QA 91.36 (verde)</w:t>
        <w:br/>
        <w:br/>
        <w:t>Cuantificación: Estos 3 CRs representan ~24,293 recontactos (41.9% del total semanal) y ~21,006 encuestas CSAT insatisfechas estimadas. Hipótesis root cause: desalineación entre calidad de interacción medida por QA (protocolo/script) y capacidad real de resolver el issue en primera interacción. Los agentes cumplen script pero no tienen visibilidad operativa (tracking, compensación automática) para cerrar el caso.</w:t>
      </w:r>
    </w:p>
    <w:p>
      <w:r>
        <w:drawing>
          <wp:inline xmlns:a="http://schemas.openxmlformats.org/drawingml/2006/main" xmlns:pic="http://schemas.openxmlformats.org/drawingml/2006/picture">
            <wp:extent cx="5669280" cy="3985148"/>
            <wp:docPr id="6" name="Picture 6"/>
            <wp:cNvGraphicFramePr>
              <a:graphicFrameLocks noChangeAspect="1"/>
            </wp:cNvGraphicFramePr>
            <a:graphic>
              <a:graphicData uri="http://schemas.openxmlformats.org/drawingml/2006/picture">
                <pic:pic>
                  <pic:nvPicPr>
                    <pic:cNvPr id="0" name="06_fishbone_order_status.png"/>
                    <pic:cNvPicPr/>
                  </pic:nvPicPr>
                  <pic:blipFill>
                    <a:blip r:embed="rId14"/>
                    <a:stretch>
                      <a:fillRect/>
                    </a:stretch>
                  </pic:blipFill>
                  <pic:spPr>
                    <a:xfrm>
                      <a:off x="0" y="0"/>
                      <a:ext cx="5669280" cy="3985148"/>
                    </a:xfrm>
                    <a:prstGeom prst="rect"/>
                  </pic:spPr>
                </pic:pic>
              </a:graphicData>
            </a:graphic>
          </wp:inline>
        </w:drawing>
      </w:r>
    </w:p>
    <w:p>
      <w:r>
        <w:drawing>
          <wp:inline xmlns:a="http://schemas.openxmlformats.org/drawingml/2006/main" xmlns:pic="http://schemas.openxmlformats.org/drawingml/2006/picture">
            <wp:extent cx="5669280" cy="4269297"/>
            <wp:docPr id="7" name="Picture 7"/>
            <wp:cNvGraphicFramePr>
              <a:graphicFrameLocks noChangeAspect="1"/>
            </wp:cNvGraphicFramePr>
            <a:graphic>
              <a:graphicData uri="http://schemas.openxmlformats.org/drawingml/2006/picture">
                <pic:pic>
                  <pic:nvPicPr>
                    <pic:cNvPr id="0" name="07_flowchart_fcr.png"/>
                    <pic:cNvPicPr/>
                  </pic:nvPicPr>
                  <pic:blipFill>
                    <a:blip r:embed="rId15"/>
                    <a:stretch>
                      <a:fillRect/>
                    </a:stretch>
                  </pic:blipFill>
                  <pic:spPr>
                    <a:xfrm>
                      <a:off x="0" y="0"/>
                      <a:ext cx="5669280" cy="4269297"/>
                    </a:xfrm>
                    <a:prstGeom prst="rect"/>
                  </pic:spPr>
                </pic:pic>
              </a:graphicData>
            </a:graphic>
          </wp:inline>
        </w:drawing>
      </w:r>
    </w:p>
    <w:p>
      <w:pPr>
        <w:pStyle w:val="Heading1"/>
      </w:pPr>
      <w:r>
        <w:rPr>
          <w:color w:val="FF6600"/>
        </w:rPr>
        <w:t>7. Action Plans — by LOB / Business Type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A1A1A"/>
          </w:tcPr>
          <w:p>
            <w:pPr>
              <w:jc w:val="center"/>
            </w:pPr>
            <w:r>
              <w:rPr>
                <w:b/>
                <w:color w:val="FFFFFF"/>
                <w:sz w:val="18"/>
              </w:rPr>
              <w:t>Business Type / LOB</w:t>
            </w:r>
          </w:p>
        </w:tc>
        <w:tc>
          <w:tcPr>
            <w:tcW w:type="dxa" w:w="1881"/>
            <w:shd w:val="clear" w:color="auto" w:fill="1A1A1A"/>
          </w:tcPr>
          <w:p>
            <w:pPr>
              <w:jc w:val="center"/>
            </w:pPr>
            <w:r>
              <w:rPr>
                <w:b/>
                <w:color w:val="FFFFFF"/>
                <w:sz w:val="18"/>
              </w:rPr>
              <w:t>Responsable</w:t>
            </w:r>
          </w:p>
        </w:tc>
        <w:tc>
          <w:tcPr>
            <w:tcW w:type="dxa" w:w="1881"/>
            <w:shd w:val="clear" w:color="auto" w:fill="1A1A1A"/>
          </w:tcPr>
          <w:p>
            <w:pPr>
              <w:jc w:val="center"/>
            </w:pPr>
            <w:r>
              <w:rPr>
                <w:b/>
                <w:color w:val="FFFFFF"/>
                <w:sz w:val="18"/>
              </w:rPr>
              <w:t>Plazo</w:t>
            </w:r>
          </w:p>
        </w:tc>
        <w:tc>
          <w:tcPr>
            <w:tcW w:type="dxa" w:w="1881"/>
            <w:shd w:val="clear" w:color="auto" w:fill="1A1A1A"/>
          </w:tcPr>
          <w:p>
            <w:pPr>
              <w:jc w:val="center"/>
            </w:pPr>
            <w:r>
              <w:rPr>
                <w:b/>
                <w:color w:val="FFFFFF"/>
                <w:sz w:val="18"/>
              </w:rPr>
              <w:t>Acción</w:t>
            </w:r>
          </w:p>
        </w:tc>
        <w:tc>
          <w:tcPr>
            <w:tcW w:type="dxa" w:w="1881"/>
            <w:shd w:val="clear" w:color="auto" w:fill="1A1A1A"/>
          </w:tcPr>
          <w:p>
            <w:pPr>
              <w:jc w:val="center"/>
            </w:pPr>
            <w:r>
              <w:rPr>
                <w:b/>
                <w:color w:val="FFFFFF"/>
                <w:sz w:val="18"/>
              </w:rPr>
              <w:t>KPI / CR Impactado</w:t>
            </w:r>
          </w:p>
        </w:tc>
      </w:tr>
      <w:tr>
        <w:tc>
          <w:tcPr>
            <w:tcW w:type="dxa" w:w="1881"/>
          </w:tcPr>
          <w:p>
            <w:pPr>
              <w:jc w:val="center"/>
            </w:pPr>
            <w:r>
              <w:rPr>
                <w:sz w:val="18"/>
              </w:rPr>
              <w:t>Food</w:t>
            </w:r>
          </w:p>
        </w:tc>
        <w:tc>
          <w:tcPr>
            <w:tcW w:type="dxa" w:w="1881"/>
          </w:tcPr>
          <w:p>
            <w:pPr>
              <w:jc w:val="center"/>
            </w:pPr>
            <w:r>
              <w:rPr>
                <w:sz w:val="18"/>
              </w:rPr>
              <w:t>QA Ops + Training Lead</w:t>
            </w:r>
          </w:p>
        </w:tc>
        <w:tc>
          <w:tcPr>
            <w:tcW w:type="dxa" w:w="1881"/>
          </w:tcPr>
          <w:p>
            <w:pPr>
              <w:jc w:val="center"/>
            </w:pPr>
            <w:r>
              <w:rPr>
                <w:sz w:val="18"/>
              </w:rPr>
              <w:t>Semana 1–2</w:t>
            </w:r>
          </w:p>
        </w:tc>
        <w:tc>
          <w:tcPr>
            <w:tcW w:type="dxa" w:w="1881"/>
          </w:tcPr>
          <w:p>
            <w:pPr>
              <w:jc w:val="center"/>
            </w:pPr>
            <w:r>
              <w:rPr>
                <w:sz w:val="18"/>
              </w:rPr>
              <w:t>Implementar coaching Phone en Manejo del Tiempo e Información Completa; reducir fail rate de 37.5% a &lt;15%</w:t>
            </w:r>
          </w:p>
        </w:tc>
        <w:tc>
          <w:tcPr>
            <w:tcW w:type="dxa" w:w="1881"/>
          </w:tcPr>
          <w:p>
            <w:pPr>
              <w:jc w:val="center"/>
            </w:pPr>
            <w:r>
              <w:rPr>
                <w:sz w:val="18"/>
              </w:rPr>
              <w:t>CRs: order not received, wrong order</w:t>
            </w:r>
          </w:p>
        </w:tc>
      </w:tr>
      <w:tr>
        <w:tc>
          <w:tcPr>
            <w:tcW w:type="dxa" w:w="1881"/>
          </w:tcPr>
          <w:p>
            <w:pPr>
              <w:jc w:val="center"/>
            </w:pPr>
            <w:r>
              <w:rPr>
                <w:sz w:val="18"/>
              </w:rPr>
              <w:t>Food</w:t>
            </w:r>
          </w:p>
        </w:tc>
        <w:tc>
          <w:tcPr>
            <w:tcW w:type="dxa" w:w="1881"/>
          </w:tcPr>
          <w:p>
            <w:pPr>
              <w:jc w:val="center"/>
            </w:pPr>
            <w:r>
              <w:rPr>
                <w:sz w:val="18"/>
              </w:rPr>
              <w:t>Product + CX Tech</w:t>
            </w:r>
          </w:p>
        </w:tc>
        <w:tc>
          <w:tcPr>
            <w:tcW w:type="dxa" w:w="1881"/>
          </w:tcPr>
          <w:p>
            <w:pPr>
              <w:jc w:val="center"/>
            </w:pPr>
            <w:r>
              <w:rPr>
                <w:sz w:val="18"/>
              </w:rPr>
              <w:t>Semana 2–4</w:t>
            </w:r>
          </w:p>
        </w:tc>
        <w:tc>
          <w:tcPr>
            <w:tcW w:type="dxa" w:w="1881"/>
          </w:tcPr>
          <w:p>
            <w:pPr>
              <w:jc w:val="center"/>
            </w:pPr>
            <w:r>
              <w:rPr>
                <w:sz w:val="18"/>
              </w:rPr>
              <w:t>Integrar widget de tracking en tiempo real en Live Chat para CRs order status/delay</w:t>
            </w:r>
          </w:p>
        </w:tc>
        <w:tc>
          <w:tcPr>
            <w:tcW w:type="dxa" w:w="1881"/>
          </w:tcPr>
          <w:p>
            <w:pPr>
              <w:jc w:val="center"/>
            </w:pPr>
            <w:r>
              <w:rPr>
                <w:sz w:val="18"/>
              </w:rPr>
              <w:t>Target: -3pp recontact en order status CRs</w:t>
            </w:r>
          </w:p>
        </w:tc>
      </w:tr>
      <w:tr>
        <w:tc>
          <w:tcPr>
            <w:tcW w:type="dxa" w:w="1881"/>
          </w:tcPr>
          <w:p>
            <w:pPr>
              <w:jc w:val="center"/>
            </w:pPr>
            <w:r>
              <w:rPr>
                <w:sz w:val="18"/>
              </w:rPr>
              <w:t>Full Service</w:t>
            </w:r>
          </w:p>
        </w:tc>
        <w:tc>
          <w:tcPr>
            <w:tcW w:type="dxa" w:w="1881"/>
          </w:tcPr>
          <w:p>
            <w:pPr>
              <w:jc w:val="center"/>
            </w:pPr>
            <w:r>
              <w:rPr>
                <w:sz w:val="18"/>
              </w:rPr>
              <w:t>Ops Manager + WFM</w:t>
            </w:r>
          </w:p>
        </w:tc>
        <w:tc>
          <w:tcPr>
            <w:tcW w:type="dxa" w:w="1881"/>
          </w:tcPr>
          <w:p>
            <w:pPr>
              <w:jc w:val="center"/>
            </w:pPr>
            <w:r>
              <w:rPr>
                <w:sz w:val="18"/>
              </w:rPr>
              <w:t>Semana 1</w:t>
            </w:r>
          </w:p>
        </w:tc>
        <w:tc>
          <w:tcPr>
            <w:tcW w:type="dxa" w:w="1881"/>
          </w:tcPr>
          <w:p>
            <w:pPr>
              <w:jc w:val="center"/>
            </w:pPr>
            <w:r>
              <w:rPr>
                <w:sz w:val="18"/>
              </w:rPr>
              <w:t>Priorizar staffing en horas pico W19; reducir wait time Live Chat</w:t>
            </w:r>
          </w:p>
        </w:tc>
        <w:tc>
          <w:tcPr>
            <w:tcW w:type="dxa" w:w="1881"/>
          </w:tcPr>
          <w:p>
            <w:pPr>
              <w:jc w:val="center"/>
            </w:pPr>
            <w:r>
              <w:rPr>
                <w:sz w:val="18"/>
              </w:rPr>
              <w:t>CSAT Full Service 79.67%, -5.33pp</w:t>
            </w:r>
          </w:p>
        </w:tc>
      </w:tr>
      <w:tr>
        <w:tc>
          <w:tcPr>
            <w:tcW w:type="dxa" w:w="1881"/>
          </w:tcPr>
          <w:p>
            <w:pPr>
              <w:jc w:val="center"/>
            </w:pPr>
            <w:r>
              <w:rPr>
                <w:sz w:val="18"/>
              </w:rPr>
              <w:t>Full Service</w:t>
            </w:r>
          </w:p>
        </w:tc>
        <w:tc>
          <w:tcPr>
            <w:tcW w:type="dxa" w:w="1881"/>
          </w:tcPr>
          <w:p>
            <w:pPr>
              <w:jc w:val="center"/>
            </w:pPr>
            <w:r>
              <w:rPr>
                <w:sz w:val="18"/>
              </w:rPr>
              <w:t>QA + Content</w:t>
            </w:r>
          </w:p>
        </w:tc>
        <w:tc>
          <w:tcPr>
            <w:tcW w:type="dxa" w:w="1881"/>
          </w:tcPr>
          <w:p>
            <w:pPr>
              <w:jc w:val="center"/>
            </w:pPr>
            <w:r>
              <w:rPr>
                <w:sz w:val="18"/>
              </w:rPr>
              <w:t>Semana 2</w:t>
            </w:r>
          </w:p>
        </w:tc>
        <w:tc>
          <w:tcPr>
            <w:tcW w:type="dxa" w:w="1881"/>
          </w:tcPr>
          <w:p>
            <w:pPr>
              <w:jc w:val="center"/>
            </w:pPr>
            <w:r>
              <w:rPr>
                <w:sz w:val="18"/>
              </w:rPr>
              <w:t>Actualizar macros de compensación automática para 'order completed not received'</w:t>
            </w:r>
          </w:p>
        </w:tc>
        <w:tc>
          <w:tcPr>
            <w:tcW w:type="dxa" w:w="1881"/>
          </w:tcPr>
          <w:p>
            <w:pPr>
              <w:jc w:val="center"/>
            </w:pPr>
            <w:r>
              <w:rPr>
                <w:sz w:val="18"/>
              </w:rPr>
              <w:t>QA Phone CR score 68.16 → meta 85</w:t>
            </w:r>
          </w:p>
        </w:tc>
      </w:tr>
      <w:tr>
        <w:tc>
          <w:tcPr>
            <w:tcW w:type="dxa" w:w="1881"/>
          </w:tcPr>
          <w:p>
            <w:pPr>
              <w:jc w:val="center"/>
            </w:pPr>
            <w:r>
              <w:rPr>
                <w:sz w:val="18"/>
              </w:rPr>
              <w:t>Market Place</w:t>
            </w:r>
          </w:p>
        </w:tc>
        <w:tc>
          <w:tcPr>
            <w:tcW w:type="dxa" w:w="1881"/>
          </w:tcPr>
          <w:p>
            <w:pPr>
              <w:jc w:val="center"/>
            </w:pPr>
            <w:r>
              <w:rPr>
                <w:sz w:val="18"/>
              </w:rPr>
              <w:t>LOB Lead</w:t>
            </w:r>
          </w:p>
        </w:tc>
        <w:tc>
          <w:tcPr>
            <w:tcW w:type="dxa" w:w="1881"/>
          </w:tcPr>
          <w:p>
            <w:pPr>
              <w:jc w:val="center"/>
            </w:pPr>
            <w:r>
              <w:rPr>
                <w:sz w:val="18"/>
              </w:rPr>
              <w:t>Semana 2–3</w:t>
            </w:r>
          </w:p>
        </w:tc>
        <w:tc>
          <w:tcPr>
            <w:tcW w:type="dxa" w:w="1881"/>
          </w:tcPr>
          <w:p>
            <w:pPr>
              <w:jc w:val="center"/>
            </w:pPr>
            <w:r>
              <w:rPr>
                <w:sz w:val="18"/>
              </w:rPr>
              <w:t>Revisar flujo marketplace vs full service; CSAT 80.34% ámbar</w:t>
            </w:r>
          </w:p>
        </w:tc>
        <w:tc>
          <w:tcPr>
            <w:tcW w:type="dxa" w:w="1881"/>
          </w:tcPr>
          <w:p>
            <w:pPr>
              <w:jc w:val="center"/>
            </w:pPr>
            <w:r>
              <w:rPr>
                <w:sz w:val="18"/>
              </w:rPr>
              <w:t>Separar scripts por modalidad</w:t>
            </w:r>
          </w:p>
        </w:tc>
      </w:tr>
      <w:tr>
        <w:tc>
          <w:tcPr>
            <w:tcW w:type="dxa" w:w="1881"/>
          </w:tcPr>
          <w:p>
            <w:pPr>
              <w:jc w:val="center"/>
            </w:pPr>
            <w:r>
              <w:rPr>
                <w:sz w:val="18"/>
              </w:rPr>
              <w:t>Market Place</w:t>
            </w:r>
          </w:p>
        </w:tc>
        <w:tc>
          <w:tcPr>
            <w:tcW w:type="dxa" w:w="1881"/>
          </w:tcPr>
          <w:p>
            <w:pPr>
              <w:jc w:val="center"/>
            </w:pPr>
            <w:r>
              <w:rPr>
                <w:sz w:val="18"/>
              </w:rPr>
              <w:t>Training</w:t>
            </w:r>
          </w:p>
        </w:tc>
        <w:tc>
          <w:tcPr>
            <w:tcW w:type="dxa" w:w="1881"/>
          </w:tcPr>
          <w:p>
            <w:pPr>
              <w:jc w:val="center"/>
            </w:pPr>
            <w:r>
              <w:rPr>
                <w:sz w:val="18"/>
              </w:rPr>
              <w:t>Semana 3</w:t>
            </w:r>
          </w:p>
        </w:tc>
        <w:tc>
          <w:tcPr>
            <w:tcW w:type="dxa" w:w="1881"/>
          </w:tcPr>
          <w:p>
            <w:pPr>
              <w:jc w:val="center"/>
            </w:pPr>
            <w:r>
              <w:rPr>
                <w:sz w:val="18"/>
              </w:rPr>
              <w:t>Capacitación en diferencias de responsabilidad store vs platform</w:t>
            </w:r>
          </w:p>
        </w:tc>
        <w:tc>
          <w:tcPr>
            <w:tcW w:type="dxa" w:w="1881"/>
          </w:tcPr>
          <w:p>
            <w:pPr>
              <w:jc w:val="center"/>
            </w:pPr>
            <w:r>
              <w:rPr>
                <w:sz w:val="18"/>
              </w:rPr>
              <w:t>Reduce VOC 'no me dieron solución'</w:t>
            </w:r>
          </w:p>
        </w:tc>
      </w:tr>
      <w:tr>
        <w:tc>
          <w:tcPr>
            <w:tcW w:type="dxa" w:w="1881"/>
          </w:tcPr>
          <w:p>
            <w:pPr>
              <w:jc w:val="center"/>
            </w:pPr>
            <w:r>
              <w:rPr>
                <w:sz w:val="18"/>
              </w:rPr>
              <w:t>Pickup</w:t>
            </w:r>
          </w:p>
        </w:tc>
        <w:tc>
          <w:tcPr>
            <w:tcW w:type="dxa" w:w="1881"/>
          </w:tcPr>
          <w:p>
            <w:pPr>
              <w:jc w:val="center"/>
            </w:pPr>
            <w:r>
              <w:rPr>
                <w:sz w:val="18"/>
              </w:rPr>
              <w:t>LOB Lead</w:t>
            </w:r>
          </w:p>
        </w:tc>
        <w:tc>
          <w:tcPr>
            <w:tcW w:type="dxa" w:w="1881"/>
          </w:tcPr>
          <w:p>
            <w:pPr>
              <w:jc w:val="center"/>
            </w:pPr>
            <w:r>
              <w:rPr>
                <w:sz w:val="18"/>
              </w:rPr>
              <w:t>Semana 2</w:t>
            </w:r>
          </w:p>
        </w:tc>
        <w:tc>
          <w:tcPr>
            <w:tcW w:type="dxa" w:w="1881"/>
          </w:tcPr>
          <w:p>
            <w:pPr>
              <w:jc w:val="center"/>
            </w:pPr>
            <w:r>
              <w:rPr>
                <w:sz w:val="18"/>
              </w:rPr>
              <w:t>Auditoría de volumen bajo (35 feedback) pero CSAT 74.29% rojo</w:t>
            </w:r>
          </w:p>
        </w:tc>
        <w:tc>
          <w:tcPr>
            <w:tcW w:type="dxa" w:w="1881"/>
          </w:tcPr>
          <w:p>
            <w:pPr>
              <w:jc w:val="center"/>
            </w:pPr>
            <w:r>
              <w:rPr>
                <w:sz w:val="18"/>
              </w:rPr>
              <w:t>Investigar CR pick up at store</w:t>
            </w:r>
          </w:p>
        </w:tc>
      </w:tr>
      <w:tr>
        <w:tc>
          <w:tcPr>
            <w:tcW w:type="dxa" w:w="1881"/>
          </w:tcPr>
          <w:p>
            <w:pPr>
              <w:jc w:val="center"/>
            </w:pPr>
            <w:r>
              <w:rPr>
                <w:sz w:val="18"/>
              </w:rPr>
              <w:t>All LOBs</w:t>
            </w:r>
          </w:p>
        </w:tc>
        <w:tc>
          <w:tcPr>
            <w:tcW w:type="dxa" w:w="1881"/>
          </w:tcPr>
          <w:p>
            <w:pPr>
              <w:jc w:val="center"/>
            </w:pPr>
            <w:r>
              <w:rPr>
                <w:sz w:val="18"/>
              </w:rPr>
              <w:t>CX Leadership</w:t>
            </w:r>
          </w:p>
        </w:tc>
        <w:tc>
          <w:tcPr>
            <w:tcW w:type="dxa" w:w="1881"/>
          </w:tcPr>
          <w:p>
            <w:pPr>
              <w:jc w:val="center"/>
            </w:pPr>
            <w:r>
              <w:rPr>
                <w:sz w:val="18"/>
              </w:rPr>
              <w:t>Semana 1</w:t>
            </w:r>
          </w:p>
        </w:tc>
        <w:tc>
          <w:tcPr>
            <w:tcW w:type="dxa" w:w="1881"/>
          </w:tcPr>
          <w:p>
            <w:pPr>
              <w:jc w:val="center"/>
            </w:pPr>
            <w:r>
              <w:rPr>
                <w:sz w:val="18"/>
              </w:rPr>
              <w:t>War room semanal en top 3 CRs de recontact hasta rate &lt;5.44%</w:t>
            </w:r>
          </w:p>
        </w:tc>
        <w:tc>
          <w:tcPr>
            <w:tcW w:type="dxa" w:w="1881"/>
          </w:tcPr>
          <w:p>
            <w:pPr>
              <w:jc w:val="center"/>
            </w:pPr>
            <w:r>
              <w:rPr>
                <w:sz w:val="18"/>
              </w:rPr>
              <w:t>KPI owner: Service Ops Director</w:t>
            </w:r>
          </w:p>
        </w:tc>
      </w:tr>
      <w:tr>
        <w:tc>
          <w:tcPr>
            <w:tcW w:type="dxa" w:w="1881"/>
          </w:tcPr>
          <w:p>
            <w:pPr>
              <w:jc w:val="center"/>
            </w:pPr>
            <w:r>
              <w:rPr>
                <w:sz w:val="18"/>
              </w:rPr>
              <w:t>All LOBs</w:t>
            </w:r>
          </w:p>
        </w:tc>
        <w:tc>
          <w:tcPr>
            <w:tcW w:type="dxa" w:w="1881"/>
          </w:tcPr>
          <w:p>
            <w:pPr>
              <w:jc w:val="center"/>
            </w:pPr>
            <w:r>
              <w:rPr>
                <w:sz w:val="18"/>
              </w:rPr>
              <w:t>Analytics</w:t>
            </w:r>
          </w:p>
        </w:tc>
        <w:tc>
          <w:tcPr>
            <w:tcW w:type="dxa" w:w="1881"/>
          </w:tcPr>
          <w:p>
            <w:pPr>
              <w:jc w:val="center"/>
            </w:pPr>
            <w:r>
              <w:rPr>
                <w:sz w:val="18"/>
              </w:rPr>
              <w:t>Semana 1–ongoing</w:t>
            </w:r>
          </w:p>
        </w:tc>
        <w:tc>
          <w:tcPr>
            <w:tcW w:type="dxa" w:w="1881"/>
          </w:tcPr>
          <w:p>
            <w:pPr>
              <w:jc w:val="center"/>
            </w:pPr>
            <w:r>
              <w:rPr>
                <w:sz w:val="18"/>
              </w:rPr>
              <w:t>Dashboard FCR por CR Lv4 complementando QA score</w:t>
            </w:r>
          </w:p>
        </w:tc>
        <w:tc>
          <w:tcPr>
            <w:tcW w:type="dxa" w:w="1881"/>
          </w:tcPr>
          <w:p>
            <w:pPr>
              <w:jc w:val="center"/>
            </w:pPr>
            <w:r>
              <w:rPr>
                <w:sz w:val="18"/>
              </w:rPr>
              <w:t>Correlacionar QA vs CSAT semanalmente</w:t>
            </w:r>
          </w:p>
        </w:tc>
      </w:tr>
    </w:tbl>
    <w:p>
      <w:pPr>
        <w:pStyle w:val="Heading1"/>
      </w:pPr>
      <w:r>
        <w:rPr>
          <w:color w:val="FF6600"/>
        </w:rPr>
        <w:t>Anexo A — Las 7 Herramientas de Calidad Aplicadas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1A1A"/>
          </w:tcPr>
          <w:p>
            <w:pPr>
              <w:jc w:val="center"/>
            </w:pPr>
            <w:r>
              <w:rPr>
                <w:b/>
                <w:color w:val="FFFFFF"/>
                <w:sz w:val="18"/>
              </w:rPr>
              <w:t>Herramienta</w:t>
            </w:r>
          </w:p>
        </w:tc>
        <w:tc>
          <w:tcPr>
            <w:tcW w:type="dxa" w:w="3135"/>
            <w:shd w:val="clear" w:color="auto" w:fill="1A1A1A"/>
          </w:tcPr>
          <w:p>
            <w:pPr>
              <w:jc w:val="center"/>
            </w:pPr>
            <w:r>
              <w:rPr>
                <w:b/>
                <w:color w:val="FFFFFF"/>
                <w:sz w:val="18"/>
              </w:rPr>
              <w:t>Aplicación en este reporte</w:t>
            </w:r>
          </w:p>
        </w:tc>
        <w:tc>
          <w:tcPr>
            <w:tcW w:type="dxa" w:w="3135"/>
            <w:shd w:val="clear" w:color="auto" w:fill="1A1A1A"/>
          </w:tcPr>
          <w:p>
            <w:pPr>
              <w:jc w:val="center"/>
            </w:pPr>
            <w:r>
              <w:rPr>
                <w:b/>
                <w:color w:val="FFFFFF"/>
                <w:sz w:val="18"/>
              </w:rPr>
              <w:t>Artefacto</w:t>
            </w:r>
          </w:p>
        </w:tc>
      </w:tr>
      <w:tr>
        <w:tc>
          <w:tcPr>
            <w:tcW w:type="dxa" w:w="3135"/>
          </w:tcPr>
          <w:p>
            <w:pPr>
              <w:jc w:val="center"/>
            </w:pPr>
            <w:r>
              <w:rPr>
                <w:sz w:val="18"/>
              </w:rPr>
              <w:t>1. Check Sheet</w:t>
            </w:r>
          </w:p>
        </w:tc>
        <w:tc>
          <w:tcPr>
            <w:tcW w:type="dxa" w:w="3135"/>
          </w:tcPr>
          <w:p>
            <w:pPr>
              <w:jc w:val="center"/>
            </w:pPr>
            <w:r>
              <w:rPr>
                <w:sz w:val="18"/>
              </w:rPr>
              <w:t>Validación de integridad de datos QA, reglas Critical y separación de canales</w:t>
            </w:r>
          </w:p>
        </w:tc>
        <w:tc>
          <w:tcPr>
            <w:tcW w:type="dxa" w:w="3135"/>
          </w:tcPr>
          <w:p>
            <w:pPr>
              <w:jc w:val="center"/>
            </w:pPr>
            <w:r>
              <w:rPr>
                <w:sz w:val="18"/>
              </w:rPr>
              <w:t>01_check_sheet.png</w:t>
            </w:r>
          </w:p>
        </w:tc>
      </w:tr>
      <w:tr>
        <w:tc>
          <w:tcPr>
            <w:tcW w:type="dxa" w:w="3135"/>
          </w:tcPr>
          <w:p>
            <w:pPr>
              <w:jc w:val="center"/>
            </w:pPr>
            <w:r>
              <w:rPr>
                <w:sz w:val="18"/>
              </w:rPr>
              <w:t>2. Diagrama de Pareto</w:t>
            </w:r>
          </w:p>
        </w:tc>
        <w:tc>
          <w:tcPr>
            <w:tcW w:type="dxa" w:w="3135"/>
          </w:tcPr>
          <w:p>
            <w:pPr>
              <w:jc w:val="center"/>
            </w:pPr>
            <w:r>
              <w:rPr>
                <w:sz w:val="18"/>
              </w:rPr>
              <w:t>Identificación del 80/20 en defectos QA y volumen de recontact</w:t>
            </w:r>
          </w:p>
        </w:tc>
        <w:tc>
          <w:tcPr>
            <w:tcW w:type="dxa" w:w="3135"/>
          </w:tcPr>
          <w:p>
            <w:pPr>
              <w:jc w:val="center"/>
            </w:pPr>
            <w:r>
              <w:rPr>
                <w:sz w:val="18"/>
              </w:rPr>
              <w:t>02_pareto_attributes.png, 08_pareto_recontact.png</w:t>
            </w:r>
          </w:p>
        </w:tc>
      </w:tr>
      <w:tr>
        <w:tc>
          <w:tcPr>
            <w:tcW w:type="dxa" w:w="3135"/>
          </w:tcPr>
          <w:p>
            <w:pPr>
              <w:jc w:val="center"/>
            </w:pPr>
            <w:r>
              <w:rPr>
                <w:sz w:val="18"/>
              </w:rPr>
              <w:t>3. Histograma</w:t>
            </w:r>
          </w:p>
        </w:tc>
        <w:tc>
          <w:tcPr>
            <w:tcW w:type="dxa" w:w="3135"/>
          </w:tcPr>
          <w:p>
            <w:pPr>
              <w:jc w:val="center"/>
            </w:pPr>
            <w:r>
              <w:rPr>
                <w:sz w:val="18"/>
              </w:rPr>
              <w:t>Distribución de QA scores — Phone sesgado a scores bajos (critical fails)</w:t>
            </w:r>
          </w:p>
        </w:tc>
        <w:tc>
          <w:tcPr>
            <w:tcW w:type="dxa" w:w="3135"/>
          </w:tcPr>
          <w:p>
            <w:pPr>
              <w:jc w:val="center"/>
            </w:pPr>
            <w:r>
              <w:rPr>
                <w:sz w:val="18"/>
              </w:rPr>
              <w:t>03_histogram_qa_scores.png</w:t>
            </w:r>
          </w:p>
        </w:tc>
      </w:tr>
      <w:tr>
        <w:tc>
          <w:tcPr>
            <w:tcW w:type="dxa" w:w="3135"/>
          </w:tcPr>
          <w:p>
            <w:pPr>
              <w:jc w:val="center"/>
            </w:pPr>
            <w:r>
              <w:rPr>
                <w:sz w:val="18"/>
              </w:rPr>
              <w:t>4. Gráfico de Control</w:t>
            </w:r>
          </w:p>
        </w:tc>
        <w:tc>
          <w:tcPr>
            <w:tcW w:type="dxa" w:w="3135"/>
          </w:tcPr>
          <w:p>
            <w:pPr>
              <w:jc w:val="center"/>
            </w:pPr>
            <w:r>
              <w:rPr>
                <w:sz w:val="18"/>
              </w:rPr>
              <w:t>Variación QA por país/canal vs meta y límites de control</w:t>
            </w:r>
          </w:p>
        </w:tc>
        <w:tc>
          <w:tcPr>
            <w:tcW w:type="dxa" w:w="3135"/>
          </w:tcPr>
          <w:p>
            <w:pPr>
              <w:jc w:val="center"/>
            </w:pPr>
            <w:r>
              <w:rPr>
                <w:sz w:val="18"/>
              </w:rPr>
              <w:t>04_control_chart_qa.png</w:t>
            </w:r>
          </w:p>
        </w:tc>
      </w:tr>
      <w:tr>
        <w:tc>
          <w:tcPr>
            <w:tcW w:type="dxa" w:w="3135"/>
          </w:tcPr>
          <w:p>
            <w:pPr>
              <w:jc w:val="center"/>
            </w:pPr>
            <w:r>
              <w:rPr>
                <w:sz w:val="18"/>
              </w:rPr>
              <w:t>5. Diagrama de Dispersión</w:t>
            </w:r>
          </w:p>
        </w:tc>
        <w:tc>
          <w:tcPr>
            <w:tcW w:type="dxa" w:w="3135"/>
          </w:tcPr>
          <w:p>
            <w:pPr>
              <w:jc w:val="center"/>
            </w:pPr>
            <w:r>
              <w:rPr>
                <w:sz w:val="18"/>
              </w:rPr>
              <w:t>Correlación QA vs CSAT por CR Lv4, coloreado por recontact rate</w:t>
            </w:r>
          </w:p>
        </w:tc>
        <w:tc>
          <w:tcPr>
            <w:tcW w:type="dxa" w:w="3135"/>
          </w:tcPr>
          <w:p>
            <w:pPr>
              <w:jc w:val="center"/>
            </w:pPr>
            <w:r>
              <w:rPr>
                <w:sz w:val="18"/>
              </w:rPr>
              <w:t>05_scatter_qa_csat.png</w:t>
            </w:r>
          </w:p>
        </w:tc>
      </w:tr>
      <w:tr>
        <w:tc>
          <w:tcPr>
            <w:tcW w:type="dxa" w:w="3135"/>
          </w:tcPr>
          <w:p>
            <w:pPr>
              <w:jc w:val="center"/>
            </w:pPr>
            <w:r>
              <w:rPr>
                <w:sz w:val="18"/>
              </w:rPr>
              <w:t>6. Diagrama de Ishikawa</w:t>
            </w:r>
          </w:p>
        </w:tc>
        <w:tc>
          <w:tcPr>
            <w:tcW w:type="dxa" w:w="3135"/>
          </w:tcPr>
          <w:p>
            <w:pPr>
              <w:jc w:val="center"/>
            </w:pPr>
            <w:r>
              <w:rPr>
                <w:sz w:val="18"/>
              </w:rPr>
              <w:t>Análisis causa-raíz del cluster Order Status &amp; Delays</w:t>
            </w:r>
          </w:p>
        </w:tc>
        <w:tc>
          <w:tcPr>
            <w:tcW w:type="dxa" w:w="3135"/>
          </w:tcPr>
          <w:p>
            <w:pPr>
              <w:jc w:val="center"/>
            </w:pPr>
            <w:r>
              <w:rPr>
                <w:sz w:val="18"/>
              </w:rPr>
              <w:t>06_fishbone_order_status.png</w:t>
            </w:r>
          </w:p>
        </w:tc>
      </w:tr>
      <w:tr>
        <w:tc>
          <w:tcPr>
            <w:tcW w:type="dxa" w:w="3135"/>
          </w:tcPr>
          <w:p>
            <w:pPr>
              <w:jc w:val="center"/>
            </w:pPr>
            <w:r>
              <w:rPr>
                <w:sz w:val="18"/>
              </w:rPr>
              <w:t>7. Diagrama de Flujo</w:t>
            </w:r>
          </w:p>
        </w:tc>
        <w:tc>
          <w:tcPr>
            <w:tcW w:type="dxa" w:w="3135"/>
          </w:tcPr>
          <w:p>
            <w:pPr>
              <w:jc w:val="center"/>
            </w:pPr>
            <w:r>
              <w:rPr>
                <w:sz w:val="18"/>
              </w:rPr>
              <w:t>Mapeo del punto de falla FCR en journey del cliente</w:t>
            </w:r>
          </w:p>
        </w:tc>
        <w:tc>
          <w:tcPr>
            <w:tcW w:type="dxa" w:w="3135"/>
          </w:tcPr>
          <w:p>
            <w:pPr>
              <w:jc w:val="center"/>
            </w:pPr>
            <w:r>
              <w:rPr>
                <w:sz w:val="18"/>
              </w:rPr>
              <w:t>07_flowchart_fcr.png</w:t>
            </w:r>
          </w:p>
        </w:tc>
      </w:tr>
    </w:tbl>
    <w:p/>
    <w:p>
      <w:r>
        <w:rPr>
          <w:b/>
        </w:rPr>
        <w:t xml:space="preserve">Supuestos documentados: </w:t>
      </w:r>
      <w:r>
        <w:t>CR Lv4 = CR_correcta fillna CR_registrada; valor 2 (N/A) excluido de cálculo QA; 18.78% mismatch entre Score_end_user y score recalculado (se usa score recalculado); Semana analizada: W19; LOB principal: Delivery/Food.</w:t>
      </w:r>
    </w:p>
    <w:p>
      <w:r>
        <w:drawing>
          <wp:inline xmlns:a="http://schemas.openxmlformats.org/drawingml/2006/main" xmlns:pic="http://schemas.openxmlformats.org/drawingml/2006/picture">
            <wp:extent cx="5486400" cy="3079196"/>
            <wp:docPr id="8" name="Picture 8"/>
            <wp:cNvGraphicFramePr>
              <a:graphicFrameLocks noChangeAspect="1"/>
            </wp:cNvGraphicFramePr>
            <a:graphic>
              <a:graphicData uri="http://schemas.openxmlformats.org/drawingml/2006/picture">
                <pic:pic>
                  <pic:nvPicPr>
                    <pic:cNvPr id="0" name="01_check_sheet.png"/>
                    <pic:cNvPicPr/>
                  </pic:nvPicPr>
                  <pic:blipFill>
                    <a:blip r:embed="rId16"/>
                    <a:stretch>
                      <a:fillRect/>
                    </a:stretch>
                  </pic:blipFill>
                  <pic:spPr>
                    <a:xfrm>
                      <a:off x="0" y="0"/>
                      <a:ext cx="5486400" cy="3079196"/>
                    </a:xfrm>
                    <a:prstGeom prst="rect"/>
                  </pic:spPr>
                </pic:pic>
              </a:graphicData>
            </a:graphic>
          </wp:inline>
        </w:drawing>
      </w:r>
    </w:p>
    <w:sectPr w:rsidR="00FC693F" w:rsidRPr="0006063C" w:rsidSect="00034616">
      <w:headerReference w:type="default" r:id="rId17"/>
      <w:footerReference w:type="default" r:id="rId18"/>
      <w:pgSz w:w="11906" w:h="16838"/>
      <w:pgMar w:top="1531" w:right="1247" w:bottom="1191" w:left="1247" w:header="227"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12" w:space="4" w:color="FF6600"/>
      </w:pBdr>
    </w:pPr>
    <w:r>
      <w:rPr>
        <w:rFonts w:ascii="Calibri" w:hAnsi="Calibri" w:eastAsia="Calibri"/>
        <w:b w:val="0"/>
        <w:color w:val="1A1A1A"/>
        <w:sz w:val="16"/>
      </w:rPr>
      <w:t>CONFIDENTIAL  ·  Internal Use Only</w:t>
    </w:r>
    <w:r>
      <w:rPr>
        <w:rFonts w:ascii="Calibri" w:hAnsi="Calibri" w:eastAsia="Calibri"/>
        <w:b w:val="0"/>
        <w:color w:val="666666"/>
        <w:sz w:val="16"/>
      </w:rPr>
      <w:t xml:space="preserve">          </w:t>
    </w:r>
    <w:r>
      <w:rPr>
        <w:rFonts w:ascii="Calibri" w:hAnsi="Calibri" w:eastAsia="Calibri"/>
        <w:b w:val="0"/>
        <w:color w:val="1A1A1A"/>
        <w:sz w:val="16"/>
      </w:rPr>
      <w:t xml:space="preserve">Page </w:t>
    </w:r>
    <w:r>
      <w:rPr>
        <w:rFonts w:ascii="Calibri" w:hAnsi="Calibri" w:eastAsia="Calibri"/>
        <w:b w:val="0"/>
        <w:color w:val="1A1A1A"/>
        <w:sz w:val="16"/>
      </w:rPr>
      <w:fldChar w:fldCharType="begin"/>
      <w:instrText xml:space="preserve"> PAGE </w:instrText>
      <w:fldChar w:fldCharType="end"/>
    </w:r>
    <w:r>
      <w:rPr>
        <w:rFonts w:ascii="Calibri" w:hAnsi="Calibri" w:eastAsia="Calibri"/>
        <w:b w:val="0"/>
        <w:color w:val="1A1A1A"/>
        <w:sz w:val="16"/>
      </w:rPr>
      <w:t xml:space="preserve"> of </w:t>
    </w:r>
    <w:r>
      <w:rPr>
        <w:rFonts w:ascii="Calibri" w:hAnsi="Calibri" w:eastAsia="Calibri"/>
        <w:b w:val="0"/>
        <w:color w:val="1A1A1A"/>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ook w:firstColumn="1" w:firstRow="1" w:lastColumn="0" w:lastRow="0" w:noHBand="0" w:noVBand="1" w:val="04A0"/>
      <w:tblBorders>
        <w:top w:val="nil"/>
        <w:left w:val="nil"/>
        <w:bottom w:val="nil"/>
        <w:right w:val="nil"/>
        <w:insideH w:val="nil"/>
        <w:insideV w:val="nil"/>
      </w:tblBorders>
    </w:tblPr>
    <w:tblGrid>
      <w:gridCol w:w="4706"/>
      <w:gridCol w:w="4706"/>
    </w:tblGrid>
    <w:tr>
      <w:trPr>
        <w:trHeight w:val="280" w:hRule="atLeast"/>
      </w:trPr>
      <w:tc>
        <w:tcPr>
          <w:tcW w:type="dxa" w:w="4706"/>
          <w:shd w:val="clear" w:color="auto" w:fill="1A1A1A"/>
          <w:tcMar>
            <w:top w:w="60" w:type="dxa"/>
            <w:left w:w="80" w:type="dxa"/>
            <w:bottom w:w="60" w:type="dxa"/>
            <w:right w:w="80" w:type="dxa"/>
          </w:tcMar>
        </w:tcPr>
        <w:p>
          <w:pPr>
            <w:spacing w:before="0" w:after="0"/>
          </w:pPr>
          <w:r>
            <w:rPr>
              <w:rFonts w:ascii="Calibri" w:hAnsi="Calibri" w:eastAsia="Calibri"/>
              <w:b w:val="0"/>
              <w:color w:val="FFFFFF"/>
              <w:sz w:val="16"/>
            </w:rPr>
            <w:t>DiDi Global — CX Service Operations  |  Internal Use Only</w:t>
          </w:r>
        </w:p>
      </w:tc>
      <w:tc>
        <w:tcPr>
          <w:tcW w:type="dxa" w:w="4706"/>
          <w:shd w:val="clear" w:color="auto" w:fill="1A1A1A"/>
          <w:tcMar>
            <w:top w:w="60" w:type="dxa"/>
            <w:left w:w="80" w:type="dxa"/>
            <w:bottom w:w="60" w:type="dxa"/>
            <w:right w:w="80" w:type="dxa"/>
          </w:tcMar>
        </w:tcPr>
        <w:p>
          <w:pPr>
            <w:spacing w:before="0" w:after="0"/>
            <w:jc w:val="right"/>
          </w:pPr>
          <w:r>
            <w:rPr>
              <w:rFonts w:ascii="Calibri" w:hAnsi="Calibri" w:eastAsia="Calibri"/>
              <w:b/>
              <w:color w:val="FFFFFF"/>
              <w:sz w:val="16"/>
            </w:rPr>
            <w:t>Entregable 2 — Weekly Performance Report</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9412"/>
    </w:tblGrid>
    <w:tr>
      <w:trPr>
        <w:trHeight w:val="60" w:hRule="exact"/>
      </w:trPr>
      <w:tc>
        <w:tcPr>
          <w:tcW w:type="dxa" w:w="9412"/>
          <w:shd w:val="clear" w:color="auto" w:fill="FF6600"/>
          <w:tcMar>
            <w:top w:w="0" w:type="dxa"/>
            <w:left w:w="0" w:type="dxa"/>
            <w:bottom w:w="0" w:type="dxa"/>
            <w:right w:w="0" w:type="dxa"/>
          </w:tcMar>
        </w:tcPr>
        <w:p>
          <w:pPr>
            <w:spacing w:before="0" w:after="0"/>
          </w:pP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header" Target="header1.xm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