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38DD1" w14:textId="77777777" w:rsidR="0001729E" w:rsidRPr="00875354" w:rsidRDefault="0001729E" w:rsidP="0001729E">
      <w:pPr>
        <w:jc w:val="center"/>
        <w:rPr>
          <w:rFonts w:cstheme="minorHAnsi"/>
        </w:rPr>
      </w:pPr>
      <w:r w:rsidRPr="00EE3786">
        <w:rPr>
          <w:noProof/>
        </w:rPr>
        <w:drawing>
          <wp:anchor distT="0" distB="0" distL="114300" distR="114300" simplePos="0" relativeHeight="251659264" behindDoc="0" locked="0" layoutInCell="1" allowOverlap="1" wp14:anchorId="2286D9D0" wp14:editId="2F480008">
            <wp:simplePos x="0" y="0"/>
            <wp:positionH relativeFrom="margin">
              <wp:align>center</wp:align>
            </wp:positionH>
            <wp:positionV relativeFrom="margin">
              <wp:align>top</wp:align>
            </wp:positionV>
            <wp:extent cx="1209675" cy="823595"/>
            <wp:effectExtent l="0" t="0" r="0" b="1905"/>
            <wp:wrapSquare wrapText="bothSides"/>
            <wp:docPr id="5" name="Imagen 5" descr="Texto&#10;&#10;Descripción generada automáticamente">
              <a:extLst xmlns:a="http://schemas.openxmlformats.org/drawingml/2006/main">
                <a:ext uri="{FF2B5EF4-FFF2-40B4-BE49-F238E27FC236}">
                  <a16:creationId xmlns:a16="http://schemas.microsoft.com/office/drawing/2014/main" id="{EA4F84B5-2202-514D-99E0-D503CD61D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a:extLst>
                        <a:ext uri="{FF2B5EF4-FFF2-40B4-BE49-F238E27FC236}">
                          <a16:creationId xmlns:a16="http://schemas.microsoft.com/office/drawing/2014/main" id="{EA4F84B5-2202-514D-99E0-D503CD61D430}"/>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l="2265" t="13519" r="2625" b="17418"/>
                    <a:stretch/>
                  </pic:blipFill>
                  <pic:spPr bwMode="auto">
                    <a:xfrm>
                      <a:off x="0" y="0"/>
                      <a:ext cx="1209675" cy="823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45B66" w14:textId="77777777" w:rsidR="0001729E" w:rsidRDefault="0001729E" w:rsidP="0001729E">
      <w:pPr>
        <w:jc w:val="both"/>
        <w:rPr>
          <w:rFonts w:cstheme="minorHAnsi"/>
        </w:rPr>
      </w:pPr>
    </w:p>
    <w:p w14:paraId="3AB3350B" w14:textId="77777777" w:rsidR="0001729E" w:rsidRDefault="0001729E" w:rsidP="0001729E">
      <w:pPr>
        <w:jc w:val="both"/>
        <w:rPr>
          <w:rFonts w:cstheme="minorHAnsi"/>
        </w:rPr>
      </w:pPr>
    </w:p>
    <w:p w14:paraId="0806AA6F" w14:textId="77777777" w:rsidR="0001729E" w:rsidRDefault="0001729E" w:rsidP="0001729E">
      <w:pPr>
        <w:jc w:val="both"/>
        <w:rPr>
          <w:rFonts w:cstheme="minorHAnsi"/>
        </w:rPr>
      </w:pPr>
    </w:p>
    <w:tbl>
      <w:tblPr>
        <w:tblW w:w="9630" w:type="dxa"/>
        <w:jc w:val="center"/>
        <w:shd w:val="clear" w:color="auto" w:fill="0B769F" w:themeFill="accent4" w:themeFillShade="BF"/>
        <w:tblLook w:val="04A0" w:firstRow="1" w:lastRow="0" w:firstColumn="1" w:lastColumn="0" w:noHBand="0" w:noVBand="1"/>
      </w:tblPr>
      <w:tblGrid>
        <w:gridCol w:w="9630"/>
      </w:tblGrid>
      <w:tr w:rsidR="0001729E" w:rsidRPr="005606B9" w14:paraId="5A6CFF31" w14:textId="77777777" w:rsidTr="00D70B41">
        <w:trPr>
          <w:trHeight w:val="988"/>
          <w:jc w:val="center"/>
        </w:trPr>
        <w:tc>
          <w:tcPr>
            <w:tcW w:w="9630" w:type="dxa"/>
            <w:shd w:val="clear" w:color="auto" w:fill="0B769F" w:themeFill="accent4" w:themeFillShade="BF"/>
            <w:hideMark/>
          </w:tcPr>
          <w:p w14:paraId="02C52A16" w14:textId="77777777" w:rsidR="0001729E" w:rsidRDefault="0001729E" w:rsidP="00D70B41"/>
          <w:tbl>
            <w:tblPr>
              <w:tblW w:w="9391" w:type="dxa"/>
              <w:jc w:val="center"/>
              <w:tblLook w:val="04A0" w:firstRow="1" w:lastRow="0" w:firstColumn="1" w:lastColumn="0" w:noHBand="0" w:noVBand="1"/>
            </w:tblPr>
            <w:tblGrid>
              <w:gridCol w:w="9139"/>
              <w:gridCol w:w="252"/>
            </w:tblGrid>
            <w:tr w:rsidR="0001729E" w:rsidRPr="005606B9" w14:paraId="3D526315" w14:textId="77777777" w:rsidTr="00D70B41">
              <w:trPr>
                <w:trHeight w:val="552"/>
                <w:jc w:val="center"/>
              </w:trPr>
              <w:tc>
                <w:tcPr>
                  <w:tcW w:w="9139" w:type="dxa"/>
                  <w:hideMark/>
                </w:tcPr>
                <w:p w14:paraId="6E00C7ED" w14:textId="77777777" w:rsidR="0001729E" w:rsidRDefault="0001729E" w:rsidP="00D70B41">
                  <w:pPr>
                    <w:ind w:right="-109"/>
                    <w:jc w:val="center"/>
                    <w:rPr>
                      <w:rFonts w:cstheme="minorHAnsi"/>
                      <w:b/>
                      <w:color w:val="FFFFFF" w:themeColor="background1"/>
                      <w:sz w:val="28"/>
                      <w:szCs w:val="28"/>
                      <w:lang w:val="es-ES"/>
                    </w:rPr>
                  </w:pPr>
                  <w:r>
                    <w:rPr>
                      <w:rFonts w:cstheme="minorHAnsi"/>
                      <w:b/>
                      <w:color w:val="FFFFFF" w:themeColor="background1"/>
                      <w:sz w:val="28"/>
                      <w:szCs w:val="28"/>
                      <w:lang w:val="es-ES"/>
                    </w:rPr>
                    <w:t>PROPUESTA DE METRICAS PARA AVANZAR EN EL MONITOREO DE LOS DETERMINANTES SOCIALES E INEQUIDADES EN SALUD EN LA REGION METROPOLITANA</w:t>
                  </w:r>
                </w:p>
                <w:p w14:paraId="60EC4596" w14:textId="61E5E56E" w:rsidR="0001729E" w:rsidRPr="0001729E" w:rsidRDefault="0001729E" w:rsidP="00D70B41">
                  <w:pPr>
                    <w:ind w:right="-109"/>
                    <w:jc w:val="center"/>
                    <w:rPr>
                      <w:rFonts w:cstheme="minorHAnsi"/>
                      <w:b/>
                      <w:color w:val="FFFFFF" w:themeColor="background1"/>
                      <w:sz w:val="28"/>
                      <w:szCs w:val="28"/>
                      <w:lang w:val="es-ES"/>
                    </w:rPr>
                  </w:pPr>
                  <w:r>
                    <w:rPr>
                      <w:rFonts w:cstheme="minorHAnsi"/>
                      <w:b/>
                      <w:color w:val="FFFFFF" w:themeColor="background1"/>
                      <w:sz w:val="28"/>
                      <w:szCs w:val="28"/>
                      <w:lang w:val="es-ES"/>
                    </w:rPr>
                    <w:t xml:space="preserve">Cooperación técnica de la OPS/OMS para la SEREMI de Salud de la RM </w:t>
                  </w:r>
                </w:p>
              </w:tc>
              <w:tc>
                <w:tcPr>
                  <w:tcW w:w="252" w:type="dxa"/>
                </w:tcPr>
                <w:p w14:paraId="63368327" w14:textId="77777777" w:rsidR="0001729E" w:rsidRPr="0001729E" w:rsidRDefault="0001729E" w:rsidP="00D70B41">
                  <w:pPr>
                    <w:tabs>
                      <w:tab w:val="right" w:pos="3011"/>
                      <w:tab w:val="right" w:pos="9571"/>
                    </w:tabs>
                    <w:jc w:val="both"/>
                    <w:rPr>
                      <w:rFonts w:cstheme="minorHAnsi"/>
                      <w:b/>
                      <w:sz w:val="28"/>
                      <w:szCs w:val="28"/>
                      <w:lang w:val="es-ES"/>
                    </w:rPr>
                  </w:pPr>
                </w:p>
              </w:tc>
            </w:tr>
            <w:tr w:rsidR="0001729E" w:rsidRPr="005606B9" w14:paraId="1FC67BBE" w14:textId="77777777" w:rsidTr="00D70B41">
              <w:trPr>
                <w:trHeight w:val="552"/>
                <w:jc w:val="center"/>
              </w:trPr>
              <w:tc>
                <w:tcPr>
                  <w:tcW w:w="9139" w:type="dxa"/>
                  <w:hideMark/>
                </w:tcPr>
                <w:p w14:paraId="1CAFF665" w14:textId="77777777" w:rsidR="0001729E" w:rsidRPr="0001729E" w:rsidRDefault="0001729E" w:rsidP="00D70B41">
                  <w:pPr>
                    <w:jc w:val="center"/>
                    <w:rPr>
                      <w:rFonts w:cstheme="minorHAnsi"/>
                      <w:b/>
                      <w:color w:val="FFFFFF" w:themeColor="background1"/>
                      <w:sz w:val="21"/>
                      <w:szCs w:val="21"/>
                      <w:lang w:val="es-ES"/>
                    </w:rPr>
                  </w:pPr>
                  <w:bookmarkStart w:id="0" w:name="venuedate"/>
                  <w:bookmarkEnd w:id="0"/>
                  <w:r w:rsidRPr="0001729E">
                    <w:rPr>
                      <w:rFonts w:cstheme="minorHAnsi"/>
                      <w:b/>
                      <w:color w:val="FFFFFF" w:themeColor="background1"/>
                      <w:sz w:val="21"/>
                      <w:szCs w:val="21"/>
                      <w:lang w:val="es-ES"/>
                    </w:rPr>
                    <w:t>Iniciativa Especial para la Acción sobre los Determinantes Sociales de la Equidad en Salud</w:t>
                  </w:r>
                </w:p>
                <w:p w14:paraId="258C4B66" w14:textId="77777777" w:rsidR="0001729E" w:rsidRPr="0001729E" w:rsidRDefault="0001729E" w:rsidP="00D70B41">
                  <w:pPr>
                    <w:jc w:val="center"/>
                    <w:rPr>
                      <w:rFonts w:cstheme="minorHAnsi"/>
                      <w:b/>
                      <w:color w:val="FFFFFF" w:themeColor="background1"/>
                      <w:sz w:val="28"/>
                      <w:szCs w:val="28"/>
                      <w:lang w:val="es-ES"/>
                    </w:rPr>
                  </w:pPr>
                </w:p>
              </w:tc>
              <w:tc>
                <w:tcPr>
                  <w:tcW w:w="252" w:type="dxa"/>
                </w:tcPr>
                <w:p w14:paraId="12353F34" w14:textId="77777777" w:rsidR="0001729E" w:rsidRPr="0001729E" w:rsidRDefault="0001729E" w:rsidP="00D70B41">
                  <w:pPr>
                    <w:tabs>
                      <w:tab w:val="right" w:pos="9571"/>
                    </w:tabs>
                    <w:jc w:val="both"/>
                    <w:rPr>
                      <w:rFonts w:cstheme="minorHAnsi"/>
                      <w:b/>
                      <w:sz w:val="28"/>
                      <w:szCs w:val="28"/>
                      <w:lang w:val="es-ES"/>
                    </w:rPr>
                  </w:pPr>
                </w:p>
              </w:tc>
            </w:tr>
          </w:tbl>
          <w:p w14:paraId="1C85F74D" w14:textId="77777777" w:rsidR="0001729E" w:rsidRPr="0001729E" w:rsidRDefault="0001729E" w:rsidP="00D70B41">
            <w:pPr>
              <w:spacing w:before="40" w:after="40"/>
              <w:jc w:val="both"/>
              <w:rPr>
                <w:rFonts w:cstheme="minorHAnsi"/>
                <w:sz w:val="28"/>
                <w:szCs w:val="28"/>
                <w:lang w:val="es-ES"/>
              </w:rPr>
            </w:pPr>
            <w:bookmarkStart w:id="1" w:name="text"/>
            <w:bookmarkEnd w:id="1"/>
          </w:p>
        </w:tc>
      </w:tr>
    </w:tbl>
    <w:p w14:paraId="770B91DD" w14:textId="77777777" w:rsidR="0001729E" w:rsidRDefault="0001729E">
      <w:pPr>
        <w:rPr>
          <w:lang w:val="es-ES"/>
        </w:rPr>
      </w:pPr>
    </w:p>
    <w:p w14:paraId="1621BCF7" w14:textId="77777777" w:rsidR="0001729E" w:rsidRDefault="0001729E" w:rsidP="00BF6478">
      <w:pPr>
        <w:jc w:val="both"/>
        <w:rPr>
          <w:sz w:val="22"/>
          <w:szCs w:val="22"/>
          <w:lang w:val="es-ES"/>
        </w:rPr>
      </w:pPr>
      <w:r>
        <w:rPr>
          <w:sz w:val="22"/>
          <w:szCs w:val="22"/>
          <w:lang w:val="es-ES"/>
        </w:rPr>
        <w:t>Para avanzar en el diseño e implementación de un visor de equidad en salud y determinantes sociales para la RM, el equipo técnico de OPS/OMS propone los siguientes elementos:</w:t>
      </w:r>
    </w:p>
    <w:p w14:paraId="27C41EAE" w14:textId="77777777" w:rsidR="0001729E" w:rsidRDefault="0001729E" w:rsidP="00BF6478">
      <w:pPr>
        <w:pStyle w:val="Ttulo1"/>
        <w:jc w:val="both"/>
        <w:rPr>
          <w:lang w:val="es-ES"/>
        </w:rPr>
      </w:pPr>
      <w:r>
        <w:rPr>
          <w:lang w:val="es-ES"/>
        </w:rPr>
        <w:t>Análisis de las inequidades en salud</w:t>
      </w:r>
    </w:p>
    <w:p w14:paraId="74A55F42" w14:textId="77E83045" w:rsidR="00993AFB" w:rsidRDefault="004724C0" w:rsidP="00BF6478">
      <w:pPr>
        <w:jc w:val="both"/>
        <w:rPr>
          <w:lang w:val="es-ES"/>
        </w:rPr>
      </w:pPr>
      <w:r>
        <w:rPr>
          <w:lang w:val="es-ES"/>
        </w:rPr>
        <w:t xml:space="preserve">Para analizar las inequidades en salud presentes en la región se propone utilizar a la comuna como unidad de análisis y comparar los resultados de salud de las doce problemáticas priorizadas </w:t>
      </w:r>
      <w:r w:rsidR="00BF6478">
        <w:rPr>
          <w:lang w:val="es-ES"/>
        </w:rPr>
        <w:t xml:space="preserve">por la SEREMI de salud de la RM </w:t>
      </w:r>
      <w:r>
        <w:rPr>
          <w:lang w:val="es-ES"/>
        </w:rPr>
        <w:t xml:space="preserve">según diversos ejes de inequidad. En este ejemplo se utilizan 3: </w:t>
      </w:r>
      <w:r w:rsidR="00BF6478">
        <w:rPr>
          <w:lang w:val="es-ES"/>
        </w:rPr>
        <w:t xml:space="preserve">Pobreza </w:t>
      </w:r>
      <w:r>
        <w:rPr>
          <w:lang w:val="es-ES"/>
        </w:rPr>
        <w:t xml:space="preserve">(% de pobreza </w:t>
      </w:r>
      <w:r w:rsidR="00BF6478">
        <w:rPr>
          <w:lang w:val="es-ES"/>
        </w:rPr>
        <w:t xml:space="preserve">por </w:t>
      </w:r>
      <w:r>
        <w:rPr>
          <w:lang w:val="es-ES"/>
        </w:rPr>
        <w:t>ingreso), Educación (</w:t>
      </w:r>
      <w:r w:rsidR="00024219">
        <w:rPr>
          <w:lang w:val="es-ES"/>
        </w:rPr>
        <w:t>%</w:t>
      </w:r>
      <w:r w:rsidR="00BF6478">
        <w:rPr>
          <w:lang w:val="es-ES"/>
        </w:rPr>
        <w:t xml:space="preserve"> </w:t>
      </w:r>
      <w:r w:rsidR="00024219">
        <w:rPr>
          <w:lang w:val="es-ES"/>
        </w:rPr>
        <w:t>población con estudios superiores en la comuna</w:t>
      </w:r>
      <w:r>
        <w:rPr>
          <w:lang w:val="es-ES"/>
        </w:rPr>
        <w:t>)</w:t>
      </w:r>
      <w:r w:rsidR="00024219">
        <w:rPr>
          <w:lang w:val="es-ES"/>
        </w:rPr>
        <w:t xml:space="preserve"> y </w:t>
      </w:r>
      <w:r>
        <w:rPr>
          <w:lang w:val="es-ES"/>
        </w:rPr>
        <w:t>Migración (%</w:t>
      </w:r>
      <w:r w:rsidR="00BF6478">
        <w:rPr>
          <w:lang w:val="es-ES"/>
        </w:rPr>
        <w:t xml:space="preserve"> </w:t>
      </w:r>
      <w:r>
        <w:rPr>
          <w:lang w:val="es-ES"/>
        </w:rPr>
        <w:t xml:space="preserve">población migrante en la comuna). </w:t>
      </w:r>
      <w:r w:rsidR="00993AFB">
        <w:rPr>
          <w:lang w:val="es-ES"/>
        </w:rPr>
        <w:t>Junto con ellos, sería importante identificar otros</w:t>
      </w:r>
      <w:r w:rsidR="00BF6478">
        <w:rPr>
          <w:lang w:val="es-ES"/>
        </w:rPr>
        <w:t xml:space="preserve"> ejes</w:t>
      </w:r>
      <w:r w:rsidR="00993AFB">
        <w:rPr>
          <w:lang w:val="es-ES"/>
        </w:rPr>
        <w:t xml:space="preserve"> que desde la perspectiva del equipo de la SEREMI sean importantes de incluir (ej., % población indígena). Es necesario considerar </w:t>
      </w:r>
      <w:r w:rsidR="00BF6478">
        <w:rPr>
          <w:lang w:val="es-ES"/>
        </w:rPr>
        <w:t>que,</w:t>
      </w:r>
      <w:r w:rsidR="00993AFB">
        <w:rPr>
          <w:lang w:val="es-ES"/>
        </w:rPr>
        <w:t xml:space="preserve"> al ser datos agregados a nivel comunal, estos indicadores son solo </w:t>
      </w:r>
      <w:proofErr w:type="spellStart"/>
      <w:r w:rsidR="00993AFB">
        <w:rPr>
          <w:lang w:val="es-ES"/>
        </w:rPr>
        <w:t>proxies</w:t>
      </w:r>
      <w:proofErr w:type="spellEnd"/>
      <w:r w:rsidR="00993AFB">
        <w:rPr>
          <w:lang w:val="es-ES"/>
        </w:rPr>
        <w:t xml:space="preserve"> de ejes de inequidad, por lo cual </w:t>
      </w:r>
      <w:r w:rsidR="00BF6478">
        <w:rPr>
          <w:lang w:val="es-ES"/>
        </w:rPr>
        <w:t xml:space="preserve">su </w:t>
      </w:r>
      <w:r w:rsidR="00993AFB">
        <w:rPr>
          <w:lang w:val="es-ES"/>
        </w:rPr>
        <w:t>selección debe realizarse considerando la coherencia y racionalidad del indicador utilizado.</w:t>
      </w:r>
    </w:p>
    <w:p w14:paraId="19743590" w14:textId="4A33B412" w:rsidR="00024219" w:rsidRDefault="00993AFB" w:rsidP="00BF6478">
      <w:pPr>
        <w:jc w:val="both"/>
        <w:rPr>
          <w:lang w:val="es-ES"/>
        </w:rPr>
      </w:pPr>
      <w:r>
        <w:rPr>
          <w:lang w:val="es-ES"/>
        </w:rPr>
        <w:t xml:space="preserve">A partir del valor agregado por comuna para cada uno de estos </w:t>
      </w:r>
      <w:proofErr w:type="spellStart"/>
      <w:r>
        <w:rPr>
          <w:lang w:val="es-ES"/>
        </w:rPr>
        <w:t>proxies</w:t>
      </w:r>
      <w:proofErr w:type="spellEnd"/>
      <w:r>
        <w:rPr>
          <w:lang w:val="es-ES"/>
        </w:rPr>
        <w:t xml:space="preserve"> de ejes de inequidad se agruparán las</w:t>
      </w:r>
      <w:r w:rsidR="004724C0">
        <w:rPr>
          <w:lang w:val="es-ES"/>
        </w:rPr>
        <w:t xml:space="preserve"> comunas en quintiles del indicador de inequidad utilizado. Al hacer esto, tendremos 5 grupos que van desde el más aventajado (Q1) al menos aventajado (Q5). Se calculará la incidencia o prevalencia ponderada </w:t>
      </w:r>
      <w:r w:rsidR="00BF6478">
        <w:rPr>
          <w:lang w:val="es-ES"/>
        </w:rPr>
        <w:t xml:space="preserve">(por tamaño poblacional comunal) </w:t>
      </w:r>
      <w:r w:rsidR="004724C0">
        <w:rPr>
          <w:lang w:val="es-ES"/>
        </w:rPr>
        <w:t>del problema de salud para cada grupo</w:t>
      </w:r>
      <w:r w:rsidR="00024219">
        <w:rPr>
          <w:lang w:val="es-ES"/>
        </w:rPr>
        <w:t xml:space="preserve"> y a partir de esto se podrán estimar las siguientes métricas:</w:t>
      </w:r>
    </w:p>
    <w:p w14:paraId="6A60C5F9" w14:textId="40DE627F" w:rsidR="0095109D" w:rsidRPr="0095109D" w:rsidRDefault="0095109D" w:rsidP="00BF6478">
      <w:pPr>
        <w:pStyle w:val="Prrafodelista"/>
        <w:numPr>
          <w:ilvl w:val="0"/>
          <w:numId w:val="3"/>
        </w:numPr>
        <w:jc w:val="both"/>
        <w:rPr>
          <w:spacing w:val="-10"/>
          <w:kern w:val="28"/>
          <w:sz w:val="56"/>
          <w:szCs w:val="56"/>
          <w:lang w:val="es-ES"/>
        </w:rPr>
      </w:pPr>
      <w:r>
        <w:rPr>
          <w:spacing w:val="-10"/>
          <w:kern w:val="28"/>
          <w:lang w:val="es-ES"/>
        </w:rPr>
        <w:t>Estimación de la incidencia</w:t>
      </w:r>
      <w:r w:rsidR="00BF6478">
        <w:rPr>
          <w:spacing w:val="-10"/>
          <w:kern w:val="28"/>
          <w:lang w:val="es-ES"/>
        </w:rPr>
        <w:t xml:space="preserve"> ponderada</w:t>
      </w:r>
      <w:r>
        <w:rPr>
          <w:spacing w:val="-10"/>
          <w:kern w:val="28"/>
          <w:lang w:val="es-ES"/>
        </w:rPr>
        <w:t xml:space="preserve"> para cada grupo</w:t>
      </w:r>
      <w:r w:rsidR="00BF6478">
        <w:rPr>
          <w:spacing w:val="-10"/>
          <w:kern w:val="28"/>
          <w:lang w:val="es-ES"/>
        </w:rPr>
        <w:t xml:space="preserve"> (quintil)</w:t>
      </w:r>
      <w:r>
        <w:rPr>
          <w:spacing w:val="-10"/>
          <w:kern w:val="28"/>
          <w:lang w:val="es-ES"/>
        </w:rPr>
        <w:t xml:space="preserve"> de comunas con sus respectivos </w:t>
      </w:r>
      <w:proofErr w:type="gramStart"/>
      <w:r>
        <w:rPr>
          <w:spacing w:val="-10"/>
          <w:kern w:val="28"/>
          <w:lang w:val="es-ES"/>
        </w:rPr>
        <w:t>IC</w:t>
      </w:r>
      <w:r w:rsidR="00BF6478">
        <w:rPr>
          <w:spacing w:val="-10"/>
          <w:kern w:val="28"/>
          <w:lang w:val="es-ES"/>
        </w:rPr>
        <w:t>(</w:t>
      </w:r>
      <w:proofErr w:type="gramEnd"/>
      <w:r>
        <w:rPr>
          <w:spacing w:val="-10"/>
          <w:kern w:val="28"/>
          <w:lang w:val="es-ES"/>
        </w:rPr>
        <w:t>95%</w:t>
      </w:r>
      <w:r w:rsidR="00BF6478">
        <w:rPr>
          <w:spacing w:val="-10"/>
          <w:kern w:val="28"/>
          <w:lang w:val="es-ES"/>
        </w:rPr>
        <w:t>),</w:t>
      </w:r>
      <w:r>
        <w:rPr>
          <w:spacing w:val="-10"/>
          <w:kern w:val="28"/>
          <w:lang w:val="es-ES"/>
        </w:rPr>
        <w:t xml:space="preserve"> lo cual puede ser graficado para una fácil interpretación de los resultados. Además, se calcula un </w:t>
      </w:r>
      <w:r w:rsidR="00BF6478">
        <w:rPr>
          <w:spacing w:val="-10"/>
          <w:kern w:val="28"/>
          <w:lang w:val="es-ES"/>
        </w:rPr>
        <w:t xml:space="preserve">estadístico </w:t>
      </w:r>
      <w:r>
        <w:rPr>
          <w:spacing w:val="-10"/>
          <w:kern w:val="28"/>
          <w:lang w:val="es-ES"/>
        </w:rPr>
        <w:t>de significación estadística (</w:t>
      </w:r>
      <w:r w:rsidR="00BF6478">
        <w:rPr>
          <w:spacing w:val="-10"/>
          <w:kern w:val="28"/>
          <w:lang w:val="es-ES"/>
        </w:rPr>
        <w:t>test</w:t>
      </w:r>
      <w:r>
        <w:rPr>
          <w:spacing w:val="-10"/>
          <w:kern w:val="28"/>
          <w:lang w:val="es-ES"/>
        </w:rPr>
        <w:t xml:space="preserve"> Kruskal-</w:t>
      </w:r>
      <w:r>
        <w:rPr>
          <w:spacing w:val="-10"/>
          <w:kern w:val="28"/>
          <w:lang w:val="es-ES"/>
        </w:rPr>
        <w:lastRenderedPageBreak/>
        <w:t>Wallis) para saber</w:t>
      </w:r>
      <w:r w:rsidR="00BF6478">
        <w:rPr>
          <w:spacing w:val="-10"/>
          <w:kern w:val="28"/>
          <w:lang w:val="es-ES"/>
        </w:rPr>
        <w:t xml:space="preserve"> si</w:t>
      </w:r>
      <w:r>
        <w:rPr>
          <w:spacing w:val="-10"/>
          <w:kern w:val="28"/>
          <w:lang w:val="es-ES"/>
        </w:rPr>
        <w:t xml:space="preserve"> </w:t>
      </w:r>
      <w:r w:rsidR="00D4205C">
        <w:rPr>
          <w:spacing w:val="-10"/>
          <w:kern w:val="28"/>
          <w:lang w:val="es-ES"/>
        </w:rPr>
        <w:t>las diferencias</w:t>
      </w:r>
      <w:r w:rsidR="00BF6478">
        <w:rPr>
          <w:spacing w:val="-10"/>
          <w:kern w:val="28"/>
          <w:lang w:val="es-ES"/>
        </w:rPr>
        <w:t xml:space="preserve"> en la tasa de incidencia ponderada</w:t>
      </w:r>
      <w:r w:rsidR="00D4205C">
        <w:rPr>
          <w:spacing w:val="-10"/>
          <w:kern w:val="28"/>
          <w:lang w:val="es-ES"/>
        </w:rPr>
        <w:t xml:space="preserve"> entre grupos son significativas (analiza las diferencias en general, no entre grupos específicos).</w:t>
      </w:r>
    </w:p>
    <w:p w14:paraId="0B073D33" w14:textId="56F55BB3" w:rsidR="0095109D" w:rsidRPr="0095109D" w:rsidRDefault="0095109D" w:rsidP="00BF6478">
      <w:pPr>
        <w:pStyle w:val="Prrafodelista"/>
        <w:numPr>
          <w:ilvl w:val="0"/>
          <w:numId w:val="3"/>
        </w:numPr>
        <w:jc w:val="both"/>
        <w:rPr>
          <w:spacing w:val="-10"/>
          <w:kern w:val="28"/>
          <w:sz w:val="56"/>
          <w:szCs w:val="56"/>
          <w:lang w:val="es-ES"/>
        </w:rPr>
      </w:pPr>
      <w:r>
        <w:rPr>
          <w:lang w:val="es-ES"/>
        </w:rPr>
        <w:t xml:space="preserve">Brecha absoluta y brecha relativa entre grupos extremos: Para esto utilizamos el valor de salud del Q1 (grupo de referencia, más aventajado) y el Q5 (grupo más desaventajado). La brecha relativa, utilizando la medida que corresponda (ej., tasa de incidencia) puede ser calculada tanto </w:t>
      </w:r>
      <w:r w:rsidR="00BF6478">
        <w:rPr>
          <w:lang w:val="es-ES"/>
        </w:rPr>
        <w:t>a través de una</w:t>
      </w:r>
      <w:r>
        <w:rPr>
          <w:lang w:val="es-ES"/>
        </w:rPr>
        <w:t xml:space="preserve"> estimación puntual como </w:t>
      </w:r>
      <w:r w:rsidR="00BF6478">
        <w:rPr>
          <w:lang w:val="es-ES"/>
        </w:rPr>
        <w:t>una estimación por intervalo</w:t>
      </w:r>
      <w:r>
        <w:rPr>
          <w:lang w:val="es-ES"/>
        </w:rPr>
        <w:t xml:space="preserve"> </w:t>
      </w:r>
      <w:r w:rsidR="00BF6478">
        <w:rPr>
          <w:lang w:val="es-ES"/>
        </w:rPr>
        <w:t>(</w:t>
      </w:r>
      <w:r>
        <w:rPr>
          <w:lang w:val="es-ES"/>
        </w:rPr>
        <w:t>IC95%</w:t>
      </w:r>
      <w:r w:rsidR="00BF6478">
        <w:rPr>
          <w:lang w:val="es-ES"/>
        </w:rPr>
        <w:t>)</w:t>
      </w:r>
      <w:r>
        <w:rPr>
          <w:lang w:val="es-ES"/>
        </w:rPr>
        <w:t xml:space="preserve">, lo cual se puede observar en los ejercicios adjuntos (ej., Ejercicio1: La </w:t>
      </w:r>
      <w:r w:rsidR="00D4205C">
        <w:rPr>
          <w:lang w:val="es-ES"/>
        </w:rPr>
        <w:t xml:space="preserve">razón de incidencias </w:t>
      </w:r>
      <w:r>
        <w:rPr>
          <w:lang w:val="es-ES"/>
        </w:rPr>
        <w:t>(o riesgo relativo) de TBC entre el grupo de comunas con menos ingresos y el de mayores ingresos es de 2,24 [IC95% 1,79-2,79] en el año 2017).</w:t>
      </w:r>
      <w:r w:rsidR="00D4205C">
        <w:rPr>
          <w:lang w:val="es-ES"/>
        </w:rPr>
        <w:t xml:space="preserve"> </w:t>
      </w:r>
      <w:r w:rsidR="00BF6478">
        <w:rPr>
          <w:lang w:val="es-ES"/>
        </w:rPr>
        <w:t>Es decir</w:t>
      </w:r>
      <w:r w:rsidR="00D4205C">
        <w:rPr>
          <w:lang w:val="es-ES"/>
        </w:rPr>
        <w:t xml:space="preserve">, las comunas </w:t>
      </w:r>
      <w:r w:rsidR="00BF6478">
        <w:rPr>
          <w:lang w:val="es-ES"/>
        </w:rPr>
        <w:t>con mayor porcentaje de pobreza</w:t>
      </w:r>
      <w:r w:rsidR="00D4205C">
        <w:rPr>
          <w:lang w:val="es-ES"/>
        </w:rPr>
        <w:t xml:space="preserve"> tendrían 2,24 más probabilidad de presentar casos de TBC comparadas con las comunas </w:t>
      </w:r>
      <w:r w:rsidR="00BF6478">
        <w:rPr>
          <w:lang w:val="es-ES"/>
        </w:rPr>
        <w:t>con menores porcentajes de pobreza</w:t>
      </w:r>
      <w:r w:rsidR="00D4205C">
        <w:rPr>
          <w:lang w:val="es-ES"/>
        </w:rPr>
        <w:t>.</w:t>
      </w:r>
    </w:p>
    <w:p w14:paraId="1B03D10D" w14:textId="744251C6" w:rsidR="00BC3840" w:rsidRPr="00BC3840" w:rsidRDefault="00D4205C" w:rsidP="00BF6478">
      <w:pPr>
        <w:pStyle w:val="Prrafodelista"/>
        <w:numPr>
          <w:ilvl w:val="0"/>
          <w:numId w:val="3"/>
        </w:numPr>
        <w:jc w:val="both"/>
        <w:rPr>
          <w:spacing w:val="-10"/>
          <w:kern w:val="28"/>
          <w:sz w:val="56"/>
          <w:szCs w:val="56"/>
          <w:lang w:val="es-ES"/>
        </w:rPr>
      </w:pPr>
      <w:r>
        <w:rPr>
          <w:lang w:val="es-ES"/>
        </w:rPr>
        <w:t>Índice</w:t>
      </w:r>
      <w:r w:rsidR="0095109D">
        <w:rPr>
          <w:lang w:val="es-ES"/>
        </w:rPr>
        <w:t xml:space="preserve"> </w:t>
      </w:r>
      <w:r>
        <w:rPr>
          <w:lang w:val="es-ES"/>
        </w:rPr>
        <w:t>relativo de desigualdad: es</w:t>
      </w:r>
      <w:r w:rsidR="00BF6478">
        <w:rPr>
          <w:lang w:val="es-ES"/>
        </w:rPr>
        <w:t>te</w:t>
      </w:r>
      <w:r>
        <w:rPr>
          <w:lang w:val="es-ES"/>
        </w:rPr>
        <w:t xml:space="preserve"> índice es interesante, </w:t>
      </w:r>
      <w:r w:rsidR="0018260A">
        <w:rPr>
          <w:lang w:val="es-ES"/>
        </w:rPr>
        <w:t>ya que permite</w:t>
      </w:r>
      <w:r>
        <w:rPr>
          <w:lang w:val="es-ES"/>
        </w:rPr>
        <w:t xml:space="preserve"> interpretar de forma similar a la medida de asociación estimada</w:t>
      </w:r>
      <w:r w:rsidR="0018260A">
        <w:rPr>
          <w:lang w:val="es-ES"/>
        </w:rPr>
        <w:t xml:space="preserve"> anteriormente</w:t>
      </w:r>
      <w:r>
        <w:rPr>
          <w:lang w:val="es-ES"/>
        </w:rPr>
        <w:t xml:space="preserve"> entre dos grupos extremos (ej., la razón de incidencias mencionada en el punto anterior</w:t>
      </w:r>
      <w:r w:rsidRPr="00D4205C">
        <w:rPr>
          <w:lang w:val="es-ES"/>
        </w:rPr>
        <w:t>)</w:t>
      </w:r>
      <w:r>
        <w:rPr>
          <w:lang w:val="es-ES"/>
        </w:rPr>
        <w:t xml:space="preserve">, pero en su cálculo considera la distribución </w:t>
      </w:r>
      <w:r w:rsidR="00BF6478">
        <w:rPr>
          <w:lang w:val="es-ES"/>
        </w:rPr>
        <w:t xml:space="preserve">acumulada </w:t>
      </w:r>
      <w:r>
        <w:rPr>
          <w:lang w:val="es-ES"/>
        </w:rPr>
        <w:t>de toda la población (o sea</w:t>
      </w:r>
      <w:r w:rsidR="00BF6478">
        <w:rPr>
          <w:lang w:val="es-ES"/>
        </w:rPr>
        <w:t xml:space="preserve"> incorpora</w:t>
      </w:r>
      <w:r>
        <w:rPr>
          <w:lang w:val="es-ES"/>
        </w:rPr>
        <w:t xml:space="preserve"> los quintiles 2, 3 y 4 también), </w:t>
      </w:r>
      <w:r w:rsidR="0018260A">
        <w:rPr>
          <w:lang w:val="es-ES"/>
        </w:rPr>
        <w:t xml:space="preserve">es decir </w:t>
      </w:r>
      <w:r w:rsidR="005606B9">
        <w:rPr>
          <w:lang w:val="es-ES"/>
        </w:rPr>
        <w:t>estima la gradiente existente considerando el peso de todos</w:t>
      </w:r>
      <w:r w:rsidR="0018260A">
        <w:rPr>
          <w:lang w:val="es-ES"/>
        </w:rPr>
        <w:t xml:space="preserve"> los grupos. L</w:t>
      </w:r>
      <w:r>
        <w:rPr>
          <w:lang w:val="es-ES"/>
        </w:rPr>
        <w:t>o</w:t>
      </w:r>
      <w:r w:rsidR="0018260A">
        <w:rPr>
          <w:lang w:val="es-ES"/>
        </w:rPr>
        <w:t xml:space="preserve"> anterior</w:t>
      </w:r>
      <w:r w:rsidR="00BC3840">
        <w:rPr>
          <w:lang w:val="es-ES"/>
        </w:rPr>
        <w:t xml:space="preserve"> da información más completa de cómo se están comportando las inequidades en la región.</w:t>
      </w:r>
    </w:p>
    <w:p w14:paraId="2C20474E" w14:textId="242E81E0" w:rsidR="00BC3840" w:rsidRPr="00BC3840" w:rsidRDefault="00BC3840" w:rsidP="00BF6478">
      <w:pPr>
        <w:pStyle w:val="Prrafodelista"/>
        <w:numPr>
          <w:ilvl w:val="0"/>
          <w:numId w:val="3"/>
        </w:numPr>
        <w:jc w:val="both"/>
        <w:rPr>
          <w:spacing w:val="-10"/>
          <w:kern w:val="28"/>
          <w:sz w:val="56"/>
          <w:szCs w:val="56"/>
          <w:lang w:val="es-ES"/>
        </w:rPr>
      </w:pPr>
      <w:r>
        <w:rPr>
          <w:lang w:val="es-ES"/>
        </w:rPr>
        <w:t>Índice absoluto de desigualdad: utilizando la misma metodología que el anterior, permite calcular la diferencia absoluta entre los grupos teóricos más aventajado y menos aventajado si es que considerásemos la distribución de toda la población. S</w:t>
      </w:r>
      <w:r w:rsidR="0018260A">
        <w:rPr>
          <w:lang w:val="es-ES"/>
        </w:rPr>
        <w:t>u interpretación corresponde directamente a la pendiente de la regresión utilizada para su estimación, y s</w:t>
      </w:r>
      <w:r>
        <w:rPr>
          <w:lang w:val="es-ES"/>
        </w:rPr>
        <w:t>e interpreta como cuánta más incidencia tiene el grupo más desaventajado (“más pobre”) por sobre el más aventajado (“más rico”).</w:t>
      </w:r>
    </w:p>
    <w:p w14:paraId="6CA16EEE" w14:textId="79B9AE76" w:rsidR="00BC3840" w:rsidRDefault="00BC3840" w:rsidP="00BC3840">
      <w:pPr>
        <w:pStyle w:val="Ttulo1"/>
        <w:rPr>
          <w:lang w:val="es-ES"/>
        </w:rPr>
      </w:pPr>
      <w:r>
        <w:rPr>
          <w:lang w:val="es-ES"/>
        </w:rPr>
        <w:t>Monitoreo de determinantes sociales de la salud</w:t>
      </w:r>
      <w:r>
        <w:rPr>
          <w:lang w:val="es-ES"/>
        </w:rPr>
        <w:tab/>
      </w:r>
    </w:p>
    <w:p w14:paraId="7D7A34C4" w14:textId="149C31F1" w:rsidR="00BC3840" w:rsidRDefault="00F90DFD" w:rsidP="005606B9">
      <w:pPr>
        <w:pStyle w:val="Textoindependiente"/>
        <w:jc w:val="both"/>
        <w:rPr>
          <w:lang w:val="es-ES"/>
        </w:rPr>
      </w:pPr>
      <w:r>
        <w:rPr>
          <w:lang w:val="es-ES"/>
        </w:rPr>
        <w:t xml:space="preserve">Dado que el visor corresponde al monitoreo de determinantes sociales de la salud, una </w:t>
      </w:r>
      <w:r w:rsidR="00BC3840">
        <w:rPr>
          <w:lang w:val="es-ES"/>
        </w:rPr>
        <w:t xml:space="preserve">parte importante del </w:t>
      </w:r>
      <w:r>
        <w:rPr>
          <w:lang w:val="es-ES"/>
        </w:rPr>
        <w:t xml:space="preserve">este </w:t>
      </w:r>
      <w:r w:rsidR="00BC3840">
        <w:rPr>
          <w:lang w:val="es-ES"/>
        </w:rPr>
        <w:t xml:space="preserve">debería ser la inclusión de </w:t>
      </w:r>
      <w:r>
        <w:rPr>
          <w:lang w:val="es-ES"/>
        </w:rPr>
        <w:t>este tipo de indicadores</w:t>
      </w:r>
      <w:r w:rsidR="00BC3840">
        <w:rPr>
          <w:lang w:val="es-ES"/>
        </w:rPr>
        <w:t xml:space="preserve"> que sean clave para la RM y que permita entender algunas de las causas por las cuales se están produciendo las inequidades previamente informadas. Como ejemplo, estimamos la prevalencia de hacinamiento para la RM los años 2017 y 2022 (ejercicio 4). Ir incluyendo la evolución de los DSS es parte fundamental del monitoreo y permite tener herramientas para saber si las políticas públicas que estamos implementando son pertinentes y están sirviendo o no para reducir las inequidades en salud.</w:t>
      </w:r>
      <w:r w:rsidR="00BA6820">
        <w:rPr>
          <w:lang w:val="es-ES"/>
        </w:rPr>
        <w:t xml:space="preserve"> </w:t>
      </w:r>
    </w:p>
    <w:p w14:paraId="0FB78007" w14:textId="675599C3" w:rsidR="001C626D" w:rsidRDefault="00BA6820" w:rsidP="00F90DFD">
      <w:pPr>
        <w:pStyle w:val="Textoindependiente"/>
        <w:jc w:val="both"/>
        <w:rPr>
          <w:lang w:val="es-ES"/>
        </w:rPr>
      </w:pPr>
      <w:r>
        <w:rPr>
          <w:lang w:val="es-ES"/>
        </w:rPr>
        <w:t xml:space="preserve">Junto con tener el dato para la RM de los distintos indicadores de DSS y políticas, se puede pintar en un mapa la distribución de dicho indicador entre las distintas comunas de la región y con ello tener una visión </w:t>
      </w:r>
      <w:r w:rsidR="001C626D">
        <w:rPr>
          <w:lang w:val="es-ES"/>
        </w:rPr>
        <w:t xml:space="preserve">espacial </w:t>
      </w:r>
      <w:r>
        <w:rPr>
          <w:lang w:val="es-ES"/>
        </w:rPr>
        <w:t xml:space="preserve">de la desigualdad. No se recomienda utilizar de manera pública la estimación del valor puntual para cada comuna en el caso que la fuente de información utilizada (en el caso del ejemplo la CASEN) no tenga representatividad a nivel </w:t>
      </w:r>
      <w:r>
        <w:rPr>
          <w:lang w:val="es-ES"/>
        </w:rPr>
        <w:lastRenderedPageBreak/>
        <w:t xml:space="preserve">comunal. </w:t>
      </w:r>
      <w:r w:rsidR="001C626D">
        <w:rPr>
          <w:lang w:val="es-ES"/>
        </w:rPr>
        <w:t>Como alternativa válida</w:t>
      </w:r>
      <w:r>
        <w:rPr>
          <w:lang w:val="es-ES"/>
        </w:rPr>
        <w:t>, e</w:t>
      </w:r>
      <w:r w:rsidR="00F90DFD">
        <w:rPr>
          <w:lang w:val="es-ES"/>
        </w:rPr>
        <w:t xml:space="preserve">s posible utilizar </w:t>
      </w:r>
      <w:r>
        <w:rPr>
          <w:lang w:val="es-ES"/>
        </w:rPr>
        <w:t>valores estandarizados</w:t>
      </w:r>
      <w:r w:rsidR="001C626D">
        <w:rPr>
          <w:lang w:val="es-ES"/>
        </w:rPr>
        <w:t xml:space="preserve">, transformando los valores en una escala relativa, por ejemplo: </w:t>
      </w:r>
    </w:p>
    <w:p w14:paraId="15BBBCE6" w14:textId="3FA2B313" w:rsidR="001C626D" w:rsidRDefault="001C626D" w:rsidP="00F90DFD">
      <w:pPr>
        <w:pStyle w:val="Textoindependiente"/>
        <w:jc w:val="both"/>
        <w:rPr>
          <w:lang w:val="es-ES"/>
        </w:rPr>
      </w:pPr>
      <m:oMathPara>
        <m:oMath>
          <m:r>
            <w:rPr>
              <w:rFonts w:ascii="Cambria Math" w:hAnsi="Cambria Math"/>
              <w:lang w:val="es-ES"/>
            </w:rPr>
            <m:t>valor_nuevo=</m:t>
          </m:r>
          <m:f>
            <m:fPr>
              <m:ctrlPr>
                <w:rPr>
                  <w:rFonts w:ascii="Cambria Math" w:hAnsi="Cambria Math"/>
                  <w:i/>
                  <w:lang w:val="es-ES"/>
                </w:rPr>
              </m:ctrlPr>
            </m:fPr>
            <m:num>
              <m:r>
                <w:rPr>
                  <w:rFonts w:ascii="Cambria Math" w:hAnsi="Cambria Math"/>
                  <w:lang w:val="es-ES"/>
                </w:rPr>
                <m:t>(valor-mínimo)</m:t>
              </m:r>
            </m:num>
            <m:den>
              <m:r>
                <w:rPr>
                  <w:rFonts w:ascii="Cambria Math" w:hAnsi="Cambria Math"/>
                  <w:lang w:val="es-ES"/>
                </w:rPr>
                <m:t>(máximo-mínimo)</m:t>
              </m:r>
            </m:den>
          </m:f>
          <m:r>
            <w:rPr>
              <w:rFonts w:ascii="Cambria Math" w:hAnsi="Cambria Math"/>
              <w:lang w:val="es-ES"/>
            </w:rPr>
            <m:t>x100</m:t>
          </m:r>
        </m:oMath>
      </m:oMathPara>
    </w:p>
    <w:p w14:paraId="7CD820C1" w14:textId="7FB6363E" w:rsidR="00BA6820" w:rsidRDefault="001C626D" w:rsidP="005606B9">
      <w:pPr>
        <w:pStyle w:val="Textoindependiente"/>
        <w:jc w:val="both"/>
        <w:rPr>
          <w:lang w:val="es-ES"/>
        </w:rPr>
      </w:pPr>
      <w:r>
        <w:rPr>
          <w:lang w:val="es-ES"/>
        </w:rPr>
        <w:t xml:space="preserve"> Esto permite</w:t>
      </w:r>
      <w:r w:rsidR="00BA6820">
        <w:rPr>
          <w:lang w:val="es-ES"/>
        </w:rPr>
        <w:t xml:space="preserve"> establecer la posición relativa de las comunas </w:t>
      </w:r>
      <w:r>
        <w:rPr>
          <w:lang w:val="es-ES"/>
        </w:rPr>
        <w:t>respecto a las demás, facilitando el análisis comparativo para e</w:t>
      </w:r>
      <w:r w:rsidR="00BA6820">
        <w:rPr>
          <w:lang w:val="es-ES"/>
        </w:rPr>
        <w:t>stablecer eventuales desigualdades</w:t>
      </w:r>
      <w:r>
        <w:rPr>
          <w:lang w:val="es-ES"/>
        </w:rPr>
        <w:t xml:space="preserve"> territoriales en la región</w:t>
      </w:r>
      <w:r w:rsidR="00BA6820">
        <w:rPr>
          <w:lang w:val="es-ES"/>
        </w:rPr>
        <w:t>.</w:t>
      </w:r>
    </w:p>
    <w:p w14:paraId="7E7DE4AD" w14:textId="12E49198" w:rsidR="00BA6820" w:rsidRPr="00BC3840" w:rsidRDefault="00BA6820" w:rsidP="005606B9">
      <w:pPr>
        <w:pStyle w:val="Textoindependiente"/>
        <w:jc w:val="both"/>
        <w:rPr>
          <w:lang w:val="es-ES"/>
        </w:rPr>
      </w:pPr>
      <w:r>
        <w:rPr>
          <w:lang w:val="es-ES"/>
        </w:rPr>
        <w:t>Los indicadores de DSS y políticas a incluir deberían ser identificados y priorizados de forma intersectorial y participativa y, además, basarse en marcos conceptuales que justifiquen su monitoreo.</w:t>
      </w:r>
    </w:p>
    <w:p w14:paraId="3420540B" w14:textId="77777777" w:rsidR="00BA6820" w:rsidRDefault="00BA6820" w:rsidP="005606B9">
      <w:pPr>
        <w:jc w:val="both"/>
        <w:rPr>
          <w:lang w:val="es-ES"/>
        </w:rPr>
      </w:pPr>
    </w:p>
    <w:p w14:paraId="1F1295E8" w14:textId="298CF555" w:rsidR="0001729E" w:rsidRPr="00BC3840" w:rsidRDefault="00BA6820" w:rsidP="00BA6820">
      <w:pPr>
        <w:pStyle w:val="Ttulo1"/>
        <w:rPr>
          <w:spacing w:val="-10"/>
          <w:kern w:val="28"/>
          <w:sz w:val="56"/>
          <w:szCs w:val="56"/>
          <w:lang w:val="es-ES"/>
        </w:rPr>
      </w:pPr>
      <w:r>
        <w:rPr>
          <w:lang w:val="es-ES"/>
        </w:rPr>
        <w:t>Asociación entre salud y los determinantes sociales de la salud</w:t>
      </w:r>
    </w:p>
    <w:p w14:paraId="39A00391" w14:textId="18A1EB3F" w:rsidR="00BA6820" w:rsidRDefault="00BA6820" w:rsidP="005606B9">
      <w:pPr>
        <w:jc w:val="both"/>
        <w:rPr>
          <w:lang w:val="es-ES"/>
        </w:rPr>
      </w:pPr>
      <w:r>
        <w:rPr>
          <w:lang w:val="es-ES"/>
        </w:rPr>
        <w:t xml:space="preserve">Por último, el visor también podría contar con una sección analítica en la cual se muestren </w:t>
      </w:r>
      <w:r w:rsidR="00AC5769">
        <w:rPr>
          <w:lang w:val="es-ES"/>
        </w:rPr>
        <w:t>las medidas de asociación entre los DSS y los resultados en salud (ej., ejercicio 5) viendo cuales se asocian en mayor o menor medida al resultado de salud de interés. Se puede mostrar a partir de gráficos como el incluido en el ejemplo 5 o a través directamente de tablas o métricas como las mencionadas en el apartado de métricas de inequidades en salud.</w:t>
      </w:r>
    </w:p>
    <w:p w14:paraId="7F4319CC" w14:textId="77A8F66A" w:rsidR="00AC5769" w:rsidRDefault="00AC5769" w:rsidP="005606B9">
      <w:pPr>
        <w:jc w:val="both"/>
        <w:rPr>
          <w:lang w:val="es-ES"/>
        </w:rPr>
      </w:pPr>
      <w:r>
        <w:rPr>
          <w:lang w:val="es-ES"/>
        </w:rPr>
        <w:t>La forma en cómo se querrán mostrar los resultados dependerá del propósito y funciones que el equipo de la SEREMI quiera darle al visor o sistema de monitoreo de determinantes sociales de la equidad en salud.</w:t>
      </w:r>
    </w:p>
    <w:p w14:paraId="7AB37099" w14:textId="77777777" w:rsidR="00BA6820" w:rsidRDefault="00BA6820">
      <w:pPr>
        <w:rPr>
          <w:rFonts w:asciiTheme="majorHAnsi" w:eastAsiaTheme="majorEastAsia" w:hAnsiTheme="majorHAnsi" w:cstheme="majorBidi"/>
          <w:spacing w:val="-10"/>
          <w:kern w:val="28"/>
          <w:sz w:val="56"/>
          <w:szCs w:val="56"/>
          <w:lang w:val="es-ES"/>
        </w:rPr>
      </w:pPr>
      <w:r>
        <w:rPr>
          <w:lang w:val="es-ES"/>
        </w:rPr>
        <w:br w:type="page"/>
      </w:r>
    </w:p>
    <w:p w14:paraId="60ADCA48" w14:textId="3965351D" w:rsidR="00C86500" w:rsidRPr="0001729E" w:rsidRDefault="0001729E" w:rsidP="00C86500">
      <w:pPr>
        <w:pStyle w:val="Ttulo"/>
        <w:jc w:val="left"/>
        <w:rPr>
          <w:lang w:val="es-ES"/>
        </w:rPr>
      </w:pPr>
      <w:r>
        <w:rPr>
          <w:lang w:val="es-ES"/>
        </w:rPr>
        <w:lastRenderedPageBreak/>
        <w:t xml:space="preserve">Ejercicio 1. </w:t>
      </w:r>
      <w:r w:rsidR="00C86500" w:rsidRPr="0001729E">
        <w:rPr>
          <w:lang w:val="es-ES"/>
        </w:rPr>
        <w:t>Análisis de Desigualdad en TBC y Pobreza</w:t>
      </w:r>
    </w:p>
    <w:p w14:paraId="06361C8D" w14:textId="77777777" w:rsidR="00C86500" w:rsidRDefault="00C86500" w:rsidP="00C86500">
      <w:pPr>
        <w:pStyle w:val="Fecha"/>
      </w:pPr>
      <w:r>
        <w:t>2025-06-11</w:t>
      </w:r>
    </w:p>
    <w:p w14:paraId="64F21261" w14:textId="77777777" w:rsidR="00C86500" w:rsidRDefault="00C86500" w:rsidP="00C86500">
      <w:pPr>
        <w:pStyle w:val="FirstParagraph"/>
      </w:pPr>
      <w:r>
        <w:rPr>
          <w:noProof/>
        </w:rPr>
        <w:drawing>
          <wp:inline distT="0" distB="0" distL="0" distR="0" wp14:anchorId="32A1E9B6" wp14:editId="617EE05B">
            <wp:extent cx="4620126" cy="3696101"/>
            <wp:effectExtent l="0" t="0" r="0" b="0"/>
            <wp:docPr id="1428986412" name="Picture" descr="Gráfico, Gráfico de cajas y bigote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428986412" name="Picture" descr="Gráfico, Gráfico de cajas y bigotes&#10;&#10;El contenido generado por IA puede ser incorrecto."/>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5B8062E" w14:textId="77777777" w:rsidR="00C86500" w:rsidRPr="0001729E" w:rsidRDefault="00C86500" w:rsidP="00C86500">
      <w:pPr>
        <w:pStyle w:val="Ttulo2"/>
        <w:rPr>
          <w:lang w:val="es-ES"/>
        </w:rPr>
      </w:pPr>
      <w:bookmarkStart w:id="2" w:name="indicadores-de-desigualdad"/>
      <w:r w:rsidRPr="0001729E">
        <w:rPr>
          <w:lang w:val="es-ES"/>
        </w:rPr>
        <w:t>Indicadores de Desigualdad</w:t>
      </w:r>
    </w:p>
    <w:p w14:paraId="6FD1DE9C" w14:textId="77777777" w:rsidR="00C86500" w:rsidRPr="0001729E" w:rsidRDefault="00C86500" w:rsidP="00C86500">
      <w:pPr>
        <w:pStyle w:val="TableCaption"/>
        <w:rPr>
          <w:lang w:val="es-ES"/>
        </w:rPr>
      </w:pPr>
      <w:r w:rsidRPr="0001729E">
        <w:rPr>
          <w:lang w:val="es-ES"/>
        </w:rPr>
        <w:t>Indicadores de desigualdad de TBC</w:t>
      </w:r>
    </w:p>
    <w:tbl>
      <w:tblPr>
        <w:tblStyle w:val="Table"/>
        <w:tblW w:w="5000" w:type="pct"/>
        <w:tblLayout w:type="fixed"/>
        <w:tblLook w:val="0020" w:firstRow="1" w:lastRow="0" w:firstColumn="0" w:lastColumn="0" w:noHBand="0" w:noVBand="0"/>
      </w:tblPr>
      <w:tblGrid>
        <w:gridCol w:w="4498"/>
        <w:gridCol w:w="2431"/>
        <w:gridCol w:w="2431"/>
      </w:tblGrid>
      <w:tr w:rsidR="00C86500" w14:paraId="2026AE2E" w14:textId="77777777" w:rsidTr="009840DD">
        <w:trPr>
          <w:cnfStyle w:val="100000000000" w:firstRow="1" w:lastRow="0" w:firstColumn="0" w:lastColumn="0" w:oddVBand="0" w:evenVBand="0" w:oddHBand="0" w:evenHBand="0" w:firstRowFirstColumn="0" w:firstRowLastColumn="0" w:lastRowFirstColumn="0" w:lastRowLastColumn="0"/>
          <w:tblHeader/>
        </w:trPr>
        <w:tc>
          <w:tcPr>
            <w:tcW w:w="3805" w:type="dxa"/>
          </w:tcPr>
          <w:p w14:paraId="615606F3" w14:textId="77777777" w:rsidR="00C86500" w:rsidRDefault="00C86500" w:rsidP="009840DD">
            <w:pPr>
              <w:pStyle w:val="Compact"/>
            </w:pPr>
            <w:proofErr w:type="spellStart"/>
            <w:r>
              <w:t>Indicador</w:t>
            </w:r>
            <w:proofErr w:type="spellEnd"/>
          </w:p>
        </w:tc>
        <w:tc>
          <w:tcPr>
            <w:tcW w:w="2057" w:type="dxa"/>
          </w:tcPr>
          <w:p w14:paraId="3C5570EB" w14:textId="77777777" w:rsidR="00C86500" w:rsidRDefault="00C86500" w:rsidP="009840DD">
            <w:pPr>
              <w:pStyle w:val="Compact"/>
              <w:jc w:val="center"/>
            </w:pPr>
            <w:r>
              <w:t>año.2017</w:t>
            </w:r>
          </w:p>
        </w:tc>
        <w:tc>
          <w:tcPr>
            <w:tcW w:w="2057" w:type="dxa"/>
          </w:tcPr>
          <w:p w14:paraId="34D9BCA4" w14:textId="77777777" w:rsidR="00C86500" w:rsidRDefault="00C86500" w:rsidP="009840DD">
            <w:pPr>
              <w:pStyle w:val="Compact"/>
              <w:jc w:val="center"/>
            </w:pPr>
            <w:r>
              <w:t>año.2022</w:t>
            </w:r>
          </w:p>
        </w:tc>
      </w:tr>
      <w:tr w:rsidR="00C86500" w14:paraId="7D2D8AB3" w14:textId="77777777" w:rsidTr="009840DD">
        <w:tc>
          <w:tcPr>
            <w:tcW w:w="3805" w:type="dxa"/>
          </w:tcPr>
          <w:p w14:paraId="06F4E2F2" w14:textId="77777777" w:rsidR="00C86500" w:rsidRDefault="00C86500" w:rsidP="009840DD">
            <w:pPr>
              <w:pStyle w:val="Compact"/>
            </w:pPr>
            <w:r>
              <w:t xml:space="preserve">Tasa </w:t>
            </w:r>
            <w:proofErr w:type="spellStart"/>
            <w:r>
              <w:t>grupo</w:t>
            </w:r>
            <w:proofErr w:type="spellEnd"/>
            <w:r>
              <w:t xml:space="preserve"> </w:t>
            </w:r>
            <w:proofErr w:type="spellStart"/>
            <w:r>
              <w:t>más</w:t>
            </w:r>
            <w:proofErr w:type="spellEnd"/>
            <w:r>
              <w:t xml:space="preserve"> </w:t>
            </w:r>
            <w:proofErr w:type="spellStart"/>
            <w:r>
              <w:t>desaventajado</w:t>
            </w:r>
            <w:proofErr w:type="spellEnd"/>
          </w:p>
        </w:tc>
        <w:tc>
          <w:tcPr>
            <w:tcW w:w="2057" w:type="dxa"/>
          </w:tcPr>
          <w:p w14:paraId="7BB31548" w14:textId="77777777" w:rsidR="00C86500" w:rsidRDefault="00C86500" w:rsidP="009840DD">
            <w:pPr>
              <w:pStyle w:val="Compact"/>
              <w:jc w:val="center"/>
            </w:pPr>
            <w:r>
              <w:t>15.94</w:t>
            </w:r>
          </w:p>
        </w:tc>
        <w:tc>
          <w:tcPr>
            <w:tcW w:w="2057" w:type="dxa"/>
          </w:tcPr>
          <w:p w14:paraId="20447447" w14:textId="77777777" w:rsidR="00C86500" w:rsidRDefault="00C86500" w:rsidP="009840DD">
            <w:pPr>
              <w:pStyle w:val="Compact"/>
              <w:jc w:val="center"/>
            </w:pPr>
            <w:r>
              <w:t>18.27</w:t>
            </w:r>
          </w:p>
        </w:tc>
      </w:tr>
      <w:tr w:rsidR="00C86500" w14:paraId="779C030A" w14:textId="77777777" w:rsidTr="009840DD">
        <w:tc>
          <w:tcPr>
            <w:tcW w:w="3805" w:type="dxa"/>
          </w:tcPr>
          <w:p w14:paraId="572EFD19" w14:textId="77777777" w:rsidR="00C86500" w:rsidRDefault="00C86500" w:rsidP="009840DD">
            <w:pPr>
              <w:pStyle w:val="Compact"/>
            </w:pPr>
            <w:r>
              <w:t xml:space="preserve">Tasa </w:t>
            </w:r>
            <w:proofErr w:type="spellStart"/>
            <w:r>
              <w:t>grupo</w:t>
            </w:r>
            <w:proofErr w:type="spellEnd"/>
            <w:r>
              <w:t xml:space="preserve"> </w:t>
            </w:r>
            <w:proofErr w:type="spellStart"/>
            <w:r>
              <w:t>más</w:t>
            </w:r>
            <w:proofErr w:type="spellEnd"/>
            <w:r>
              <w:t xml:space="preserve"> </w:t>
            </w:r>
            <w:proofErr w:type="spellStart"/>
            <w:r>
              <w:t>aventajado</w:t>
            </w:r>
            <w:proofErr w:type="spellEnd"/>
          </w:p>
        </w:tc>
        <w:tc>
          <w:tcPr>
            <w:tcW w:w="2057" w:type="dxa"/>
          </w:tcPr>
          <w:p w14:paraId="40B07C87" w14:textId="77777777" w:rsidR="00C86500" w:rsidRDefault="00C86500" w:rsidP="009840DD">
            <w:pPr>
              <w:pStyle w:val="Compact"/>
              <w:jc w:val="center"/>
            </w:pPr>
            <w:r>
              <w:t>7.12</w:t>
            </w:r>
          </w:p>
        </w:tc>
        <w:tc>
          <w:tcPr>
            <w:tcW w:w="2057" w:type="dxa"/>
          </w:tcPr>
          <w:p w14:paraId="4DA615B8" w14:textId="77777777" w:rsidR="00C86500" w:rsidRDefault="00C86500" w:rsidP="009840DD">
            <w:pPr>
              <w:pStyle w:val="Compact"/>
              <w:jc w:val="center"/>
            </w:pPr>
            <w:r>
              <w:t>8.07</w:t>
            </w:r>
          </w:p>
        </w:tc>
      </w:tr>
      <w:tr w:rsidR="00C86500" w14:paraId="58656D2C" w14:textId="77777777" w:rsidTr="009840DD">
        <w:tc>
          <w:tcPr>
            <w:tcW w:w="3805" w:type="dxa"/>
          </w:tcPr>
          <w:p w14:paraId="372D969C" w14:textId="77777777" w:rsidR="00C86500" w:rsidRDefault="00C86500" w:rsidP="009840DD">
            <w:pPr>
              <w:pStyle w:val="Compact"/>
            </w:pPr>
            <w:r>
              <w:t xml:space="preserve">Brecha </w:t>
            </w:r>
            <w:proofErr w:type="spellStart"/>
            <w:r>
              <w:t>absoluta</w:t>
            </w:r>
            <w:proofErr w:type="spellEnd"/>
          </w:p>
        </w:tc>
        <w:tc>
          <w:tcPr>
            <w:tcW w:w="2057" w:type="dxa"/>
          </w:tcPr>
          <w:p w14:paraId="6AF7C1CD" w14:textId="77777777" w:rsidR="00C86500" w:rsidRDefault="00C86500" w:rsidP="009840DD">
            <w:pPr>
              <w:pStyle w:val="Compact"/>
              <w:jc w:val="center"/>
            </w:pPr>
            <w:r>
              <w:t>8.82</w:t>
            </w:r>
          </w:p>
        </w:tc>
        <w:tc>
          <w:tcPr>
            <w:tcW w:w="2057" w:type="dxa"/>
          </w:tcPr>
          <w:p w14:paraId="3DD2BB3A" w14:textId="77777777" w:rsidR="00C86500" w:rsidRDefault="00C86500" w:rsidP="009840DD">
            <w:pPr>
              <w:pStyle w:val="Compact"/>
              <w:jc w:val="center"/>
            </w:pPr>
            <w:r>
              <w:t>10.19</w:t>
            </w:r>
          </w:p>
        </w:tc>
      </w:tr>
      <w:tr w:rsidR="00C86500" w14:paraId="420A9031" w14:textId="77777777" w:rsidTr="009840DD">
        <w:tc>
          <w:tcPr>
            <w:tcW w:w="3805" w:type="dxa"/>
          </w:tcPr>
          <w:p w14:paraId="461A074D" w14:textId="77777777" w:rsidR="00C86500" w:rsidRDefault="00C86500" w:rsidP="009840DD">
            <w:pPr>
              <w:pStyle w:val="Compact"/>
            </w:pPr>
            <w:r>
              <w:t xml:space="preserve">Brecha </w:t>
            </w:r>
            <w:proofErr w:type="spellStart"/>
            <w:r>
              <w:t>relativa</w:t>
            </w:r>
            <w:proofErr w:type="spellEnd"/>
          </w:p>
        </w:tc>
        <w:tc>
          <w:tcPr>
            <w:tcW w:w="2057" w:type="dxa"/>
          </w:tcPr>
          <w:p w14:paraId="6F96F866" w14:textId="77777777" w:rsidR="00C86500" w:rsidRDefault="00C86500" w:rsidP="009840DD">
            <w:pPr>
              <w:pStyle w:val="Compact"/>
              <w:jc w:val="center"/>
            </w:pPr>
            <w:r>
              <w:t>2.24</w:t>
            </w:r>
          </w:p>
        </w:tc>
        <w:tc>
          <w:tcPr>
            <w:tcW w:w="2057" w:type="dxa"/>
          </w:tcPr>
          <w:p w14:paraId="0DC462AF" w14:textId="77777777" w:rsidR="00C86500" w:rsidRDefault="00C86500" w:rsidP="009840DD">
            <w:pPr>
              <w:pStyle w:val="Compact"/>
              <w:jc w:val="center"/>
            </w:pPr>
            <w:r>
              <w:t>2.26</w:t>
            </w:r>
          </w:p>
        </w:tc>
      </w:tr>
      <w:tr w:rsidR="00C86500" w14:paraId="10096E55" w14:textId="77777777" w:rsidTr="009840DD">
        <w:tc>
          <w:tcPr>
            <w:tcW w:w="3805" w:type="dxa"/>
          </w:tcPr>
          <w:p w14:paraId="2A4A7F9E" w14:textId="77777777" w:rsidR="00C86500" w:rsidRPr="0001729E" w:rsidRDefault="00C86500" w:rsidP="009840DD">
            <w:pPr>
              <w:pStyle w:val="Compact"/>
              <w:rPr>
                <w:lang w:val="es-ES"/>
              </w:rPr>
            </w:pPr>
            <w:r w:rsidRPr="0001729E">
              <w:rPr>
                <w:lang w:val="es-ES"/>
              </w:rPr>
              <w:t>Razón de tasas (RR) [IC 95%]</w:t>
            </w:r>
          </w:p>
        </w:tc>
        <w:tc>
          <w:tcPr>
            <w:tcW w:w="2057" w:type="dxa"/>
          </w:tcPr>
          <w:p w14:paraId="070EA5BF" w14:textId="77777777" w:rsidR="00C86500" w:rsidRDefault="00C86500" w:rsidP="009840DD">
            <w:pPr>
              <w:pStyle w:val="Compact"/>
              <w:jc w:val="center"/>
            </w:pPr>
            <w:r>
              <w:t>2.24 (1.79 - 2.79)</w:t>
            </w:r>
          </w:p>
        </w:tc>
        <w:tc>
          <w:tcPr>
            <w:tcW w:w="2057" w:type="dxa"/>
          </w:tcPr>
          <w:p w14:paraId="57F93F97" w14:textId="77777777" w:rsidR="00C86500" w:rsidRDefault="00C86500" w:rsidP="009840DD">
            <w:pPr>
              <w:pStyle w:val="Compact"/>
              <w:jc w:val="center"/>
            </w:pPr>
            <w:r>
              <w:t>2.26 (1.81 - 2.82)</w:t>
            </w:r>
          </w:p>
        </w:tc>
      </w:tr>
      <w:tr w:rsidR="00C86500" w14:paraId="7B672EEF" w14:textId="77777777" w:rsidTr="009840DD">
        <w:tc>
          <w:tcPr>
            <w:tcW w:w="3805" w:type="dxa"/>
          </w:tcPr>
          <w:p w14:paraId="54DA6AA0" w14:textId="77777777" w:rsidR="00C86500" w:rsidRPr="0001729E" w:rsidRDefault="00C86500" w:rsidP="009840DD">
            <w:pPr>
              <w:pStyle w:val="Compact"/>
              <w:rPr>
                <w:lang w:val="es-ES"/>
              </w:rPr>
            </w:pPr>
            <w:r w:rsidRPr="0001729E">
              <w:rPr>
                <w:lang w:val="es-ES"/>
              </w:rPr>
              <w:t>Índice Relativo de Desigualdad (IRD)</w:t>
            </w:r>
          </w:p>
        </w:tc>
        <w:tc>
          <w:tcPr>
            <w:tcW w:w="2057" w:type="dxa"/>
          </w:tcPr>
          <w:p w14:paraId="5A395B5C" w14:textId="77777777" w:rsidR="00C86500" w:rsidRDefault="00C86500" w:rsidP="009840DD">
            <w:pPr>
              <w:pStyle w:val="Compact"/>
              <w:jc w:val="center"/>
            </w:pPr>
            <w:r>
              <w:t>2.197</w:t>
            </w:r>
          </w:p>
        </w:tc>
        <w:tc>
          <w:tcPr>
            <w:tcW w:w="2057" w:type="dxa"/>
          </w:tcPr>
          <w:p w14:paraId="6572AD17" w14:textId="77777777" w:rsidR="00C86500" w:rsidRDefault="00C86500" w:rsidP="009840DD">
            <w:pPr>
              <w:pStyle w:val="Compact"/>
              <w:jc w:val="center"/>
            </w:pPr>
            <w:r>
              <w:t>2.831</w:t>
            </w:r>
          </w:p>
        </w:tc>
      </w:tr>
      <w:tr w:rsidR="00C86500" w14:paraId="2C6E287D" w14:textId="77777777" w:rsidTr="009840DD">
        <w:tc>
          <w:tcPr>
            <w:tcW w:w="3805" w:type="dxa"/>
          </w:tcPr>
          <w:p w14:paraId="40807006" w14:textId="77777777" w:rsidR="00C86500" w:rsidRPr="0001729E" w:rsidRDefault="00C86500" w:rsidP="009840DD">
            <w:pPr>
              <w:pStyle w:val="Compact"/>
              <w:rPr>
                <w:lang w:val="es-ES"/>
              </w:rPr>
            </w:pPr>
            <w:r w:rsidRPr="0001729E">
              <w:rPr>
                <w:lang w:val="es-ES"/>
              </w:rPr>
              <w:t>Índice Absoluto de Desigualdad (IAD)</w:t>
            </w:r>
          </w:p>
        </w:tc>
        <w:tc>
          <w:tcPr>
            <w:tcW w:w="2057" w:type="dxa"/>
          </w:tcPr>
          <w:p w14:paraId="1A5670EC" w14:textId="77777777" w:rsidR="00C86500" w:rsidRDefault="00C86500" w:rsidP="009840DD">
            <w:pPr>
              <w:pStyle w:val="Compact"/>
              <w:jc w:val="center"/>
            </w:pPr>
            <w:r>
              <w:t>10.958</w:t>
            </w:r>
          </w:p>
        </w:tc>
        <w:tc>
          <w:tcPr>
            <w:tcW w:w="2057" w:type="dxa"/>
          </w:tcPr>
          <w:p w14:paraId="0136BFF1" w14:textId="77777777" w:rsidR="00C86500" w:rsidRDefault="00C86500" w:rsidP="009840DD">
            <w:pPr>
              <w:pStyle w:val="Compact"/>
              <w:jc w:val="center"/>
            </w:pPr>
            <w:r>
              <w:t>14.308</w:t>
            </w:r>
          </w:p>
        </w:tc>
      </w:tr>
      <w:bookmarkEnd w:id="2"/>
    </w:tbl>
    <w:p w14:paraId="3757D2ED" w14:textId="19141623" w:rsidR="0065392B" w:rsidRDefault="0065392B">
      <w:pPr>
        <w:rPr>
          <w:rFonts w:asciiTheme="majorHAnsi" w:eastAsiaTheme="majorEastAsia" w:hAnsiTheme="majorHAnsi" w:cstheme="majorBidi"/>
          <w:spacing w:val="-10"/>
          <w:kern w:val="28"/>
          <w:sz w:val="56"/>
          <w:szCs w:val="56"/>
        </w:rPr>
      </w:pPr>
    </w:p>
    <w:p w14:paraId="76532870" w14:textId="77777777" w:rsidR="00C86500" w:rsidRDefault="00C86500">
      <w:pPr>
        <w:rPr>
          <w:rFonts w:asciiTheme="majorHAnsi" w:eastAsiaTheme="majorEastAsia" w:hAnsiTheme="majorHAnsi" w:cstheme="majorBidi"/>
          <w:spacing w:val="-10"/>
          <w:kern w:val="28"/>
          <w:sz w:val="56"/>
          <w:szCs w:val="56"/>
        </w:rPr>
      </w:pPr>
    </w:p>
    <w:p w14:paraId="59565191" w14:textId="13388595" w:rsidR="00C86500" w:rsidRPr="0001729E" w:rsidRDefault="0001729E" w:rsidP="0001729E">
      <w:pPr>
        <w:pStyle w:val="Ttulo"/>
        <w:jc w:val="left"/>
        <w:rPr>
          <w:lang w:val="es-ES"/>
        </w:rPr>
      </w:pPr>
      <w:r>
        <w:rPr>
          <w:lang w:val="es-ES"/>
        </w:rPr>
        <w:t xml:space="preserve">Ejercicio 2. </w:t>
      </w:r>
      <w:r w:rsidR="00C86500" w:rsidRPr="0001729E">
        <w:rPr>
          <w:lang w:val="es-ES"/>
        </w:rPr>
        <w:t>Análisis de Desigualdad en TBC y Educación</w:t>
      </w:r>
    </w:p>
    <w:p w14:paraId="5F8415F8" w14:textId="77777777" w:rsidR="00C86500" w:rsidRDefault="00C86500" w:rsidP="00C86500">
      <w:pPr>
        <w:pStyle w:val="Fecha"/>
      </w:pPr>
      <w:r>
        <w:t>2025-06-11</w:t>
      </w:r>
    </w:p>
    <w:p w14:paraId="694BB351" w14:textId="77777777" w:rsidR="00C86500" w:rsidRDefault="00C86500" w:rsidP="00C86500">
      <w:pPr>
        <w:pStyle w:val="FirstParagraph"/>
      </w:pPr>
      <w:r>
        <w:rPr>
          <w:noProof/>
        </w:rPr>
        <w:drawing>
          <wp:inline distT="0" distB="0" distL="0" distR="0" wp14:anchorId="0AFD7D28" wp14:editId="452AF660">
            <wp:extent cx="4620126" cy="3696101"/>
            <wp:effectExtent l="0" t="0" r="0" b="0"/>
            <wp:docPr id="1110352427" name="Picture" descr="Gráfico, Gráfico de cajas y bigote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110352427" name="Picture" descr="Gráfico, Gráfico de cajas y bigotes&#10;&#10;El contenido generado por IA puede ser incorrecto."/>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82B1DAB" w14:textId="77777777" w:rsidR="00C86500" w:rsidRPr="0001729E" w:rsidRDefault="00C86500" w:rsidP="00C86500">
      <w:pPr>
        <w:pStyle w:val="Ttulo2"/>
        <w:rPr>
          <w:lang w:val="es-ES"/>
        </w:rPr>
      </w:pPr>
      <w:r w:rsidRPr="0001729E">
        <w:rPr>
          <w:lang w:val="es-ES"/>
        </w:rPr>
        <w:t>Indicadores de Desigualdad</w:t>
      </w:r>
    </w:p>
    <w:p w14:paraId="491DEA89" w14:textId="77777777" w:rsidR="00C86500" w:rsidRPr="0001729E" w:rsidRDefault="00C86500" w:rsidP="00C86500">
      <w:pPr>
        <w:pStyle w:val="TableCaption"/>
        <w:rPr>
          <w:lang w:val="es-ES"/>
        </w:rPr>
      </w:pPr>
      <w:r w:rsidRPr="0001729E">
        <w:rPr>
          <w:lang w:val="es-ES"/>
        </w:rPr>
        <w:t>Indicadores de desigualdad de TBC</w:t>
      </w:r>
    </w:p>
    <w:tbl>
      <w:tblPr>
        <w:tblStyle w:val="Table"/>
        <w:tblW w:w="5000" w:type="pct"/>
        <w:tblLayout w:type="fixed"/>
        <w:tblLook w:val="0020" w:firstRow="1" w:lastRow="0" w:firstColumn="0" w:lastColumn="0" w:noHBand="0" w:noVBand="0"/>
      </w:tblPr>
      <w:tblGrid>
        <w:gridCol w:w="4618"/>
        <w:gridCol w:w="2246"/>
        <w:gridCol w:w="2496"/>
      </w:tblGrid>
      <w:tr w:rsidR="00C86500" w14:paraId="5DF3713D" w14:textId="77777777" w:rsidTr="009840DD">
        <w:trPr>
          <w:cnfStyle w:val="100000000000" w:firstRow="1" w:lastRow="0" w:firstColumn="0" w:lastColumn="0" w:oddVBand="0" w:evenVBand="0" w:oddHBand="0" w:evenHBand="0" w:firstRowFirstColumn="0" w:firstRowLastColumn="0" w:lastRowFirstColumn="0" w:lastRowLastColumn="0"/>
          <w:tblHeader/>
        </w:trPr>
        <w:tc>
          <w:tcPr>
            <w:tcW w:w="3907" w:type="dxa"/>
          </w:tcPr>
          <w:p w14:paraId="1BBB5334" w14:textId="77777777" w:rsidR="00C86500" w:rsidRDefault="00C86500" w:rsidP="009840DD">
            <w:pPr>
              <w:pStyle w:val="Compact"/>
            </w:pPr>
            <w:proofErr w:type="spellStart"/>
            <w:r>
              <w:t>Indicador</w:t>
            </w:r>
            <w:proofErr w:type="spellEnd"/>
          </w:p>
        </w:tc>
        <w:tc>
          <w:tcPr>
            <w:tcW w:w="1900" w:type="dxa"/>
          </w:tcPr>
          <w:p w14:paraId="7C73A5AA" w14:textId="77777777" w:rsidR="00C86500" w:rsidRDefault="00C86500" w:rsidP="009840DD">
            <w:pPr>
              <w:pStyle w:val="Compact"/>
              <w:jc w:val="center"/>
            </w:pPr>
            <w:r>
              <w:t>año.2017</w:t>
            </w:r>
          </w:p>
        </w:tc>
        <w:tc>
          <w:tcPr>
            <w:tcW w:w="2112" w:type="dxa"/>
          </w:tcPr>
          <w:p w14:paraId="7BA7584D" w14:textId="77777777" w:rsidR="00C86500" w:rsidRDefault="00C86500" w:rsidP="009840DD">
            <w:pPr>
              <w:pStyle w:val="Compact"/>
              <w:jc w:val="center"/>
            </w:pPr>
            <w:r>
              <w:t>año.2022</w:t>
            </w:r>
          </w:p>
        </w:tc>
      </w:tr>
      <w:tr w:rsidR="00C86500" w14:paraId="0AEFDF40" w14:textId="77777777" w:rsidTr="009840DD">
        <w:tc>
          <w:tcPr>
            <w:tcW w:w="3907" w:type="dxa"/>
          </w:tcPr>
          <w:p w14:paraId="5F4C2752" w14:textId="77777777" w:rsidR="00C86500" w:rsidRDefault="00C86500" w:rsidP="009840DD">
            <w:pPr>
              <w:pStyle w:val="Compact"/>
            </w:pPr>
            <w:r>
              <w:t xml:space="preserve">Tasa </w:t>
            </w:r>
            <w:proofErr w:type="spellStart"/>
            <w:r>
              <w:t>grupo</w:t>
            </w:r>
            <w:proofErr w:type="spellEnd"/>
            <w:r>
              <w:t xml:space="preserve"> </w:t>
            </w:r>
            <w:proofErr w:type="spellStart"/>
            <w:r>
              <w:t>más</w:t>
            </w:r>
            <w:proofErr w:type="spellEnd"/>
            <w:r>
              <w:t xml:space="preserve"> </w:t>
            </w:r>
            <w:proofErr w:type="spellStart"/>
            <w:r>
              <w:t>desaventajado</w:t>
            </w:r>
            <w:proofErr w:type="spellEnd"/>
          </w:p>
        </w:tc>
        <w:tc>
          <w:tcPr>
            <w:tcW w:w="1900" w:type="dxa"/>
          </w:tcPr>
          <w:p w14:paraId="078D5FCA" w14:textId="77777777" w:rsidR="00C86500" w:rsidRDefault="00C86500" w:rsidP="009840DD">
            <w:pPr>
              <w:pStyle w:val="Compact"/>
              <w:jc w:val="center"/>
            </w:pPr>
            <w:r>
              <w:t>18.34</w:t>
            </w:r>
          </w:p>
        </w:tc>
        <w:tc>
          <w:tcPr>
            <w:tcW w:w="2112" w:type="dxa"/>
          </w:tcPr>
          <w:p w14:paraId="55A08A8B" w14:textId="77777777" w:rsidR="00C86500" w:rsidRDefault="00C86500" w:rsidP="009840DD">
            <w:pPr>
              <w:pStyle w:val="Compact"/>
              <w:jc w:val="center"/>
            </w:pPr>
            <w:r>
              <w:t>22.52</w:t>
            </w:r>
          </w:p>
        </w:tc>
      </w:tr>
      <w:tr w:rsidR="00C86500" w14:paraId="77B76956" w14:textId="77777777" w:rsidTr="009840DD">
        <w:tc>
          <w:tcPr>
            <w:tcW w:w="3907" w:type="dxa"/>
          </w:tcPr>
          <w:p w14:paraId="2F544B2E" w14:textId="77777777" w:rsidR="00C86500" w:rsidRDefault="00C86500" w:rsidP="009840DD">
            <w:pPr>
              <w:pStyle w:val="Compact"/>
            </w:pPr>
            <w:r>
              <w:t xml:space="preserve">Tasa </w:t>
            </w:r>
            <w:proofErr w:type="spellStart"/>
            <w:r>
              <w:t>grupo</w:t>
            </w:r>
            <w:proofErr w:type="spellEnd"/>
            <w:r>
              <w:t xml:space="preserve"> </w:t>
            </w:r>
            <w:proofErr w:type="spellStart"/>
            <w:r>
              <w:t>más</w:t>
            </w:r>
            <w:proofErr w:type="spellEnd"/>
            <w:r>
              <w:t xml:space="preserve"> </w:t>
            </w:r>
            <w:proofErr w:type="spellStart"/>
            <w:r>
              <w:t>aventajado</w:t>
            </w:r>
            <w:proofErr w:type="spellEnd"/>
          </w:p>
        </w:tc>
        <w:tc>
          <w:tcPr>
            <w:tcW w:w="1900" w:type="dxa"/>
          </w:tcPr>
          <w:p w14:paraId="4FD4EEA3" w14:textId="77777777" w:rsidR="00C86500" w:rsidRDefault="00C86500" w:rsidP="009840DD">
            <w:pPr>
              <w:pStyle w:val="Compact"/>
              <w:jc w:val="center"/>
            </w:pPr>
            <w:r>
              <w:t>11.45</w:t>
            </w:r>
          </w:p>
        </w:tc>
        <w:tc>
          <w:tcPr>
            <w:tcW w:w="2112" w:type="dxa"/>
          </w:tcPr>
          <w:p w14:paraId="36D3D5A2" w14:textId="77777777" w:rsidR="00C86500" w:rsidRDefault="00C86500" w:rsidP="009840DD">
            <w:pPr>
              <w:pStyle w:val="Compact"/>
              <w:jc w:val="center"/>
            </w:pPr>
            <w:r>
              <w:t>12.67</w:t>
            </w:r>
          </w:p>
        </w:tc>
      </w:tr>
      <w:tr w:rsidR="00C86500" w14:paraId="5D08662B" w14:textId="77777777" w:rsidTr="009840DD">
        <w:tc>
          <w:tcPr>
            <w:tcW w:w="3907" w:type="dxa"/>
          </w:tcPr>
          <w:p w14:paraId="5250FF01" w14:textId="77777777" w:rsidR="00C86500" w:rsidRDefault="00C86500" w:rsidP="009840DD">
            <w:pPr>
              <w:pStyle w:val="Compact"/>
            </w:pPr>
            <w:r>
              <w:t xml:space="preserve">Brecha </w:t>
            </w:r>
            <w:proofErr w:type="spellStart"/>
            <w:r>
              <w:t>absoluta</w:t>
            </w:r>
            <w:proofErr w:type="spellEnd"/>
          </w:p>
        </w:tc>
        <w:tc>
          <w:tcPr>
            <w:tcW w:w="1900" w:type="dxa"/>
          </w:tcPr>
          <w:p w14:paraId="08539F76" w14:textId="77777777" w:rsidR="00C86500" w:rsidRDefault="00C86500" w:rsidP="009840DD">
            <w:pPr>
              <w:pStyle w:val="Compact"/>
              <w:jc w:val="center"/>
            </w:pPr>
            <w:r>
              <w:t>6.9</w:t>
            </w:r>
          </w:p>
        </w:tc>
        <w:tc>
          <w:tcPr>
            <w:tcW w:w="2112" w:type="dxa"/>
          </w:tcPr>
          <w:p w14:paraId="0B191A08" w14:textId="77777777" w:rsidR="00C86500" w:rsidRDefault="00C86500" w:rsidP="009840DD">
            <w:pPr>
              <w:pStyle w:val="Compact"/>
              <w:jc w:val="center"/>
            </w:pPr>
            <w:r>
              <w:t>9.84</w:t>
            </w:r>
          </w:p>
        </w:tc>
      </w:tr>
      <w:tr w:rsidR="00C86500" w14:paraId="208EB09A" w14:textId="77777777" w:rsidTr="009840DD">
        <w:tc>
          <w:tcPr>
            <w:tcW w:w="3907" w:type="dxa"/>
          </w:tcPr>
          <w:p w14:paraId="2644617B" w14:textId="77777777" w:rsidR="00C86500" w:rsidRDefault="00C86500" w:rsidP="009840DD">
            <w:pPr>
              <w:pStyle w:val="Compact"/>
            </w:pPr>
            <w:r>
              <w:t xml:space="preserve">Brecha </w:t>
            </w:r>
            <w:proofErr w:type="spellStart"/>
            <w:r>
              <w:t>relativa</w:t>
            </w:r>
            <w:proofErr w:type="spellEnd"/>
          </w:p>
        </w:tc>
        <w:tc>
          <w:tcPr>
            <w:tcW w:w="1900" w:type="dxa"/>
          </w:tcPr>
          <w:p w14:paraId="285C67B4" w14:textId="77777777" w:rsidR="00C86500" w:rsidRDefault="00C86500" w:rsidP="009840DD">
            <w:pPr>
              <w:pStyle w:val="Compact"/>
              <w:jc w:val="center"/>
            </w:pPr>
            <w:r>
              <w:t>1.6</w:t>
            </w:r>
          </w:p>
        </w:tc>
        <w:tc>
          <w:tcPr>
            <w:tcW w:w="2112" w:type="dxa"/>
          </w:tcPr>
          <w:p w14:paraId="7C032AD2" w14:textId="77777777" w:rsidR="00C86500" w:rsidRDefault="00C86500" w:rsidP="009840DD">
            <w:pPr>
              <w:pStyle w:val="Compact"/>
              <w:jc w:val="center"/>
            </w:pPr>
            <w:r>
              <w:t>1.78</w:t>
            </w:r>
          </w:p>
        </w:tc>
      </w:tr>
      <w:tr w:rsidR="00C86500" w14:paraId="19008511" w14:textId="77777777" w:rsidTr="009840DD">
        <w:tc>
          <w:tcPr>
            <w:tcW w:w="3907" w:type="dxa"/>
          </w:tcPr>
          <w:p w14:paraId="1D19D698" w14:textId="77777777" w:rsidR="00C86500" w:rsidRPr="0001729E" w:rsidRDefault="00C86500" w:rsidP="009840DD">
            <w:pPr>
              <w:pStyle w:val="Compact"/>
              <w:rPr>
                <w:lang w:val="es-ES"/>
              </w:rPr>
            </w:pPr>
            <w:r w:rsidRPr="0001729E">
              <w:rPr>
                <w:lang w:val="es-ES"/>
              </w:rPr>
              <w:t>Razón de tasas (RR) [IC 95%]</w:t>
            </w:r>
          </w:p>
        </w:tc>
        <w:tc>
          <w:tcPr>
            <w:tcW w:w="1900" w:type="dxa"/>
          </w:tcPr>
          <w:p w14:paraId="034A461C" w14:textId="77777777" w:rsidR="00C86500" w:rsidRDefault="00C86500" w:rsidP="009840DD">
            <w:pPr>
              <w:pStyle w:val="Compact"/>
              <w:jc w:val="center"/>
            </w:pPr>
            <w:r>
              <w:t>1.6 (1.3 - 1.98)</w:t>
            </w:r>
          </w:p>
        </w:tc>
        <w:tc>
          <w:tcPr>
            <w:tcW w:w="2112" w:type="dxa"/>
          </w:tcPr>
          <w:p w14:paraId="53705F30" w14:textId="77777777" w:rsidR="00C86500" w:rsidRDefault="00C86500" w:rsidP="009840DD">
            <w:pPr>
              <w:pStyle w:val="Compact"/>
              <w:jc w:val="center"/>
            </w:pPr>
            <w:r>
              <w:t>1.78 (1.46 - 2.16)</w:t>
            </w:r>
          </w:p>
        </w:tc>
      </w:tr>
      <w:tr w:rsidR="00C86500" w14:paraId="1CA3BB87" w14:textId="77777777" w:rsidTr="009840DD">
        <w:tc>
          <w:tcPr>
            <w:tcW w:w="3907" w:type="dxa"/>
          </w:tcPr>
          <w:p w14:paraId="43FD9260" w14:textId="77777777" w:rsidR="00C86500" w:rsidRPr="0001729E" w:rsidRDefault="00C86500" w:rsidP="009840DD">
            <w:pPr>
              <w:pStyle w:val="Compact"/>
              <w:rPr>
                <w:lang w:val="es-ES"/>
              </w:rPr>
            </w:pPr>
            <w:r w:rsidRPr="0001729E">
              <w:rPr>
                <w:lang w:val="es-ES"/>
              </w:rPr>
              <w:t>Índice Relativo de Desigualdad (IRD)</w:t>
            </w:r>
          </w:p>
        </w:tc>
        <w:tc>
          <w:tcPr>
            <w:tcW w:w="1900" w:type="dxa"/>
          </w:tcPr>
          <w:p w14:paraId="71E5455D" w14:textId="77777777" w:rsidR="00C86500" w:rsidRDefault="00C86500" w:rsidP="009840DD">
            <w:pPr>
              <w:pStyle w:val="Compact"/>
              <w:jc w:val="center"/>
            </w:pPr>
            <w:r>
              <w:t>2.181</w:t>
            </w:r>
          </w:p>
        </w:tc>
        <w:tc>
          <w:tcPr>
            <w:tcW w:w="2112" w:type="dxa"/>
          </w:tcPr>
          <w:p w14:paraId="03A2EE7C" w14:textId="77777777" w:rsidR="00C86500" w:rsidRDefault="00C86500" w:rsidP="009840DD">
            <w:pPr>
              <w:pStyle w:val="Compact"/>
              <w:jc w:val="center"/>
            </w:pPr>
            <w:r>
              <w:t>2.034</w:t>
            </w:r>
          </w:p>
        </w:tc>
      </w:tr>
      <w:tr w:rsidR="00C86500" w14:paraId="7E491D55" w14:textId="77777777" w:rsidTr="009840DD">
        <w:tc>
          <w:tcPr>
            <w:tcW w:w="3907" w:type="dxa"/>
          </w:tcPr>
          <w:p w14:paraId="505DF186" w14:textId="77777777" w:rsidR="00C86500" w:rsidRPr="0001729E" w:rsidRDefault="00C86500" w:rsidP="009840DD">
            <w:pPr>
              <w:pStyle w:val="Compact"/>
              <w:rPr>
                <w:lang w:val="es-ES"/>
              </w:rPr>
            </w:pPr>
            <w:r w:rsidRPr="0001729E">
              <w:rPr>
                <w:lang w:val="es-ES"/>
              </w:rPr>
              <w:t>Índice Absoluto de Desigualdad (IAD)</w:t>
            </w:r>
          </w:p>
        </w:tc>
        <w:tc>
          <w:tcPr>
            <w:tcW w:w="1900" w:type="dxa"/>
          </w:tcPr>
          <w:p w14:paraId="3F078675" w14:textId="77777777" w:rsidR="00C86500" w:rsidRDefault="00C86500" w:rsidP="009840DD">
            <w:pPr>
              <w:pStyle w:val="Compact"/>
              <w:jc w:val="center"/>
            </w:pPr>
            <w:r>
              <w:t>10.866</w:t>
            </w:r>
          </w:p>
        </w:tc>
        <w:tc>
          <w:tcPr>
            <w:tcW w:w="2112" w:type="dxa"/>
          </w:tcPr>
          <w:p w14:paraId="1EBE1C1C" w14:textId="77777777" w:rsidR="00C86500" w:rsidRDefault="00C86500" w:rsidP="009840DD">
            <w:pPr>
              <w:pStyle w:val="Compact"/>
              <w:jc w:val="center"/>
            </w:pPr>
            <w:r>
              <w:t>10.2</w:t>
            </w:r>
          </w:p>
        </w:tc>
      </w:tr>
    </w:tbl>
    <w:p w14:paraId="55F74ACD" w14:textId="77777777" w:rsidR="00C86500" w:rsidRDefault="00C86500" w:rsidP="00C86500"/>
    <w:p w14:paraId="50E61DB6" w14:textId="6C06DBD4" w:rsidR="00C86500" w:rsidRPr="0001729E" w:rsidRDefault="0001729E" w:rsidP="0001729E">
      <w:pPr>
        <w:pStyle w:val="Ttulo"/>
        <w:jc w:val="left"/>
        <w:rPr>
          <w:lang w:val="es-ES"/>
        </w:rPr>
      </w:pPr>
      <w:r>
        <w:rPr>
          <w:lang w:val="es-ES"/>
        </w:rPr>
        <w:lastRenderedPageBreak/>
        <w:t xml:space="preserve">Ejercicio 3. </w:t>
      </w:r>
      <w:r w:rsidR="00C86500" w:rsidRPr="0001729E">
        <w:rPr>
          <w:lang w:val="es-ES"/>
        </w:rPr>
        <w:t>Análisis de Desigualdad en TBC y Migración</w:t>
      </w:r>
    </w:p>
    <w:p w14:paraId="270EC26F" w14:textId="77777777" w:rsidR="00C86500" w:rsidRDefault="00C86500" w:rsidP="00C86500">
      <w:pPr>
        <w:pStyle w:val="Fecha"/>
      </w:pPr>
      <w:r>
        <w:t>2025-06-11</w:t>
      </w:r>
    </w:p>
    <w:p w14:paraId="7C45E4B4" w14:textId="77777777" w:rsidR="00C86500" w:rsidRDefault="00C86500" w:rsidP="00C86500">
      <w:pPr>
        <w:pStyle w:val="FirstParagraph"/>
      </w:pPr>
      <w:r>
        <w:rPr>
          <w:noProof/>
        </w:rPr>
        <w:drawing>
          <wp:inline distT="0" distB="0" distL="0" distR="0" wp14:anchorId="4B8EC2AE" wp14:editId="743CC23C">
            <wp:extent cx="4620126" cy="3696101"/>
            <wp:effectExtent l="0" t="0" r="0" b="0"/>
            <wp:docPr id="620704671" name="Picture" descr="Gráfico, Gráfico de cajas y bigote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20704671" name="Picture" descr="Gráfico, Gráfico de cajas y bigotes&#10;&#10;El contenido generado por IA puede ser incorrecto."/>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063B911" w14:textId="77777777" w:rsidR="00C86500" w:rsidRPr="0001729E" w:rsidRDefault="00C86500" w:rsidP="00C86500">
      <w:pPr>
        <w:pStyle w:val="Ttulo2"/>
        <w:rPr>
          <w:lang w:val="es-ES"/>
        </w:rPr>
      </w:pPr>
      <w:r w:rsidRPr="0001729E">
        <w:rPr>
          <w:lang w:val="es-ES"/>
        </w:rPr>
        <w:t>Indicadores de Desigualdad</w:t>
      </w:r>
    </w:p>
    <w:p w14:paraId="2CBF7567" w14:textId="77777777" w:rsidR="00C86500" w:rsidRPr="0001729E" w:rsidRDefault="00C86500" w:rsidP="00C86500">
      <w:pPr>
        <w:pStyle w:val="TableCaption"/>
        <w:rPr>
          <w:lang w:val="es-ES"/>
        </w:rPr>
      </w:pPr>
      <w:r w:rsidRPr="0001729E">
        <w:rPr>
          <w:lang w:val="es-ES"/>
        </w:rPr>
        <w:t>Indicadores de desigualdad de TBC</w:t>
      </w:r>
    </w:p>
    <w:tbl>
      <w:tblPr>
        <w:tblStyle w:val="Table"/>
        <w:tblW w:w="5000" w:type="pct"/>
        <w:tblLayout w:type="fixed"/>
        <w:tblLook w:val="0020" w:firstRow="1" w:lastRow="0" w:firstColumn="0" w:lastColumn="0" w:noHBand="0" w:noVBand="0"/>
      </w:tblPr>
      <w:tblGrid>
        <w:gridCol w:w="4557"/>
        <w:gridCol w:w="2463"/>
        <w:gridCol w:w="2340"/>
      </w:tblGrid>
      <w:tr w:rsidR="00C86500" w14:paraId="033A25BB" w14:textId="77777777" w:rsidTr="009840DD">
        <w:trPr>
          <w:cnfStyle w:val="100000000000" w:firstRow="1" w:lastRow="0" w:firstColumn="0" w:lastColumn="0" w:oddVBand="0" w:evenVBand="0" w:oddHBand="0" w:evenHBand="0" w:firstRowFirstColumn="0" w:firstRowLastColumn="0" w:lastRowFirstColumn="0" w:lastRowLastColumn="0"/>
          <w:tblHeader/>
        </w:trPr>
        <w:tc>
          <w:tcPr>
            <w:tcW w:w="3855" w:type="dxa"/>
          </w:tcPr>
          <w:p w14:paraId="4807BB0C" w14:textId="77777777" w:rsidR="00C86500" w:rsidRDefault="00C86500" w:rsidP="009840DD">
            <w:pPr>
              <w:pStyle w:val="Compact"/>
            </w:pPr>
            <w:proofErr w:type="spellStart"/>
            <w:r>
              <w:t>Indicador</w:t>
            </w:r>
            <w:proofErr w:type="spellEnd"/>
          </w:p>
        </w:tc>
        <w:tc>
          <w:tcPr>
            <w:tcW w:w="2084" w:type="dxa"/>
          </w:tcPr>
          <w:p w14:paraId="6B9F91E6" w14:textId="77777777" w:rsidR="00C86500" w:rsidRDefault="00C86500" w:rsidP="009840DD">
            <w:pPr>
              <w:pStyle w:val="Compact"/>
              <w:jc w:val="center"/>
            </w:pPr>
            <w:r>
              <w:t>año.2017</w:t>
            </w:r>
          </w:p>
        </w:tc>
        <w:tc>
          <w:tcPr>
            <w:tcW w:w="1980" w:type="dxa"/>
          </w:tcPr>
          <w:p w14:paraId="63AD1CE3" w14:textId="77777777" w:rsidR="00C86500" w:rsidRDefault="00C86500" w:rsidP="009840DD">
            <w:pPr>
              <w:pStyle w:val="Compact"/>
              <w:jc w:val="center"/>
            </w:pPr>
            <w:r>
              <w:t>año.2022</w:t>
            </w:r>
          </w:p>
        </w:tc>
      </w:tr>
      <w:tr w:rsidR="00C86500" w14:paraId="5B027BBA" w14:textId="77777777" w:rsidTr="009840DD">
        <w:tc>
          <w:tcPr>
            <w:tcW w:w="3855" w:type="dxa"/>
          </w:tcPr>
          <w:p w14:paraId="68C634AC" w14:textId="77777777" w:rsidR="00C86500" w:rsidRDefault="00C86500" w:rsidP="009840DD">
            <w:pPr>
              <w:pStyle w:val="Compact"/>
            </w:pPr>
            <w:r>
              <w:t xml:space="preserve">Tasa </w:t>
            </w:r>
            <w:proofErr w:type="spellStart"/>
            <w:r>
              <w:t>grupo</w:t>
            </w:r>
            <w:proofErr w:type="spellEnd"/>
            <w:r>
              <w:t xml:space="preserve"> </w:t>
            </w:r>
            <w:proofErr w:type="spellStart"/>
            <w:r>
              <w:t>más</w:t>
            </w:r>
            <w:proofErr w:type="spellEnd"/>
            <w:r>
              <w:t xml:space="preserve"> </w:t>
            </w:r>
            <w:proofErr w:type="spellStart"/>
            <w:r>
              <w:t>desaventajado</w:t>
            </w:r>
            <w:proofErr w:type="spellEnd"/>
          </w:p>
        </w:tc>
        <w:tc>
          <w:tcPr>
            <w:tcW w:w="2084" w:type="dxa"/>
          </w:tcPr>
          <w:p w14:paraId="16DF9E1B" w14:textId="77777777" w:rsidR="00C86500" w:rsidRDefault="00C86500" w:rsidP="009840DD">
            <w:pPr>
              <w:pStyle w:val="Compact"/>
              <w:jc w:val="center"/>
            </w:pPr>
            <w:r>
              <w:t>19.3</w:t>
            </w:r>
          </w:p>
        </w:tc>
        <w:tc>
          <w:tcPr>
            <w:tcW w:w="1980" w:type="dxa"/>
          </w:tcPr>
          <w:p w14:paraId="1BC12057" w14:textId="77777777" w:rsidR="00C86500" w:rsidRDefault="00C86500" w:rsidP="009840DD">
            <w:pPr>
              <w:pStyle w:val="Compact"/>
              <w:jc w:val="center"/>
            </w:pPr>
            <w:r>
              <w:t>22.62</w:t>
            </w:r>
          </w:p>
        </w:tc>
      </w:tr>
      <w:tr w:rsidR="00C86500" w14:paraId="1CCDD5C4" w14:textId="77777777" w:rsidTr="009840DD">
        <w:tc>
          <w:tcPr>
            <w:tcW w:w="3855" w:type="dxa"/>
          </w:tcPr>
          <w:p w14:paraId="09516B69" w14:textId="77777777" w:rsidR="00C86500" w:rsidRDefault="00C86500" w:rsidP="009840DD">
            <w:pPr>
              <w:pStyle w:val="Compact"/>
            </w:pPr>
            <w:r>
              <w:t xml:space="preserve">Tasa </w:t>
            </w:r>
            <w:proofErr w:type="spellStart"/>
            <w:r>
              <w:t>grupo</w:t>
            </w:r>
            <w:proofErr w:type="spellEnd"/>
            <w:r>
              <w:t xml:space="preserve"> </w:t>
            </w:r>
            <w:proofErr w:type="spellStart"/>
            <w:r>
              <w:t>más</w:t>
            </w:r>
            <w:proofErr w:type="spellEnd"/>
            <w:r>
              <w:t xml:space="preserve"> </w:t>
            </w:r>
            <w:proofErr w:type="spellStart"/>
            <w:r>
              <w:t>aventajado</w:t>
            </w:r>
            <w:proofErr w:type="spellEnd"/>
          </w:p>
        </w:tc>
        <w:tc>
          <w:tcPr>
            <w:tcW w:w="2084" w:type="dxa"/>
          </w:tcPr>
          <w:p w14:paraId="139250A5" w14:textId="77777777" w:rsidR="00C86500" w:rsidRDefault="00C86500" w:rsidP="009840DD">
            <w:pPr>
              <w:pStyle w:val="Compact"/>
              <w:jc w:val="center"/>
            </w:pPr>
            <w:r>
              <w:t>13.93</w:t>
            </w:r>
          </w:p>
        </w:tc>
        <w:tc>
          <w:tcPr>
            <w:tcW w:w="1980" w:type="dxa"/>
          </w:tcPr>
          <w:p w14:paraId="6F2C97F0" w14:textId="77777777" w:rsidR="00C86500" w:rsidRDefault="00C86500" w:rsidP="009840DD">
            <w:pPr>
              <w:pStyle w:val="Compact"/>
              <w:jc w:val="center"/>
            </w:pPr>
            <w:r>
              <w:t>13.79</w:t>
            </w:r>
          </w:p>
        </w:tc>
      </w:tr>
      <w:tr w:rsidR="00C86500" w14:paraId="7CC929F1" w14:textId="77777777" w:rsidTr="009840DD">
        <w:tc>
          <w:tcPr>
            <w:tcW w:w="3855" w:type="dxa"/>
          </w:tcPr>
          <w:p w14:paraId="1F8E722F" w14:textId="77777777" w:rsidR="00C86500" w:rsidRDefault="00C86500" w:rsidP="009840DD">
            <w:pPr>
              <w:pStyle w:val="Compact"/>
            </w:pPr>
            <w:r>
              <w:t xml:space="preserve">Brecha </w:t>
            </w:r>
            <w:proofErr w:type="spellStart"/>
            <w:r>
              <w:t>absoluta</w:t>
            </w:r>
            <w:proofErr w:type="spellEnd"/>
          </w:p>
        </w:tc>
        <w:tc>
          <w:tcPr>
            <w:tcW w:w="2084" w:type="dxa"/>
          </w:tcPr>
          <w:p w14:paraId="36BF2E78" w14:textId="77777777" w:rsidR="00C86500" w:rsidRDefault="00C86500" w:rsidP="009840DD">
            <w:pPr>
              <w:pStyle w:val="Compact"/>
              <w:jc w:val="center"/>
            </w:pPr>
            <w:r>
              <w:t>5.37</w:t>
            </w:r>
          </w:p>
        </w:tc>
        <w:tc>
          <w:tcPr>
            <w:tcW w:w="1980" w:type="dxa"/>
          </w:tcPr>
          <w:p w14:paraId="5F6690AD" w14:textId="77777777" w:rsidR="00C86500" w:rsidRDefault="00C86500" w:rsidP="009840DD">
            <w:pPr>
              <w:pStyle w:val="Compact"/>
              <w:jc w:val="center"/>
            </w:pPr>
            <w:r>
              <w:t>8.84</w:t>
            </w:r>
          </w:p>
        </w:tc>
      </w:tr>
      <w:tr w:rsidR="00C86500" w14:paraId="2C5F441C" w14:textId="77777777" w:rsidTr="009840DD">
        <w:tc>
          <w:tcPr>
            <w:tcW w:w="3855" w:type="dxa"/>
          </w:tcPr>
          <w:p w14:paraId="4C5AEE5F" w14:textId="77777777" w:rsidR="00C86500" w:rsidRDefault="00C86500" w:rsidP="009840DD">
            <w:pPr>
              <w:pStyle w:val="Compact"/>
            </w:pPr>
            <w:r>
              <w:t xml:space="preserve">Brecha </w:t>
            </w:r>
            <w:proofErr w:type="spellStart"/>
            <w:r>
              <w:t>relativa</w:t>
            </w:r>
            <w:proofErr w:type="spellEnd"/>
          </w:p>
        </w:tc>
        <w:tc>
          <w:tcPr>
            <w:tcW w:w="2084" w:type="dxa"/>
          </w:tcPr>
          <w:p w14:paraId="57779B09" w14:textId="77777777" w:rsidR="00C86500" w:rsidRDefault="00C86500" w:rsidP="009840DD">
            <w:pPr>
              <w:pStyle w:val="Compact"/>
              <w:jc w:val="center"/>
            </w:pPr>
            <w:r>
              <w:t>1.39</w:t>
            </w:r>
          </w:p>
        </w:tc>
        <w:tc>
          <w:tcPr>
            <w:tcW w:w="1980" w:type="dxa"/>
          </w:tcPr>
          <w:p w14:paraId="22839105" w14:textId="77777777" w:rsidR="00C86500" w:rsidRDefault="00C86500" w:rsidP="009840DD">
            <w:pPr>
              <w:pStyle w:val="Compact"/>
              <w:jc w:val="center"/>
            </w:pPr>
            <w:r>
              <w:t>1.64</w:t>
            </w:r>
          </w:p>
        </w:tc>
      </w:tr>
      <w:tr w:rsidR="00C86500" w14:paraId="372DFB4F" w14:textId="77777777" w:rsidTr="009840DD">
        <w:tc>
          <w:tcPr>
            <w:tcW w:w="3855" w:type="dxa"/>
          </w:tcPr>
          <w:p w14:paraId="5DC4B119" w14:textId="77777777" w:rsidR="00C86500" w:rsidRPr="0001729E" w:rsidRDefault="00C86500" w:rsidP="009840DD">
            <w:pPr>
              <w:pStyle w:val="Compact"/>
              <w:rPr>
                <w:lang w:val="es-ES"/>
              </w:rPr>
            </w:pPr>
            <w:r w:rsidRPr="0001729E">
              <w:rPr>
                <w:lang w:val="es-ES"/>
              </w:rPr>
              <w:t>Razón de tasas (RR) [IC 95%]</w:t>
            </w:r>
          </w:p>
        </w:tc>
        <w:tc>
          <w:tcPr>
            <w:tcW w:w="2084" w:type="dxa"/>
          </w:tcPr>
          <w:p w14:paraId="5DCAFE7F" w14:textId="77777777" w:rsidR="00C86500" w:rsidRDefault="00C86500" w:rsidP="009840DD">
            <w:pPr>
              <w:pStyle w:val="Compact"/>
              <w:jc w:val="center"/>
            </w:pPr>
            <w:r>
              <w:t>1.39 (1.12 - 1.72)</w:t>
            </w:r>
          </w:p>
        </w:tc>
        <w:tc>
          <w:tcPr>
            <w:tcW w:w="1980" w:type="dxa"/>
          </w:tcPr>
          <w:p w14:paraId="4F9235FD" w14:textId="77777777" w:rsidR="00C86500" w:rsidRDefault="00C86500" w:rsidP="009840DD">
            <w:pPr>
              <w:pStyle w:val="Compact"/>
              <w:jc w:val="center"/>
            </w:pPr>
            <w:r>
              <w:t>1.64 (1.3 - 2.07)</w:t>
            </w:r>
          </w:p>
        </w:tc>
      </w:tr>
      <w:tr w:rsidR="00C86500" w14:paraId="65A84ED3" w14:textId="77777777" w:rsidTr="009840DD">
        <w:tc>
          <w:tcPr>
            <w:tcW w:w="3855" w:type="dxa"/>
          </w:tcPr>
          <w:p w14:paraId="7A0EDBB7" w14:textId="77777777" w:rsidR="00C86500" w:rsidRPr="0001729E" w:rsidRDefault="00C86500" w:rsidP="009840DD">
            <w:pPr>
              <w:pStyle w:val="Compact"/>
              <w:rPr>
                <w:lang w:val="es-ES"/>
              </w:rPr>
            </w:pPr>
            <w:r w:rsidRPr="0001729E">
              <w:rPr>
                <w:lang w:val="es-ES"/>
              </w:rPr>
              <w:t>Índice Relativo de Desigualdad (IRD)</w:t>
            </w:r>
          </w:p>
        </w:tc>
        <w:tc>
          <w:tcPr>
            <w:tcW w:w="2084" w:type="dxa"/>
          </w:tcPr>
          <w:p w14:paraId="270FE967" w14:textId="77777777" w:rsidR="00C86500" w:rsidRDefault="00C86500" w:rsidP="009840DD">
            <w:pPr>
              <w:pStyle w:val="Compact"/>
              <w:jc w:val="center"/>
            </w:pPr>
            <w:r>
              <w:t>1.826</w:t>
            </w:r>
          </w:p>
        </w:tc>
        <w:tc>
          <w:tcPr>
            <w:tcW w:w="1980" w:type="dxa"/>
          </w:tcPr>
          <w:p w14:paraId="2879D9E1" w14:textId="77777777" w:rsidR="00C86500" w:rsidRDefault="00C86500" w:rsidP="009840DD">
            <w:pPr>
              <w:pStyle w:val="Compact"/>
              <w:jc w:val="center"/>
            </w:pPr>
            <w:r>
              <w:t>1.948</w:t>
            </w:r>
          </w:p>
        </w:tc>
      </w:tr>
      <w:tr w:rsidR="00C86500" w14:paraId="276AE98E" w14:textId="77777777" w:rsidTr="009840DD">
        <w:tc>
          <w:tcPr>
            <w:tcW w:w="3855" w:type="dxa"/>
          </w:tcPr>
          <w:p w14:paraId="04E4D670" w14:textId="77777777" w:rsidR="00C86500" w:rsidRPr="0001729E" w:rsidRDefault="00C86500" w:rsidP="009840DD">
            <w:pPr>
              <w:pStyle w:val="Compact"/>
              <w:rPr>
                <w:lang w:val="es-ES"/>
              </w:rPr>
            </w:pPr>
            <w:r w:rsidRPr="0001729E">
              <w:rPr>
                <w:lang w:val="es-ES"/>
              </w:rPr>
              <w:t>Índice Absoluto de Desigualdad (IAD)</w:t>
            </w:r>
          </w:p>
        </w:tc>
        <w:tc>
          <w:tcPr>
            <w:tcW w:w="2084" w:type="dxa"/>
          </w:tcPr>
          <w:p w14:paraId="5A033BBC" w14:textId="77777777" w:rsidR="00C86500" w:rsidRDefault="00C86500" w:rsidP="009840DD">
            <w:pPr>
              <w:pStyle w:val="Compact"/>
              <w:jc w:val="center"/>
            </w:pPr>
            <w:r>
              <w:t>8.553</w:t>
            </w:r>
          </w:p>
        </w:tc>
        <w:tc>
          <w:tcPr>
            <w:tcW w:w="1980" w:type="dxa"/>
          </w:tcPr>
          <w:p w14:paraId="49178C37" w14:textId="77777777" w:rsidR="00C86500" w:rsidRDefault="00C86500" w:rsidP="009840DD">
            <w:pPr>
              <w:pStyle w:val="Compact"/>
              <w:jc w:val="center"/>
            </w:pPr>
            <w:r>
              <w:t>9.627</w:t>
            </w:r>
          </w:p>
        </w:tc>
      </w:tr>
    </w:tbl>
    <w:p w14:paraId="39140A91" w14:textId="77777777" w:rsidR="00C86500" w:rsidRDefault="00C86500">
      <w:pPr>
        <w:rPr>
          <w:rFonts w:asciiTheme="majorHAnsi" w:eastAsiaTheme="majorEastAsia" w:hAnsiTheme="majorHAnsi" w:cstheme="majorBidi"/>
          <w:spacing w:val="-10"/>
          <w:kern w:val="28"/>
          <w:sz w:val="56"/>
          <w:szCs w:val="56"/>
        </w:rPr>
      </w:pPr>
    </w:p>
    <w:p w14:paraId="37EFA858" w14:textId="1D0465F7" w:rsidR="00807598" w:rsidRPr="0001729E" w:rsidRDefault="0001729E" w:rsidP="0001729E">
      <w:pPr>
        <w:pStyle w:val="Ttulo"/>
        <w:jc w:val="left"/>
        <w:rPr>
          <w:lang w:val="es-ES"/>
        </w:rPr>
      </w:pPr>
      <w:r>
        <w:rPr>
          <w:lang w:val="es-ES"/>
        </w:rPr>
        <w:lastRenderedPageBreak/>
        <w:t xml:space="preserve">Ejercicio 4. </w:t>
      </w:r>
      <w:r w:rsidRPr="0001729E">
        <w:rPr>
          <w:lang w:val="es-ES"/>
        </w:rPr>
        <w:t>Análisis de Desigualdad en TBC y Hacinamiento</w:t>
      </w:r>
    </w:p>
    <w:p w14:paraId="0019F916" w14:textId="77777777" w:rsidR="00807598" w:rsidRDefault="00000000">
      <w:pPr>
        <w:pStyle w:val="Fecha"/>
      </w:pPr>
      <w:r>
        <w:t>2025-06-12</w:t>
      </w:r>
    </w:p>
    <w:p w14:paraId="7F756E8C" w14:textId="77777777" w:rsidR="00807598" w:rsidRDefault="00000000">
      <w:pPr>
        <w:pStyle w:val="FirstParagraph"/>
      </w:pPr>
      <w:r>
        <w:rPr>
          <w:noProof/>
        </w:rPr>
        <w:drawing>
          <wp:inline distT="0" distB="0" distL="0" distR="0" wp14:anchorId="32DF8A43" wp14:editId="496398EB">
            <wp:extent cx="3477208" cy="2861388"/>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porte_TBC_Hacinamiento_files/figure-docx/unnamed-chunk-2-1.png"/>
                    <pic:cNvPicPr>
                      <a:picLocks noChangeAspect="1" noChangeArrowheads="1"/>
                    </pic:cNvPicPr>
                  </pic:nvPicPr>
                  <pic:blipFill>
                    <a:blip r:embed="rId9"/>
                    <a:stretch>
                      <a:fillRect/>
                    </a:stretch>
                  </pic:blipFill>
                  <pic:spPr bwMode="auto">
                    <a:xfrm>
                      <a:off x="0" y="0"/>
                      <a:ext cx="3490844" cy="2872609"/>
                    </a:xfrm>
                    <a:prstGeom prst="rect">
                      <a:avLst/>
                    </a:prstGeom>
                    <a:noFill/>
                    <a:ln w="9525">
                      <a:noFill/>
                      <a:headEnd/>
                      <a:tailEnd/>
                    </a:ln>
                  </pic:spPr>
                </pic:pic>
              </a:graphicData>
            </a:graphic>
          </wp:inline>
        </w:drawing>
      </w:r>
    </w:p>
    <w:p w14:paraId="2A50A740" w14:textId="77777777" w:rsidR="0065392B" w:rsidRDefault="0065392B" w:rsidP="0065392B">
      <w:pPr>
        <w:pStyle w:val="Textoindependiente"/>
      </w:pPr>
    </w:p>
    <w:p w14:paraId="23006286" w14:textId="77777777" w:rsidR="0065392B" w:rsidRPr="0065392B" w:rsidRDefault="0065392B" w:rsidP="0065392B">
      <w:pPr>
        <w:pStyle w:val="Textoindependiente"/>
      </w:pPr>
    </w:p>
    <w:p w14:paraId="571EDB7C" w14:textId="77777777" w:rsidR="00807598" w:rsidRPr="00BF6478" w:rsidRDefault="00000000">
      <w:pPr>
        <w:pStyle w:val="Textoindependiente"/>
        <w:rPr>
          <w:lang w:val="es-CL"/>
        </w:rPr>
      </w:pPr>
      <w:r>
        <w:rPr>
          <w:noProof/>
        </w:rPr>
        <w:drawing>
          <wp:inline distT="0" distB="0" distL="0" distR="0" wp14:anchorId="442F9799" wp14:editId="13D63DC6">
            <wp:extent cx="2581469" cy="200297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porte_TBC_Hacinamiento_files/figure-docx/unnamed-chunk-5-1.png"/>
                    <pic:cNvPicPr>
                      <a:picLocks noChangeAspect="1" noChangeArrowheads="1"/>
                    </pic:cNvPicPr>
                  </pic:nvPicPr>
                  <pic:blipFill>
                    <a:blip r:embed="rId10"/>
                    <a:stretch>
                      <a:fillRect/>
                    </a:stretch>
                  </pic:blipFill>
                  <pic:spPr bwMode="auto">
                    <a:xfrm>
                      <a:off x="0" y="0"/>
                      <a:ext cx="2612281" cy="2026878"/>
                    </a:xfrm>
                    <a:prstGeom prst="rect">
                      <a:avLst/>
                    </a:prstGeom>
                    <a:noFill/>
                    <a:ln w="9525">
                      <a:noFill/>
                      <a:headEnd/>
                      <a:tailEnd/>
                    </a:ln>
                  </pic:spPr>
                </pic:pic>
              </a:graphicData>
            </a:graphic>
          </wp:inline>
        </w:drawing>
      </w:r>
      <w:r w:rsidRPr="00BF6478">
        <w:rPr>
          <w:lang w:val="es-CL"/>
        </w:rPr>
        <w:t xml:space="preserve"> </w:t>
      </w:r>
      <w:r>
        <w:rPr>
          <w:noProof/>
        </w:rPr>
        <w:drawing>
          <wp:inline distT="0" distB="0" distL="0" distR="0" wp14:anchorId="18C73A35" wp14:editId="6BEB16BA">
            <wp:extent cx="2606351" cy="1965649"/>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porte_TBC_Hacinamiento_files/figure-docx/unnamed-chunk-6-1.png"/>
                    <pic:cNvPicPr>
                      <a:picLocks noChangeAspect="1" noChangeArrowheads="1"/>
                    </pic:cNvPicPr>
                  </pic:nvPicPr>
                  <pic:blipFill>
                    <a:blip r:embed="rId11"/>
                    <a:stretch>
                      <a:fillRect/>
                    </a:stretch>
                  </pic:blipFill>
                  <pic:spPr bwMode="auto">
                    <a:xfrm>
                      <a:off x="0" y="0"/>
                      <a:ext cx="2703964" cy="2039266"/>
                    </a:xfrm>
                    <a:prstGeom prst="rect">
                      <a:avLst/>
                    </a:prstGeom>
                    <a:noFill/>
                    <a:ln w="9525">
                      <a:noFill/>
                      <a:headEnd/>
                      <a:tailEnd/>
                    </a:ln>
                  </pic:spPr>
                </pic:pic>
              </a:graphicData>
            </a:graphic>
          </wp:inline>
        </w:drawing>
      </w:r>
    </w:p>
    <w:p w14:paraId="41665300" w14:textId="77777777" w:rsidR="0001729E" w:rsidRPr="00BF6478" w:rsidRDefault="0001729E">
      <w:pPr>
        <w:pStyle w:val="Textoindependiente"/>
        <w:rPr>
          <w:lang w:val="es-CL"/>
        </w:rPr>
      </w:pPr>
    </w:p>
    <w:p w14:paraId="2955A226" w14:textId="77777777" w:rsidR="0001729E" w:rsidRPr="00BF6478" w:rsidRDefault="0001729E">
      <w:pPr>
        <w:pStyle w:val="Textoindependiente"/>
        <w:rPr>
          <w:lang w:val="es-CL"/>
        </w:rPr>
      </w:pPr>
    </w:p>
    <w:p w14:paraId="3A57B3C3" w14:textId="77777777" w:rsidR="0001729E" w:rsidRPr="00BF6478" w:rsidRDefault="0001729E">
      <w:pPr>
        <w:pStyle w:val="Textoindependiente"/>
        <w:rPr>
          <w:lang w:val="es-CL"/>
        </w:rPr>
      </w:pPr>
    </w:p>
    <w:p w14:paraId="545D0B87" w14:textId="77777777" w:rsidR="0001729E" w:rsidRPr="00BF6478" w:rsidRDefault="0001729E">
      <w:pPr>
        <w:pStyle w:val="Textoindependiente"/>
        <w:rPr>
          <w:lang w:val="es-CL"/>
        </w:rPr>
      </w:pPr>
    </w:p>
    <w:p w14:paraId="02B67282" w14:textId="319870E9" w:rsidR="0001729E" w:rsidRDefault="0001729E">
      <w:pPr>
        <w:pStyle w:val="Textoindependiente"/>
        <w:rPr>
          <w:sz w:val="56"/>
          <w:szCs w:val="56"/>
          <w:lang w:val="es-ES"/>
        </w:rPr>
      </w:pPr>
      <w:r w:rsidRPr="0001729E">
        <w:rPr>
          <w:sz w:val="56"/>
          <w:szCs w:val="56"/>
          <w:lang w:val="es-ES"/>
        </w:rPr>
        <w:lastRenderedPageBreak/>
        <w:t xml:space="preserve">Ejercicio </w:t>
      </w:r>
      <w:r w:rsidR="00BC3840">
        <w:rPr>
          <w:sz w:val="56"/>
          <w:szCs w:val="56"/>
          <w:lang w:val="es-ES"/>
        </w:rPr>
        <w:t>5</w:t>
      </w:r>
      <w:r w:rsidRPr="0001729E">
        <w:rPr>
          <w:sz w:val="56"/>
          <w:szCs w:val="56"/>
          <w:lang w:val="es-ES"/>
        </w:rPr>
        <w:t>.</w:t>
      </w:r>
      <w:r>
        <w:rPr>
          <w:sz w:val="56"/>
          <w:szCs w:val="56"/>
          <w:lang w:val="es-ES"/>
        </w:rPr>
        <w:t xml:space="preserve"> Asociación entre nivel de hacinamiento e incidencia de TBC.</w:t>
      </w:r>
    </w:p>
    <w:p w14:paraId="6D03AA34" w14:textId="77777777" w:rsidR="0001729E" w:rsidRPr="0001729E" w:rsidRDefault="0001729E">
      <w:pPr>
        <w:pStyle w:val="Textoindependiente"/>
        <w:rPr>
          <w:sz w:val="56"/>
          <w:szCs w:val="56"/>
          <w:lang w:val="es-ES"/>
        </w:rPr>
      </w:pPr>
    </w:p>
    <w:p w14:paraId="55D6F771" w14:textId="77777777" w:rsidR="00807598" w:rsidRDefault="00000000">
      <w:pPr>
        <w:pStyle w:val="Textoindependiente"/>
      </w:pPr>
      <w:r>
        <w:rPr>
          <w:noProof/>
        </w:rPr>
        <w:drawing>
          <wp:inline distT="0" distB="0" distL="0" distR="0" wp14:anchorId="5227F6A4" wp14:editId="622DC59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eporte_TBC_Hacinamiento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8075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4B6CE4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379F0D9D"/>
    <w:multiLevelType w:val="hybridMultilevel"/>
    <w:tmpl w:val="77F8C160"/>
    <w:lvl w:ilvl="0" w:tplc="3BD25118">
      <w:start w:val="1"/>
      <w:numFmt w:val="upperLetter"/>
      <w:lvlText w:val="%1."/>
      <w:lvlJc w:val="left"/>
      <w:pPr>
        <w:ind w:left="1080" w:hanging="720"/>
      </w:pPr>
      <w:rPr>
        <w:rFonts w:hint="default"/>
        <w:sz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8416BBA"/>
    <w:multiLevelType w:val="hybridMultilevel"/>
    <w:tmpl w:val="612433B2"/>
    <w:lvl w:ilvl="0" w:tplc="4C5842BA">
      <w:start w:val="1"/>
      <w:numFmt w:val="decimal"/>
      <w:lvlText w:val="%1."/>
      <w:lvlJc w:val="left"/>
      <w:pPr>
        <w:ind w:left="1080" w:hanging="720"/>
      </w:pPr>
      <w:rPr>
        <w:rFonts w:asciiTheme="minorHAnsi" w:eastAsiaTheme="minorHAnsi" w:hAnsiTheme="minorHAnsi" w:cstheme="minorBidi"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665747260">
    <w:abstractNumId w:val="0"/>
  </w:num>
  <w:num w:numId="2" w16cid:durableId="1213350373">
    <w:abstractNumId w:val="2"/>
  </w:num>
  <w:num w:numId="3" w16cid:durableId="1360816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598"/>
    <w:rsid w:val="0001729E"/>
    <w:rsid w:val="00024219"/>
    <w:rsid w:val="0018260A"/>
    <w:rsid w:val="001C626D"/>
    <w:rsid w:val="001D02CA"/>
    <w:rsid w:val="004724C0"/>
    <w:rsid w:val="005606B9"/>
    <w:rsid w:val="0065392B"/>
    <w:rsid w:val="00784E02"/>
    <w:rsid w:val="00807598"/>
    <w:rsid w:val="008A58BF"/>
    <w:rsid w:val="0095109D"/>
    <w:rsid w:val="00993AFB"/>
    <w:rsid w:val="00AC5769"/>
    <w:rsid w:val="00BA6820"/>
    <w:rsid w:val="00BC3840"/>
    <w:rsid w:val="00BF6478"/>
    <w:rsid w:val="00C86500"/>
    <w:rsid w:val="00D31344"/>
    <w:rsid w:val="00D4205C"/>
    <w:rsid w:val="00F90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5CE0"/>
  <w15:docId w15:val="{7434E74C-573C-C44C-87FA-99C7AB3D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Normal"/>
    <w:next w:val="Textoindependiente"/>
    <w:link w:val="Subttulo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rrafodelista">
    <w:name w:val="List Paragraph"/>
    <w:basedOn w:val="Normal"/>
    <w:rsid w:val="0001729E"/>
    <w:pPr>
      <w:ind w:left="720"/>
      <w:contextualSpacing/>
    </w:pPr>
  </w:style>
  <w:style w:type="paragraph" w:styleId="Revisin">
    <w:name w:val="Revision"/>
    <w:hidden/>
    <w:rsid w:val="00BF6478"/>
    <w:pPr>
      <w:spacing w:after="0"/>
    </w:pPr>
  </w:style>
  <w:style w:type="character" w:styleId="Textodelmarcadordeposicin">
    <w:name w:val="Placeholder Text"/>
    <w:basedOn w:val="Fuentedeprrafopredeter"/>
    <w:rsid w:val="001C62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1240</Words>
  <Characters>6825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Análisis de Desigualdad en TBC y Hacinamiento</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Desigualdad en TBC y Hacinamiento</dc:title>
  <dc:creator>Vasquez, Hugo (WDC)</dc:creator>
  <cp:keywords/>
  <cp:lastModifiedBy>Vasquez, Hugo (WDC)</cp:lastModifiedBy>
  <cp:revision>6</cp:revision>
  <dcterms:created xsi:type="dcterms:W3CDTF">2025-06-13T13:49:00Z</dcterms:created>
  <dcterms:modified xsi:type="dcterms:W3CDTF">2025-06-13T17:14:00Z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2025-06-12</vt:lpwstr>
  </property>
  <property fmtid="{D5CDD505-2E9C-101B-9397-08002B2CF9AE}" pid="3" name="output">
    <vt:lpwstr>word_document</vt:lpwstr>
  </property>
</Properties>
</file>