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B73"/>
          <w:sz w:val="30"/>
        </w:rPr>
        <w:t>Informe de Situación — Cobertura de Mamografía</w:t>
      </w:r>
    </w:p>
    <w:p>
      <w:pPr>
        <w:spacing w:after="80"/>
        <w:jc w:val="center"/>
      </w:pPr>
      <w:r>
        <w:rPr>
          <w:i/>
          <w:sz w:val="18"/>
        </w:rPr>
        <w:t>Región Metropolitana | Año 2025 | Corte REM-P12 Mes 12 (Diciembre)</w:t>
      </w:r>
    </w:p>
    <w:p>
      <w:pPr>
        <w:spacing w:before="80" w:after="40"/>
      </w:pPr>
      <w:r>
        <w:rPr>
          <w:b/>
          <w:color w:val="1F3B73"/>
          <w:sz w:val="21"/>
        </w:rPr>
        <w:t>1. Resumen ejecutivo</w:t>
      </w:r>
    </w:p>
    <w:p>
      <w:pPr>
        <w:spacing w:after="40"/>
      </w:pPr>
      <w:r>
        <w:rPr>
          <w:b w:val="0"/>
        </w:rPr>
        <w:t xml:space="preserve">La cobertura regional de mamografía vigente en mujeres de 50 a 69 años alcanza </w:t>
      </w:r>
      <w:r>
        <w:rPr>
          <w:b/>
          <w:color w:val="000000"/>
        </w:rPr>
        <w:t>31,52%</w:t>
      </w:r>
      <w:r>
        <w:rPr>
          <w:b w:val="0"/>
        </w:rPr>
        <w:t xml:space="preserve"> (236.840 mujeres con mamografía vigente sobre 751.298 mujeres inscritas y validadas FONASA). </w:t>
      </w:r>
      <w:r>
        <w:rPr>
          <w:b/>
          <w:color w:val="000000"/>
        </w:rPr>
        <w:t>La meta sanitaria es crushed al 100% (o cerca); la RM opera bajo el umbral esperado de tamizaje poblacional.</w:t>
      </w:r>
      <w:r>
        <w:rPr>
          <w:b w:val="0"/>
        </w:rPr>
        <w:t xml:space="preserve"> Las comunas con mejor desempeño concentran demanda rural/semirural con denominador pequeño, mientras los centros urbanos grandes arrastran el indicador regional.</w:t>
      </w:r>
    </w:p>
    <w:p>
      <w:pPr>
        <w:spacing w:before="80" w:after="40"/>
      </w:pPr>
      <w:r>
        <w:rPr>
          <w:b/>
          <w:color w:val="1F3B73"/>
          <w:sz w:val="21"/>
        </w:rPr>
        <w:t>2. Origen de los datos y justificación</w:t>
      </w:r>
    </w:p>
    <w:p>
      <w:pPr>
        <w:spacing w:after="40"/>
      </w:pPr>
      <w:r>
        <w:rPr>
          <w:b/>
          <w:color w:val="000000"/>
        </w:rPr>
        <w:t xml:space="preserve">Numerador: </w:t>
      </w:r>
      <w:r>
        <w:rPr>
          <w:b w:val="0"/>
        </w:rPr>
        <w:t xml:space="preserve">REM-P12, Sección B.1, columna Col01 (mujeres con mamografía vigente en los últimos 2 años). Archivo fuente </w:t>
      </w:r>
      <w:r>
        <w:rPr>
          <w:b/>
          <w:color w:val="000000"/>
        </w:rPr>
        <w:t>SerieP2025.csv</w:t>
      </w:r>
      <w:r>
        <w:rPr>
          <w:b w:val="0"/>
        </w:rPr>
        <w:t xml:space="preserve">, RM (IdRegion=13), corte </w:t>
      </w:r>
      <w:r>
        <w:rPr>
          <w:b/>
          <w:color w:val="000000"/>
        </w:rPr>
        <w:t>Mes = 12</w:t>
      </w:r>
      <w:r>
        <w:rPr>
          <w:b w:val="0"/>
        </w:rPr>
        <w:t>. Cuatro tramos: P1220030 (50-54), P1207030 (55-59), P1207040 (60-64), P1207050 (65-69).</w:t>
      </w:r>
    </w:p>
    <w:p>
      <w:pPr>
        <w:spacing w:after="40"/>
      </w:pPr>
      <w:r>
        <w:rPr>
          <w:b/>
          <w:color w:val="000000"/>
        </w:rPr>
        <w:t xml:space="preserve">Denominador: </w:t>
      </w:r>
      <w:r>
        <w:rPr>
          <w:b w:val="0"/>
        </w:rPr>
        <w:t xml:space="preserve">Población inscrita y validada FONASA, base de pago 2025 (inscritos 2024, fecha de referencia septiembre 2024). Archivo </w:t>
      </w:r>
      <w:r>
        <w:rPr>
          <w:b/>
          <w:color w:val="000000"/>
        </w:rPr>
        <w:t>T8009_Inscritos_RM.xlsx</w:t>
      </w:r>
      <w:r>
        <w:rPr>
          <w:b w:val="0"/>
        </w:rPr>
        <w:t xml:space="preserve">. Maestro de establecimientos: </w:t>
      </w:r>
      <w:r>
        <w:rPr>
          <w:b/>
          <w:color w:val="000000"/>
        </w:rPr>
        <w:t>establecimientos_20260406_oficial.csv</w:t>
      </w:r>
      <w:r>
        <w:rPr>
          <w:b w:val="0"/>
        </w:rPr>
        <w:t>.</w:t>
      </w:r>
    </w:p>
    <w:p>
      <w:pPr>
        <w:spacing w:after="40"/>
      </w:pPr>
      <w:r>
        <w:rPr>
          <w:b/>
          <w:color w:val="000000"/>
        </w:rPr>
        <w:t xml:space="preserve">Justificación de usar P12 y no A29: </w:t>
      </w:r>
      <w:r>
        <w:rPr>
          <w:b w:val="0"/>
        </w:rPr>
        <w:t xml:space="preserve">el REM-A29 registra </w:t>
      </w:r>
      <w:r>
        <w:rPr>
          <w:b/>
          <w:color w:val="000000"/>
        </w:rPr>
        <w:t xml:space="preserve">procedimientos/exámenes </w:t>
      </w:r>
      <w:r>
        <w:rPr>
          <w:b w:val="0"/>
        </w:rPr>
        <w:t xml:space="preserve">(puede contar dos veces a la misma persona). El P12 cuenta </w:t>
      </w:r>
      <w:r>
        <w:rPr>
          <w:b/>
          <w:color w:val="000000"/>
        </w:rPr>
        <w:t>personas únicas con tamizaje vigente</w:t>
      </w:r>
      <w:r>
        <w:rPr>
          <w:b w:val="0"/>
        </w:rPr>
        <w:t>, que es lo que define cobertura. El inbox original del requerimiento ratifica este criterio.</w:t>
      </w:r>
    </w:p>
    <w:p>
      <w:pPr>
        <w:spacing w:before="80" w:after="40"/>
      </w:pPr>
      <w:r>
        <w:rPr>
          <w:b/>
          <w:color w:val="1F3B73"/>
          <w:sz w:val="21"/>
        </w:rPr>
        <w:t>3. Metodología técnica y fechas de corte</w:t>
      </w:r>
    </w:p>
    <w:p>
      <w:pPr>
        <w:pStyle w:val="ListBullet"/>
        <w:spacing w:after="20"/>
      </w:pPr>
      <w:r>
        <w:rPr>
          <w:b/>
        </w:rPr>
        <w:t xml:space="preserve">Fórmula: </w:t>
      </w:r>
      <w:r>
        <w:rPr>
          <w:b w:val="0"/>
        </w:rPr>
        <w:t>Cobertura(%) = Mujeres 50-69 con mamografía vigente / Población inscrita y validada de mujeres 50-69 × 100.</w:t>
      </w:r>
    </w:p>
    <w:p>
      <w:pPr>
        <w:pStyle w:val="ListBullet"/>
        <w:spacing w:after="20"/>
      </w:pPr>
      <w:r>
        <w:rPr>
          <w:b/>
        </w:rPr>
        <w:t xml:space="preserve">Corte principal: </w:t>
      </w:r>
      <w:r>
        <w:rPr>
          <w:b w:val="0"/>
        </w:rPr>
        <w:t>Mes 12 (diciembre) del REM-P12 2025. Existe además extracción paralela Mes 6 (junio) para comparativo de consistencia.</w:t>
      </w:r>
    </w:p>
    <w:p>
      <w:pPr>
        <w:pStyle w:val="ListBullet"/>
        <w:spacing w:after="20"/>
      </w:pPr>
      <w:r>
        <w:rPr>
          <w:b/>
        </w:rPr>
        <w:t xml:space="preserve">Tipo de información: </w:t>
      </w:r>
      <w:r>
        <w:rPr>
          <w:b w:val="0"/>
        </w:rPr>
        <w:t>vigente (REM-P12); denominador de pago FONASA; no incluye capacidad diagnóstica ni flujo.</w:t>
      </w:r>
    </w:p>
    <w:p>
      <w:pPr>
        <w:pStyle w:val="ListBullet"/>
        <w:spacing w:after="20"/>
      </w:pPr>
      <w:r>
        <w:rPr>
          <w:b/>
        </w:rPr>
        <w:t xml:space="preserve">Alias aplicado: </w:t>
      </w:r>
      <w:r>
        <w:rPr>
          <w:b w:val="0"/>
        </w:rPr>
        <w:t>311001 → 201674 (CESFAM El Abrazo Dr. Salvador Allende, Maipú) para no subcontar denominador.</w:t>
      </w:r>
    </w:p>
    <w:p>
      <w:pPr>
        <w:pStyle w:val="ListBullet"/>
        <w:spacing w:after="20"/>
      </w:pPr>
      <w:r>
        <w:rPr>
          <w:b/>
        </w:rPr>
        <w:t xml:space="preserve">Nivel de reporte recomendado: </w:t>
      </w:r>
      <w:r>
        <w:rPr>
          <w:b w:val="0"/>
        </w:rPr>
        <w:t>comunal (estable y comparable); cobertura por establecimiento es referencial y puede superar 100%.</w:t>
      </w:r>
    </w:p>
    <w:p>
      <w:pPr>
        <w:spacing w:before="80" w:after="40"/>
      </w:pPr>
      <w:r>
        <w:rPr>
          <w:b/>
          <w:color w:val="1F3B73"/>
          <w:sz w:val="21"/>
        </w:rPr>
        <w:t>4. Resultados regionales (corte Diciembre 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t>Indicador</w:t>
            </w:r>
          </w:p>
        </w:tc>
        <w:tc>
          <w:tcPr>
            <w:tcW w:type="dxa" w:w="3400"/>
          </w:tcPr>
          <w:p>
            <w:r>
              <w:t>Valor</w:t>
            </w:r>
          </w:p>
        </w:tc>
        <w:tc>
          <w:tcPr>
            <w:tcW w:type="dxa" w:w="3400"/>
          </w:tcPr>
          <w:p>
            <w:r>
              <w:t>Comentario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Comunas evaluadas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Toda la RM, con y sin denominador directo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Establecimientos con numerador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261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CESFAM, CECOSF, hospitales, postas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Numerador (mujeres 50-69 vigentes)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236.840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Suma de 4 tramos REM-P12 B1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Denominador (inscritas validadas)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751.298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Base pago FONASA 2025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Cobertura regional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31,52%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Bajo umbral esperado de tamizaje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  <w:t>Establecimientos sin denominador directo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  <w:t>Quedan en control; no afectan comunal</w:t>
            </w:r>
          </w:p>
        </w:tc>
      </w:tr>
    </w:tbl>
    <w:p>
      <w:pPr>
        <w:spacing w:before="80" w:after="40"/>
      </w:pPr>
      <w:r>
        <w:rPr>
          <w:b/>
          <w:color w:val="1F3B73"/>
          <w:sz w:val="21"/>
        </w:rPr>
        <w:t>5. Análisis territorial por comuna</w:t>
      </w:r>
    </w:p>
    <w:p>
      <w:pPr>
        <w:spacing w:after="40"/>
      </w:pPr>
      <w:r>
        <w:rPr>
          <w:b/>
          <w:color w:val="000000"/>
        </w:rPr>
        <w:t xml:space="preserve">Top 5 (más altas): </w:t>
      </w:r>
      <w:r>
        <w:rPr>
          <w:b w:val="0"/>
        </w:rPr>
        <w:t xml:space="preserve">Talagante 82,1% · Padre Hurtado 80,4% · Tiltil 66,6% · Paine 57,4% · Alhué 56,9%. </w:t>
      </w:r>
      <w:r>
        <w:rPr>
          <w:b/>
          <w:color w:val="000000"/>
        </w:rPr>
        <w:t>Rural/semirural con denominador chico → cobertura inflada.</w:t>
      </w:r>
    </w:p>
    <w:p>
      <w:pPr>
        <w:spacing w:after="40"/>
      </w:pPr>
      <w:r>
        <w:rPr>
          <w:b/>
          <w:color w:val="000000"/>
        </w:rPr>
        <w:t xml:space="preserve">Bottom 5 (más bajas): </w:t>
      </w:r>
      <w:r>
        <w:rPr>
          <w:b w:val="0"/>
        </w:rPr>
        <w:t xml:space="preserve">Puente Alto 9,9% · Estación Central 14,2% · Quinta Normal 21,5% · Santiago 22,0% · Cerrillos 22,2%. </w:t>
      </w:r>
      <w:r>
        <w:rPr>
          <w:b/>
          <w:color w:val="000000"/>
        </w:rPr>
        <w:t>Comunas de alta densidad urbana con denominador grande concentran el rezago regional.</w:t>
      </w:r>
    </w:p>
    <w:p>
      <w:pPr>
        <w:spacing w:after="40"/>
      </w:pPr>
      <w:r>
        <w:rPr>
          <w:b/>
          <w:color w:val="000000"/>
        </w:rPr>
        <w:t xml:space="preserve">Brecha: </w:t>
      </w:r>
      <w:r>
        <w:rPr>
          <w:b w:val="0"/>
        </w:rPr>
        <w:t>72 puntos porcentuales entre la comuna más alta y la más baja. La dispersión obliga a descartar el promedio simple como único KPI y enfocar intervención en comunas urbanas de gran tamaño (Puente Alto, Maipú, La Florida, San Bernardo, Pudahuel).</w:t>
      </w:r>
    </w:p>
    <w:p>
      <w:pPr>
        <w:spacing w:before="80" w:after="40"/>
      </w:pPr>
      <w:r>
        <w:rPr>
          <w:b/>
          <w:color w:val="1F3B73"/>
          <w:sz w:val="21"/>
        </w:rPr>
        <w:t>6. Comparativo REM-P12 Mes 6 vs Mes 12 (alertas)</w:t>
      </w:r>
    </w:p>
    <w:p>
      <w:pPr>
        <w:spacing w:after="40"/>
      </w:pPr>
      <w:r>
        <w:rPr>
          <w:b/>
          <w:color w:val="000000"/>
        </w:rPr>
        <w:t xml:space="preserve">76 establecimientos presentan alerta de consistencia </w:t>
      </w:r>
      <w:r>
        <w:rPr>
          <w:b w:val="0"/>
        </w:rPr>
        <w:t xml:space="preserve">(baja de Mes 6 a Mes 12 o aparición tardía). Concentración crítica: </w:t>
      </w:r>
      <w:r>
        <w:rPr>
          <w:b/>
          <w:color w:val="000000"/>
        </w:rPr>
        <w:t xml:space="preserve">Puente Alto </w:t>
      </w:r>
      <w:r>
        <w:rPr>
          <w:b w:val="0"/>
        </w:rPr>
        <w:t xml:space="preserve">(CESFAM Dr. Alejandro del Río, Villaseca, San Gerónimo, Laurita Vicuña, Bernardo Leighton) con caídas del 74-83% entre cortes; </w:t>
      </w:r>
      <w:r>
        <w:rPr>
          <w:b/>
          <w:color w:val="000000"/>
        </w:rPr>
        <w:t xml:space="preserve">Cerrillos </w:t>
      </w:r>
      <w:r>
        <w:rPr>
          <w:b w:val="0"/>
        </w:rPr>
        <w:t xml:space="preserve">(Dr. Norman Voulliéme, -61,6%); </w:t>
      </w:r>
      <w:r>
        <w:rPr>
          <w:b/>
          <w:color w:val="000000"/>
        </w:rPr>
        <w:t xml:space="preserve">Recoleta, Peñalolén y La Granja </w:t>
      </w:r>
      <w:r>
        <w:rPr>
          <w:b w:val="0"/>
        </w:rPr>
        <w:t xml:space="preserve">también con bajas significativas. Esto sugiere </w:t>
      </w:r>
      <w:r>
        <w:rPr>
          <w:b/>
          <w:color w:val="000000"/>
        </w:rPr>
        <w:t xml:space="preserve">subregistro en el corte diciembre o rezago de digitación </w:t>
      </w:r>
      <w:r>
        <w:rPr>
          <w:b w:val="0"/>
        </w:rPr>
        <w:t>y debe verificarse antes de la entrega oficial.</w:t>
      </w:r>
    </w:p>
    <w:p>
      <w:pPr>
        <w:spacing w:before="80" w:after="40"/>
      </w:pPr>
      <w:r>
        <w:rPr>
          <w:b/>
          <w:color w:val="1F3B73"/>
          <w:sz w:val="21"/>
        </w:rPr>
        <w:t>7. Control de calidad — 5 establecimientos sin denominador directo</w:t>
      </w:r>
    </w:p>
    <w:p>
      <w:pPr>
        <w:pStyle w:val="ListBullet"/>
        <w:spacing w:after="20"/>
      </w:pPr>
      <w:r>
        <w:rPr>
          <w:b w:val="0"/>
        </w:rPr>
        <w:t>201212 — CESFAM Juan Pablo II de Lampa (SSM Norte)</w:t>
      </w:r>
    </w:p>
    <w:p>
      <w:pPr>
        <w:pStyle w:val="ListBullet"/>
        <w:spacing w:after="20"/>
      </w:pPr>
      <w:r>
        <w:rPr>
          <w:b w:val="0"/>
        </w:rPr>
        <w:t>109104 — Hospital de Til Til (SSM Norte)</w:t>
      </w:r>
    </w:p>
    <w:p>
      <w:pPr>
        <w:pStyle w:val="ListBullet"/>
        <w:spacing w:after="20"/>
      </w:pPr>
      <w:r>
        <w:rPr>
          <w:b w:val="0"/>
        </w:rPr>
        <w:t>201353 — CECOSF Unión y Esfuerzo Rural, Pudahuel (SSM Occidente)</w:t>
      </w:r>
    </w:p>
    <w:p>
      <w:pPr>
        <w:pStyle w:val="ListBullet"/>
        <w:spacing w:after="20"/>
      </w:pPr>
      <w:r>
        <w:rPr>
          <w:b w:val="0"/>
        </w:rPr>
        <w:t>110720 — CECOSF Catamarca, Quinta Normal (madre 110320)</w:t>
      </w:r>
    </w:p>
    <w:p>
      <w:pPr>
        <w:pStyle w:val="ListBullet"/>
        <w:spacing w:after="20"/>
      </w:pPr>
      <w:r>
        <w:rPr>
          <w:b w:val="0"/>
        </w:rPr>
        <w:t>200475 — CECOSF Las Lomas, La Florida (madre 114303)</w:t>
      </w:r>
    </w:p>
    <w:p>
      <w:pPr>
        <w:spacing w:after="40"/>
      </w:pPr>
      <w:r>
        <w:rPr>
          <w:b w:val="0"/>
        </w:rPr>
        <w:t xml:space="preserve">No se excluyen de la cobertura comunal; solo se omite su cobertura a nivel establecimiento. </w:t>
      </w:r>
      <w:r>
        <w:rPr>
          <w:b/>
          <w:color w:val="000000"/>
        </w:rPr>
        <w:t xml:space="preserve">Pendiente: </w:t>
      </w:r>
      <w:r>
        <w:rPr>
          <w:b w:val="0"/>
        </w:rPr>
        <w:t>definir criterio institucional (imputar madre, solicitar corrección a FONASA/DEIS o mantener en control).</w:t>
      </w:r>
    </w:p>
    <w:p>
      <w:pPr>
        <w:spacing w:before="80" w:after="40"/>
      </w:pPr>
      <w:r>
        <w:rPr>
          <w:b/>
          <w:color w:val="1F3B73"/>
          <w:sz w:val="21"/>
        </w:rPr>
        <w:t>8. Pendientes y recomendaciones para la reunión</w:t>
      </w:r>
    </w:p>
    <w:p>
      <w:pPr>
        <w:pStyle w:val="ListBullet"/>
        <w:spacing w:after="20"/>
      </w:pPr>
      <w:r>
        <w:rPr>
          <w:b/>
        </w:rPr>
        <w:t xml:space="preserve">Validar con Angélica </w:t>
      </w:r>
      <w:r>
        <w:rPr>
          <w:b w:val="0"/>
        </w:rPr>
        <w:t>que T8009_Inscritos_RM.xlsx es el denominador oficial 2025.</w:t>
      </w:r>
    </w:p>
    <w:p>
      <w:pPr>
        <w:pStyle w:val="ListBullet"/>
        <w:spacing w:after="20"/>
      </w:pPr>
      <w:r>
        <w:rPr>
          <w:b/>
        </w:rPr>
        <w:t xml:space="preserve">Confirmar si el reporte exige también corte junio </w:t>
      </w:r>
      <w:r>
        <w:rPr>
          <w:b w:val="0"/>
        </w:rPr>
        <w:t>(REM semestral) además del de diciembre.</w:t>
      </w:r>
    </w:p>
    <w:p>
      <w:pPr>
        <w:pStyle w:val="ListBullet"/>
        <w:spacing w:after="20"/>
      </w:pPr>
      <w:r>
        <w:rPr>
          <w:b/>
        </w:rPr>
        <w:t xml:space="preserve">Revisar 5 establecimientos sin denominador </w:t>
      </w:r>
      <w:r>
        <w:rPr>
          <w:b w:val="0"/>
        </w:rPr>
        <w:t>y decidir imputación o exclusion.</w:t>
      </w:r>
    </w:p>
    <w:p>
      <w:pPr>
        <w:pStyle w:val="ListBullet"/>
        <w:spacing w:after="20"/>
      </w:pPr>
      <w:r>
        <w:rPr>
          <w:b/>
        </w:rPr>
        <w:t xml:space="preserve">Verificar vigencia IAAPS </w:t>
      </w:r>
      <w:r>
        <w:rPr>
          <w:b w:val="0"/>
        </w:rPr>
        <w:t>(23 meses) vs estándar P12 (≤2 años) para evitar discrepancias con la meta sanitaria.</w:t>
      </w:r>
    </w:p>
    <w:p>
      <w:pPr>
        <w:pStyle w:val="ListBullet"/>
        <w:spacing w:after="20"/>
      </w:pPr>
      <w:r>
        <w:rPr>
          <w:b/>
        </w:rPr>
        <w:t xml:space="preserve">Insistir en cierre de digitación </w:t>
      </w:r>
      <w:r>
        <w:rPr>
          <w:b w:val="0"/>
        </w:rPr>
        <w:t>en CESFAM de Puente Alto y Cerrillos antes de congelar cifra regional.</w:t>
      </w:r>
    </w:p>
    <w:p>
      <w:pPr>
        <w:spacing w:after="40"/>
      </w:pPr>
      <w:r>
        <w:rPr>
          <w:b/>
          <w:color w:val="000000"/>
        </w:rPr>
        <w:t xml:space="preserve">Mensaje clave: </w:t>
      </w:r>
      <w:r>
        <w:rPr>
          <w:b w:val="0"/>
        </w:rPr>
        <w:t xml:space="preserve">la RM cierra 2025 con cobertura de </w:t>
      </w:r>
      <w:r>
        <w:rPr>
          <w:b/>
          <w:color w:val="000000"/>
        </w:rPr>
        <w:t xml:space="preserve">31,52% </w:t>
      </w:r>
      <w:r>
        <w:rPr>
          <w:b w:val="0"/>
        </w:rPr>
        <w:t>(236.840 / 751.298); el dato es sólido y trazable, pero con alertas de consistencia entre cortes que conviene cerrar antes de la devolución oficial.</w:t>
      </w:r>
    </w:p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