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PRD — Plataforma de Onboarding y KYC multi-país (Klu)</w:t>
      </w:r>
    </w:p>
    <w:p>
      <w:pPr>
        <w:spacing w:after="280"/>
      </w:pPr>
      <w:r>
        <w:rPr>
          <w:b w:val="0"/>
          <w:i/>
          <w:color w:val="575759"/>
        </w:rPr>
        <w:t>Documento de producto · Eje tecnológico (plataforma) y eje no tecnológico (regulatorio y productos) · Versión 0.1 — borrador de trabajo</w:t>
      </w:r>
    </w:p>
    <w:p>
      <w:pPr>
        <w:pStyle w:val="Heading2"/>
      </w:pPr>
      <w:r>
        <w:t>0. Resumen ejecutivo</w:t>
      </w:r>
    </w:p>
    <w:p>
      <w:r>
        <w:rPr>
          <w:b w:val="0"/>
          <w:i w:val="0"/>
        </w:rPr>
        <w:t>Klu necesita una plataforma propia para dar de alta clientes —personas humanas y jurídicas— en los distintos países donde opera, cumpliendo en cada uno la normativa local de prevención de lavado de activos y financiamiento del terrorismo, y habilitando de forma incremental los productos que cada cliente puede usar.</w:t>
      </w:r>
    </w:p>
    <w:p>
      <w:r>
        <w:rPr>
          <w:b w:val="0"/>
          <w:i w:val="0"/>
        </w:rPr>
        <w:t>Este documento se organiza en dos ejes deliberadamente separados, porque los construyen y validan equipos distintos:</w:t>
      </w:r>
    </w:p>
    <w:p>
      <w:pPr>
        <w:pStyle w:val="ListBullet"/>
        <w:spacing w:after="40"/>
        <w:ind w:left="360"/>
      </w:pPr>
      <w:r>
        <w:rPr>
          <w:b/>
        </w:rPr>
        <w:t>Eje tecnológico (plataforma)</w:t>
      </w:r>
      <w:r>
        <w:t xml:space="preserve"> — cómo tiene que ser el sistema: multi-tenancy por país, modelo de identidad reutilizable, motor de onboarding por capas, screening, riesgo, legajo y API. Es el cuerpo principal de este PRD (§1 a §11) y es transversal a todos los países.</w:t>
      </w:r>
    </w:p>
    <w:p>
      <w:pPr>
        <w:pStyle w:val="ListBullet"/>
        <w:spacing w:after="40"/>
        <w:ind w:left="360"/>
      </w:pPr>
      <w:r>
        <w:rPr>
          <w:b/>
        </w:rPr>
        <w:t>Eje no tecnológico (regulatorio y productos)</w:t>
      </w:r>
      <w:r>
        <w:t xml:space="preserve"> — qué exige cada jurisdicción y qué productos se ofrecen. Vive en un anexo por país (§12 en adelante), porque cambia país por país sin alterar la plataforma.</w:t>
      </w:r>
    </w:p>
    <w:p>
      <w:r>
        <w:rPr>
          <w:b w:val="0"/>
          <w:i w:val="0"/>
        </w:rPr>
        <w:t>La separación es intencional: la plataforma se construye una sola vez y se parametriza; el marco regulatorio y el catálogo de productos se cargan como configuración de cada país. Agregar un país nuevo no debe requerir escribir código de producto.</w:t>
      </w:r>
    </w:p>
    <w:p>
      <w:r>
        <w:rPr>
          <w:b/>
          <w:i w:val="0"/>
        </w:rPr>
        <w:t>Decisiones de alcance ya tomadas:</w:t>
      </w:r>
    </w:p>
    <w:tbl>
      <w:tblPr>
        <w:tblStyle w:val="TableGrid"/>
        <w:tblW w:type="auto" w:w="0"/>
        <w:tblLook w:firstColumn="1" w:firstRow="1" w:lastColumn="0" w:lastRow="0" w:noHBand="0" w:noVBand="1" w:val="04A0"/>
      </w:tblPr>
      <w:tblGrid>
        <w:gridCol w:w="4514"/>
        <w:gridCol w:w="4514"/>
      </w:tblGrid>
      <w:tr>
        <w:tc>
          <w:tcPr>
            <w:tcW w:type="dxa" w:w="2304"/>
          </w:tcPr>
          <w:p>
            <w:r/>
            <w:r>
              <w:rPr>
                <w:b/>
                <w:color w:val="0B3C36"/>
                <w:sz w:val="19"/>
              </w:rPr>
              <w:t>Decisión</w:t>
            </w:r>
          </w:p>
        </w:tc>
        <w:tc>
          <w:tcPr>
            <w:tcW w:type="dxa" w:w="6768"/>
          </w:tcPr>
          <w:p>
            <w:r/>
            <w:r>
              <w:rPr>
                <w:b/>
                <w:color w:val="0B3C36"/>
                <w:sz w:val="19"/>
              </w:rPr>
              <w:t>Resolución</w:t>
            </w:r>
          </w:p>
        </w:tc>
      </w:tr>
      <w:tr>
        <w:tc>
          <w:tcPr>
            <w:tcW w:type="dxa" w:w="2304"/>
          </w:tcPr>
          <w:p>
            <w:r/>
            <w:r>
              <w:rPr>
                <w:sz w:val="19"/>
              </w:rPr>
              <w:t>Alcance</w:t>
            </w:r>
          </w:p>
        </w:tc>
        <w:tc>
          <w:tcPr>
            <w:tcW w:type="dxa" w:w="6768"/>
          </w:tcPr>
          <w:p>
            <w:r/>
            <w:r>
              <w:rPr>
                <w:sz w:val="19"/>
              </w:rPr>
              <w:t>Onboarding y KYC de clientes. No incluye el procesamiento transaccional de los productos (cobros, cuentas), que viven en sus propios PRD.</w:t>
            </w:r>
          </w:p>
        </w:tc>
      </w:tr>
      <w:tr>
        <w:tc>
          <w:tcPr>
            <w:tcW w:type="dxa" w:w="2304"/>
          </w:tcPr>
          <w:p>
            <w:r/>
            <w:r>
              <w:rPr>
                <w:sz w:val="19"/>
              </w:rPr>
              <w:t>Arquitectura</w:t>
            </w:r>
          </w:p>
        </w:tc>
        <w:tc>
          <w:tcPr>
            <w:tcW w:type="dxa" w:w="6768"/>
          </w:tcPr>
          <w:p>
            <w:r/>
            <w:r>
              <w:rPr>
                <w:sz w:val="19"/>
              </w:rPr>
              <w:t>Multi-tenant: un tenant por país, con normativa, formularios, validaciones y productos como configuración, no como código.</w:t>
            </w:r>
          </w:p>
        </w:tc>
      </w:tr>
      <w:tr>
        <w:tc>
          <w:tcPr>
            <w:tcW w:type="dxa" w:w="2304"/>
          </w:tcPr>
          <w:p>
            <w:r/>
            <w:r>
              <w:rPr>
                <w:sz w:val="19"/>
              </w:rPr>
              <w:t>Identidad</w:t>
            </w:r>
          </w:p>
        </w:tc>
        <w:tc>
          <w:tcPr>
            <w:tcW w:type="dxa" w:w="6768"/>
          </w:tcPr>
          <w:p>
            <w:r/>
            <w:r>
              <w:rPr>
                <w:sz w:val="19"/>
              </w:rPr>
              <w:t>Una persona se identifica de forma única por país + identificación fiscal. Sus datos se cargan una vez y se reutilizan en todos los productos, presentes y futuros.</w:t>
            </w:r>
          </w:p>
        </w:tc>
      </w:tr>
      <w:tr>
        <w:tc>
          <w:tcPr>
            <w:tcW w:type="dxa" w:w="2304"/>
          </w:tcPr>
          <w:p>
            <w:r/>
            <w:r>
              <w:rPr>
                <w:sz w:val="19"/>
              </w:rPr>
              <w:t>Onboarding</w:t>
            </w:r>
          </w:p>
        </w:tc>
        <w:tc>
          <w:tcPr>
            <w:tcW w:type="dxa" w:w="6768"/>
          </w:tcPr>
          <w:p>
            <w:r/>
            <w:r>
              <w:rPr>
                <w:sz w:val="19"/>
              </w:rPr>
              <w:t>Por capas incrementales: la primera habilita el producto; las siguientes amplían límites y desbloquean funcionalidad.</w:t>
            </w:r>
          </w:p>
        </w:tc>
      </w:tr>
      <w:tr>
        <w:tc>
          <w:tcPr>
            <w:tcW w:type="dxa" w:w="2304"/>
          </w:tcPr>
          <w:p>
            <w:r/>
            <w:r>
              <w:rPr>
                <w:sz w:val="19"/>
              </w:rPr>
              <w:t>Países</w:t>
            </w:r>
          </w:p>
        </w:tc>
        <w:tc>
          <w:tcPr>
            <w:tcW w:type="dxa" w:w="6768"/>
          </w:tcPr>
          <w:p>
            <w:r/>
            <w:r>
              <w:rPr>
                <w:sz w:val="19"/>
              </w:rPr>
              <w:t>Argentina se documenta completo (Anexo A). Colombia y Perú quedan con el esqueleto armado para completar (Anexos B y C).</w:t>
            </w:r>
          </w:p>
        </w:tc>
      </w:tr>
      <w:tr>
        <w:tc>
          <w:tcPr>
            <w:tcW w:type="dxa" w:w="2304"/>
          </w:tcPr>
          <w:p>
            <w:r/>
            <w:r>
              <w:rPr>
                <w:sz w:val="19"/>
              </w:rPr>
              <w:t>Estado</w:t>
            </w:r>
          </w:p>
        </w:tc>
        <w:tc>
          <w:tcPr>
            <w:tcW w:type="dxa" w:w="6768"/>
          </w:tcPr>
          <w:p>
            <w:r/>
            <w:r>
              <w:rPr>
                <w:sz w:val="19"/>
              </w:rPr>
              <w:t>Este PRD describe el estado objetivo de la plataforma, no una implementación existente.</w:t>
            </w:r>
          </w:p>
        </w:tc>
      </w:tr>
    </w:tbl>
    <w:p>
      <w:pPr>
        <w:spacing w:after="40"/>
      </w:pPr>
    </w:p>
    <w:p>
      <w:pPr>
        <w:pStyle w:val="Heading2"/>
      </w:pPr>
      <w:r>
        <w:t>1. Problem Statement</w:t>
      </w:r>
    </w:p>
    <w:p>
      <w:r>
        <w:rPr>
          <w:b w:val="0"/>
          <w:i w:val="0"/>
        </w:rPr>
        <w:t>Hoy el alta de clientes de Klu no tiene un sistema propio que la sostenga de punta a punta. Eso produce cuatro problemas concretos:</w:t>
      </w:r>
    </w:p>
    <w:p>
      <w:pPr>
        <w:pStyle w:val="ListBullet"/>
        <w:spacing w:after="40"/>
        <w:ind w:left="360"/>
      </w:pPr>
      <w:r>
        <w:t>El proceso de identificación y conocimiento del cliente se ejecuta de forma manual —recopilación, verificación y análisis— lo que lo hace lento, difícil de auditar y dependiente de la persona que lo opera.</w:t>
      </w:r>
    </w:p>
    <w:p>
      <w:pPr>
        <w:pStyle w:val="ListBullet"/>
        <w:spacing w:after="40"/>
        <w:ind w:left="360"/>
      </w:pPr>
      <w:r>
        <w:t>Los datos de una misma persona se vuelven a pedir cada vez que aparece en otro producto, en otra empresa como apoderado, o como beneficiario final. Es fricción para el cliente y riesgo de inconsistencia para Klu.</w:t>
      </w:r>
    </w:p>
    <w:p>
      <w:pPr>
        <w:pStyle w:val="ListBullet"/>
        <w:spacing w:after="40"/>
        <w:ind w:left="360"/>
      </w:pPr>
      <w:r>
        <w:t>Cada país tiene su propia normativa, su propia identificación fiscal y su propio catálogo de productos. Sin una plataforma parametrizable, cada país obliga a construir un sistema nuevo.</w:t>
      </w:r>
    </w:p>
    <w:p>
      <w:pPr>
        <w:pStyle w:val="ListBullet"/>
        <w:spacing w:after="40"/>
        <w:ind w:left="360"/>
      </w:pPr>
      <w:r>
        <w:t>No hay una traza única y verificable del legajo: qué se pidió, qué se verificó, quién aprobó, con qué criterio y cuándo corresponde actualizarlo. Esa traza es exactamente lo que exige el supervisor.</w:t>
      </w:r>
    </w:p>
    <w:p>
      <w:pPr>
        <w:pStyle w:val="Heading2"/>
      </w:pPr>
      <w:r>
        <w:t>2. Goals</w:t>
      </w:r>
    </w:p>
    <w:p>
      <w:pPr>
        <w:pStyle w:val="ListBullet"/>
        <w:spacing w:after="40"/>
        <w:ind w:left="360"/>
      </w:pPr>
      <w:r>
        <w:t>Ejecutar el alta de clientes de extremo a extremo dentro de la plataforma: desde la invitación hasta la decisión de aceptación, con toda la evidencia asociada al legajo.</w:t>
      </w:r>
    </w:p>
    <w:p>
      <w:pPr>
        <w:pStyle w:val="ListBullet"/>
        <w:spacing w:after="40"/>
        <w:ind w:left="360"/>
      </w:pPr>
      <w:r>
        <w:t>Cumplir la normativa local de cada país sin bifurcar el producto: la norma se expresa como configuración del tenant (datos exigidos, controles, umbrales, plazos).</w:t>
      </w:r>
    </w:p>
    <w:p>
      <w:pPr>
        <w:pStyle w:val="ListBullet"/>
        <w:spacing w:after="40"/>
        <w:ind w:left="360"/>
      </w:pPr>
      <w:r>
        <w:t>Cargar los datos de una persona una sola vez y reutilizarlos en todos los productos y vínculos, manteniendo un único legajo por persona y país.</w:t>
      </w:r>
    </w:p>
    <w:p>
      <w:pPr>
        <w:pStyle w:val="ListBullet"/>
        <w:spacing w:after="40"/>
        <w:ind w:left="360"/>
      </w:pPr>
      <w:r>
        <w:t>Habilitar productos de forma incremental por capas, de modo que el cliente pueda empezar a operar rápido y ampliar límites entregando más información.</w:t>
      </w:r>
    </w:p>
    <w:p>
      <w:pPr>
        <w:pStyle w:val="ListBullet"/>
        <w:spacing w:after="40"/>
        <w:ind w:left="360"/>
      </w:pPr>
      <w:r>
        <w:t>Dar al Oficial de Cumplimiento una estación de trabajo real: controles, nivel de riesgo, perfil transaccional, alertas y bitácora, con la evidencia a mano para decidir.</w:t>
      </w:r>
    </w:p>
    <w:p>
      <w:pPr>
        <w:pStyle w:val="ListBullet"/>
        <w:spacing w:after="40"/>
        <w:ind w:left="360"/>
      </w:pPr>
      <w:r>
        <w:t>Reducir el tiempo y el costo de abrir un país nuevo: agregar una jurisdicción debe ser un ejercicio de configuración y carga regulatoria, no de desarrollo.</w:t>
      </w:r>
    </w:p>
    <w:p>
      <w:pPr>
        <w:pStyle w:val="Heading2"/>
      </w:pPr>
      <w:r>
        <w:t>3. Non-Goals</w:t>
      </w:r>
    </w:p>
    <w:p>
      <w:pPr>
        <w:pStyle w:val="ListBullet"/>
        <w:spacing w:after="40"/>
        <w:ind w:left="360"/>
      </w:pPr>
      <w:r>
        <w:t>No es el core transaccional. La plataforma habilita clientes y productos; no procesa pagos, ni liquida, ni administra saldos.</w:t>
      </w:r>
    </w:p>
    <w:p>
      <w:pPr>
        <w:pStyle w:val="ListBullet"/>
        <w:spacing w:after="40"/>
        <w:ind w:left="360"/>
      </w:pPr>
      <w:r>
        <w:t>No es un motor de monitoreo transaccional en tiempo real. Define el perfil transaccional esperado y recibe alertas, pero el monitoreo de operaciones se trata en su propio PRD.</w:t>
      </w:r>
    </w:p>
    <w:p>
      <w:pPr>
        <w:pStyle w:val="ListBullet"/>
        <w:spacing w:after="40"/>
        <w:ind w:left="360"/>
      </w:pPr>
      <w:r>
        <w:t>No reemplaza el criterio del Oficial de Cumplimiento. La plataforma automatiza la recolección, la verificación y el cálculo; la decisión de aceptar, rechazar o reforzar la diligencia es humana y queda registrada.</w:t>
      </w:r>
    </w:p>
    <w:p>
      <w:pPr>
        <w:pStyle w:val="ListBullet"/>
        <w:spacing w:after="40"/>
        <w:ind w:left="360"/>
      </w:pPr>
      <w:r>
        <w:t>No incluye la firma de contratos comerciales ni la negociación de condiciones económicas (comisiones, aranceles), que viven en el flujo comercial.</w:t>
      </w:r>
    </w:p>
    <w:p>
      <w:pPr>
        <w:pStyle w:val="ListBullet"/>
        <w:spacing w:after="40"/>
        <w:ind w:left="360"/>
      </w:pPr>
      <w:r>
        <w:t>No define en v1 un portal público de autogestión permanente del cliente (self-service post-alta). El alcance es el ciclo de alta y sus actualizaciones periódicas.</w:t>
      </w:r>
    </w:p>
    <w:p>
      <w:pPr>
        <w:pStyle w:val="ListBullet"/>
        <w:spacing w:after="40"/>
        <w:ind w:left="360"/>
      </w:pPr>
      <w:r>
        <w:t>No cubre el onboarding de empleados, proveedores ni contrapartes internas.</w:t>
      </w:r>
    </w:p>
    <w:p>
      <w:pPr>
        <w:pStyle w:val="Heading2"/>
      </w:pPr>
      <w:r>
        <w:t>4. Personas y roles</w:t>
      </w:r>
    </w:p>
    <w:p>
      <w:r>
        <w:rPr>
          <w:b w:val="0"/>
          <w:i w:val="0"/>
        </w:rPr>
        <w:t>El onboarding es una cadena con responsabilidades separadas: quien vende no aprueba, y quien aprueba deja constancia. La plataforma modela esa separación de funciones porque es un requisito de control interno, no solo una comodidad de producto.</w:t>
      </w:r>
    </w:p>
    <w:tbl>
      <w:tblPr>
        <w:tblStyle w:val="TableGrid"/>
        <w:tblW w:type="auto" w:w="0"/>
        <w:tblLook w:firstColumn="1" w:firstRow="1" w:lastColumn="0" w:lastRow="0" w:noHBand="0" w:noVBand="1" w:val="04A0"/>
      </w:tblPr>
      <w:tblGrid>
        <w:gridCol w:w="3010"/>
        <w:gridCol w:w="3010"/>
        <w:gridCol w:w="3010"/>
      </w:tblGrid>
      <w:tr>
        <w:tc>
          <w:tcPr>
            <w:tcW w:type="dxa" w:w="2160"/>
          </w:tcPr>
          <w:p>
            <w:r/>
            <w:r>
              <w:rPr>
                <w:b/>
                <w:color w:val="0B3C36"/>
                <w:sz w:val="19"/>
              </w:rPr>
              <w:t>Rol</w:t>
            </w:r>
          </w:p>
        </w:tc>
        <w:tc>
          <w:tcPr>
            <w:tcW w:type="dxa" w:w="2448"/>
          </w:tcPr>
          <w:p>
            <w:r/>
            <w:r>
              <w:rPr>
                <w:b/>
                <w:color w:val="0B3C36"/>
                <w:sz w:val="19"/>
              </w:rPr>
              <w:t>Quién es</w:t>
            </w:r>
          </w:p>
        </w:tc>
        <w:tc>
          <w:tcPr>
            <w:tcW w:type="dxa" w:w="4464"/>
          </w:tcPr>
          <w:p>
            <w:r/>
            <w:r>
              <w:rPr>
                <w:b/>
                <w:color w:val="0B3C36"/>
                <w:sz w:val="19"/>
              </w:rPr>
              <w:t>Qué hace en la plataforma</w:t>
            </w:r>
          </w:p>
        </w:tc>
      </w:tr>
      <w:tr>
        <w:tc>
          <w:tcPr>
            <w:tcW w:type="dxa" w:w="2160"/>
          </w:tcPr>
          <w:p>
            <w:r/>
            <w:r>
              <w:rPr>
                <w:sz w:val="19"/>
              </w:rPr>
              <w:t>Administrador de plataforma</w:t>
            </w:r>
          </w:p>
        </w:tc>
        <w:tc>
          <w:tcPr>
            <w:tcW w:type="dxa" w:w="2448"/>
          </w:tcPr>
          <w:p>
            <w:r/>
            <w:r>
              <w:rPr>
                <w:sz w:val="19"/>
              </w:rPr>
              <w:t>Equipo de producto/tecnología de Klu</w:t>
            </w:r>
          </w:p>
        </w:tc>
        <w:tc>
          <w:tcPr>
            <w:tcW w:type="dxa" w:w="4464"/>
          </w:tcPr>
          <w:p>
            <w:r/>
            <w:r>
              <w:rPr>
                <w:sz w:val="19"/>
              </w:rPr>
              <w:t>Configura países (tenants), productos, capas, formularios, controles y umbrales. No opera casos.</w:t>
            </w:r>
          </w:p>
        </w:tc>
      </w:tr>
      <w:tr>
        <w:tc>
          <w:tcPr>
            <w:tcW w:type="dxa" w:w="2160"/>
          </w:tcPr>
          <w:p>
            <w:r/>
            <w:r>
              <w:rPr>
                <w:sz w:val="19"/>
              </w:rPr>
              <w:t>Oficial de Cumplimiento</w:t>
            </w:r>
          </w:p>
        </w:tc>
        <w:tc>
          <w:tcPr>
            <w:tcW w:type="dxa" w:w="2448"/>
          </w:tcPr>
          <w:p>
            <w:r/>
            <w:r>
              <w:rPr>
                <w:sz w:val="19"/>
              </w:rPr>
              <w:t>Responsable de PLA/FT del país</w:t>
            </w:r>
          </w:p>
        </w:tc>
        <w:tc>
          <w:tcPr>
            <w:tcW w:type="dxa" w:w="4464"/>
          </w:tcPr>
          <w:p>
            <w:r/>
            <w:r>
              <w:rPr>
                <w:sz w:val="19"/>
              </w:rPr>
              <w:t>Resuelve los controles, asigna nivel de riesgo, aprueba altas de riesgo alto y PEP, define el perfil transaccional y ordena reportes.</w:t>
            </w:r>
          </w:p>
        </w:tc>
      </w:tr>
      <w:tr>
        <w:tc>
          <w:tcPr>
            <w:tcW w:type="dxa" w:w="2160"/>
          </w:tcPr>
          <w:p>
            <w:r/>
            <w:r>
              <w:rPr>
                <w:sz w:val="19"/>
              </w:rPr>
              <w:t>Analista de onboarding</w:t>
            </w:r>
          </w:p>
        </w:tc>
        <w:tc>
          <w:tcPr>
            <w:tcW w:type="dxa" w:w="2448"/>
          </w:tcPr>
          <w:p>
            <w:r/>
            <w:r>
              <w:rPr>
                <w:sz w:val="19"/>
              </w:rPr>
              <w:t>Back office / operaciones</w:t>
            </w:r>
          </w:p>
        </w:tc>
        <w:tc>
          <w:tcPr>
            <w:tcW w:type="dxa" w:w="4464"/>
          </w:tcPr>
          <w:p>
            <w:r/>
            <w:r>
              <w:rPr>
                <w:sz w:val="19"/>
              </w:rPr>
              <w:t>Da de alta el caso, envía la invitación, revisa la documentación recibida y prepara el legajo.</w:t>
            </w:r>
          </w:p>
        </w:tc>
      </w:tr>
      <w:tr>
        <w:tc>
          <w:tcPr>
            <w:tcW w:type="dxa" w:w="2160"/>
          </w:tcPr>
          <w:p>
            <w:r/>
            <w:r>
              <w:rPr>
                <w:sz w:val="19"/>
              </w:rPr>
              <w:t>Ejecutivo comercial</w:t>
            </w:r>
          </w:p>
        </w:tc>
        <w:tc>
          <w:tcPr>
            <w:tcW w:type="dxa" w:w="2448"/>
          </w:tcPr>
          <w:p>
            <w:r/>
            <w:r>
              <w:rPr>
                <w:sz w:val="19"/>
              </w:rPr>
              <w:t>Ventas</w:t>
            </w:r>
          </w:p>
        </w:tc>
        <w:tc>
          <w:tcPr>
            <w:tcW w:type="dxa" w:w="4464"/>
          </w:tcPr>
          <w:p>
            <w:r/>
            <w:r>
              <w:rPr>
                <w:sz w:val="19"/>
              </w:rPr>
              <w:t>Inicia solicitudes de alta y consulta el estado de sus clientes. Sin acceso a la decisión ni a los resultados de screening.</w:t>
            </w:r>
          </w:p>
        </w:tc>
      </w:tr>
      <w:tr>
        <w:tc>
          <w:tcPr>
            <w:tcW w:type="dxa" w:w="2160"/>
          </w:tcPr>
          <w:p>
            <w:r/>
            <w:r>
              <w:rPr>
                <w:sz w:val="19"/>
              </w:rPr>
              <w:t>Cliente (persona humana o jurídica)</w:t>
            </w:r>
          </w:p>
        </w:tc>
        <w:tc>
          <w:tcPr>
            <w:tcW w:type="dxa" w:w="2448"/>
          </w:tcPr>
          <w:p>
            <w:r/>
            <w:r>
              <w:rPr>
                <w:sz w:val="19"/>
              </w:rPr>
              <w:t>Externo</w:t>
            </w:r>
          </w:p>
        </w:tc>
        <w:tc>
          <w:tcPr>
            <w:tcW w:type="dxa" w:w="4464"/>
          </w:tcPr>
          <w:p>
            <w:r/>
            <w:r>
              <w:rPr>
                <w:sz w:val="19"/>
              </w:rPr>
              <w:t>Completa su propio onboarding por un enlace seguro: carga datos, adjunta documentación y firma declaraciones juradas.</w:t>
            </w:r>
          </w:p>
        </w:tc>
      </w:tr>
      <w:tr>
        <w:tc>
          <w:tcPr>
            <w:tcW w:type="dxa" w:w="2160"/>
          </w:tcPr>
          <w:p>
            <w:r/>
            <w:r>
              <w:rPr>
                <w:sz w:val="19"/>
              </w:rPr>
              <w:t>Auditor / revisor externo</w:t>
            </w:r>
          </w:p>
        </w:tc>
        <w:tc>
          <w:tcPr>
            <w:tcW w:type="dxa" w:w="2448"/>
          </w:tcPr>
          <w:p>
            <w:r/>
            <w:r>
              <w:rPr>
                <w:sz w:val="19"/>
              </w:rPr>
              <w:t>Auditoría interna o revisor independiente</w:t>
            </w:r>
          </w:p>
        </w:tc>
        <w:tc>
          <w:tcPr>
            <w:tcW w:type="dxa" w:w="4464"/>
          </w:tcPr>
          <w:p>
            <w:r/>
            <w:r>
              <w:rPr>
                <w:sz w:val="19"/>
              </w:rPr>
              <w:t>Acceso de solo lectura a legajos, bitácora y evidencia, para revisión y supervisión.</w:t>
            </w:r>
          </w:p>
        </w:tc>
      </w:tr>
    </w:tbl>
    <w:p>
      <w:pPr>
        <w:spacing w:after="40"/>
      </w:pPr>
    </w:p>
    <w:p>
      <w:pPr>
        <w:pStyle w:val="Heading2"/>
      </w:pPr>
      <w:r>
        <w:t>5. User Stories</w:t>
      </w:r>
    </w:p>
    <w:p>
      <w:pPr>
        <w:pStyle w:val="Heading3"/>
      </w:pPr>
      <w:r>
        <w:t>Configuración de país y productos</w:t>
      </w:r>
    </w:p>
    <w:p>
      <w:pPr>
        <w:pStyle w:val="ListBullet"/>
        <w:spacing w:after="40"/>
        <w:ind w:left="360"/>
      </w:pPr>
      <w:r>
        <w:t>Como Administrador de plataforma, quiero dar de alta un país con su identificación fiscal, moneda e idioma, para habilitar la operación sin desarrollo a medida.</w:t>
      </w:r>
    </w:p>
    <w:p>
      <w:pPr>
        <w:pStyle w:val="ListBullet"/>
        <w:spacing w:after="40"/>
        <w:ind w:left="360"/>
      </w:pPr>
      <w:r>
        <w:t>Como Administrador de plataforma, quiero definir los datos obligatorios, los controles y los umbrales de un país como configuración, para reflejar su normativa sin tocar código.</w:t>
      </w:r>
    </w:p>
    <w:p>
      <w:pPr>
        <w:pStyle w:val="ListBullet"/>
        <w:spacing w:after="40"/>
        <w:ind w:left="360"/>
      </w:pPr>
      <w:r>
        <w:t>Como Administrador de plataforma, quiero definir productos y sus capas de habilitación, para que el cliente sepa qué desbloquea en cada etapa.</w:t>
      </w:r>
    </w:p>
    <w:p>
      <w:pPr>
        <w:pStyle w:val="Heading3"/>
      </w:pPr>
      <w:r>
        <w:t>Alta e invitación</w:t>
      </w:r>
    </w:p>
    <w:p>
      <w:pPr>
        <w:pStyle w:val="ListBullet"/>
        <w:spacing w:after="40"/>
        <w:ind w:left="360"/>
      </w:pPr>
      <w:r>
        <w:t>Como Analista de onboarding, quiero crear un caso indicando país, producto, tipo de cliente e identificación fiscal, para iniciar el alta.</w:t>
      </w:r>
    </w:p>
    <w:p>
      <w:pPr>
        <w:pStyle w:val="ListBullet"/>
        <w:spacing w:after="40"/>
        <w:ind w:left="360"/>
      </w:pPr>
      <w:r>
        <w:t>Como Analista de onboarding, quiero enviar al cliente un enlace personal por correo, para que complete su información sin que tengamos que pedírsela por otro canal.</w:t>
      </w:r>
    </w:p>
    <w:p>
      <w:pPr>
        <w:pStyle w:val="ListBullet"/>
        <w:spacing w:after="40"/>
        <w:ind w:left="360"/>
      </w:pPr>
      <w:r>
        <w:t>Como Cliente, quiero acceder al enlace validando mi identificación fiscal, para tener certeza de que nadie más puede ver ni completar mis datos.</w:t>
      </w:r>
    </w:p>
    <w:p>
      <w:pPr>
        <w:pStyle w:val="ListBullet"/>
        <w:spacing w:after="40"/>
        <w:ind w:left="360"/>
      </w:pPr>
      <w:r>
        <w:t>Como Analista de onboarding, quiero reenviar, revocar o dar de baja una invitación, para manejar errores de contacto y bajas comerciales.</w:t>
      </w:r>
    </w:p>
    <w:p>
      <w:pPr>
        <w:pStyle w:val="Heading3"/>
      </w:pPr>
      <w:r>
        <w:t>Carga de datos y reutilización</w:t>
      </w:r>
    </w:p>
    <w:p>
      <w:pPr>
        <w:pStyle w:val="ListBullet"/>
        <w:spacing w:after="40"/>
        <w:ind w:left="360"/>
      </w:pPr>
      <w:r>
        <w:t>Como Cliente, quiero completar mi alta en pasos cortos y guiados, con guardado en cada paso, para retomarla cuando quiera.</w:t>
      </w:r>
    </w:p>
    <w:p>
      <w:pPr>
        <w:pStyle w:val="ListBullet"/>
        <w:spacing w:after="40"/>
        <w:ind w:left="360"/>
      </w:pPr>
      <w:r>
        <w:t>Como Cliente que ya se registró antes, quiero que la plataforma reconozca mis datos y no me los vuelva a pedir, para no repetir el trámite en cada producto.</w:t>
      </w:r>
    </w:p>
    <w:p>
      <w:pPr>
        <w:pStyle w:val="ListBullet"/>
        <w:spacing w:after="40"/>
        <w:ind w:left="360"/>
      </w:pPr>
      <w:r>
        <w:t>Como Cliente persona jurídica, quiero declarar apoderados, órgano de administración y beneficiarios finales, para cumplir con la identificación de la estructura de control.</w:t>
      </w:r>
    </w:p>
    <w:p>
      <w:pPr>
        <w:pStyle w:val="ListBullet"/>
        <w:spacing w:after="40"/>
        <w:ind w:left="360"/>
      </w:pPr>
      <w:r>
        <w:t>Como Cliente, quiero entender por qué se me pide cada dato y qué habilita entregarlo, para no abandonar el proceso.</w:t>
      </w:r>
    </w:p>
    <w:p>
      <w:pPr>
        <w:pStyle w:val="Heading3"/>
      </w:pPr>
      <w:r>
        <w:t>Documentación</w:t>
      </w:r>
    </w:p>
    <w:p>
      <w:pPr>
        <w:pStyle w:val="ListBullet"/>
        <w:spacing w:after="40"/>
        <w:ind w:left="360"/>
      </w:pPr>
      <w:r>
        <w:t>Como Cliente, quiero adjuntar la documentación respaldatoria desde el navegador o el teléfono, para no depender del correo electrónico.</w:t>
      </w:r>
    </w:p>
    <w:p>
      <w:pPr>
        <w:pStyle w:val="ListBullet"/>
        <w:spacing w:after="40"/>
        <w:ind w:left="360"/>
      </w:pPr>
      <w:r>
        <w:t>Como Analista de onboarding, quiero ver qué documentos faltan, cuáles vencieron y cuáles fueron aceptados, para pedir solo lo que falta.</w:t>
      </w:r>
    </w:p>
    <w:p>
      <w:pPr>
        <w:pStyle w:val="Heading3"/>
      </w:pPr>
      <w:r>
        <w:t>Cumplimiento y decisión</w:t>
      </w:r>
    </w:p>
    <w:p>
      <w:pPr>
        <w:pStyle w:val="ListBullet"/>
        <w:spacing w:after="40"/>
        <w:ind w:left="360"/>
      </w:pPr>
      <w:r>
        <w:t>Como Oficial de Cumplimiento, quiero que el sistema ejecute los controles obligatorios del país sobre el cliente y sobre cada persona vinculada, para no depender de una verificación manual.</w:t>
      </w:r>
    </w:p>
    <w:p>
      <w:pPr>
        <w:pStyle w:val="ListBullet"/>
        <w:spacing w:after="40"/>
        <w:ind w:left="360"/>
      </w:pPr>
      <w:r>
        <w:t>Como Oficial de Cumplimiento, quiero ver el resultado de cada control con su evidencia y su fecha, para sustentar mi decisión.</w:t>
      </w:r>
    </w:p>
    <w:p>
      <w:pPr>
        <w:pStyle w:val="ListBullet"/>
        <w:spacing w:after="40"/>
        <w:ind w:left="360"/>
      </w:pPr>
      <w:r>
        <w:t>Como Oficial de Cumplimiento, quiero que el sistema me impida habilitar un cliente cuando existe un control bloqueante, para evitar un alta indebida.</w:t>
      </w:r>
    </w:p>
    <w:p>
      <w:pPr>
        <w:pStyle w:val="ListBullet"/>
        <w:spacing w:after="40"/>
        <w:ind w:left="360"/>
      </w:pPr>
      <w:r>
        <w:t>Como Oficial de Cumplimiento, quiero asignar el nivel de riesgo y que la plataforma derive de él la diligencia y la periodicidad de actualización, para aplicar el enfoque basado en riesgo.</w:t>
      </w:r>
    </w:p>
    <w:p>
      <w:pPr>
        <w:pStyle w:val="ListBullet"/>
        <w:spacing w:after="40"/>
        <w:ind w:left="360"/>
      </w:pPr>
      <w:r>
        <w:t>Como Oficial de Cumplimiento, quiero aprobar o rechazar el alta dejando constancia del criterio aplicado, para que quede documentado ante una revisión.</w:t>
      </w:r>
    </w:p>
    <w:p>
      <w:pPr>
        <w:pStyle w:val="Heading3"/>
      </w:pPr>
      <w:r>
        <w:t>Legajo y ciclo de vida</w:t>
      </w:r>
    </w:p>
    <w:p>
      <w:pPr>
        <w:pStyle w:val="ListBullet"/>
        <w:spacing w:after="40"/>
        <w:ind w:left="360"/>
      </w:pPr>
      <w:r>
        <w:t>Como Auditor, quiero reconstruir un legajo completo con su evidencia y su bitácora, para verificar el cumplimiento del proceso.</w:t>
      </w:r>
    </w:p>
    <w:p>
      <w:pPr>
        <w:pStyle w:val="ListBullet"/>
        <w:spacing w:after="40"/>
        <w:ind w:left="360"/>
      </w:pPr>
      <w:r>
        <w:t>Como Oficial de Cumplimiento, quiero que el sistema me avise cuándo corresponde actualizar cada legajo según su nivel de riesgo, para no incumplir los plazos.</w:t>
      </w:r>
    </w:p>
    <w:p>
      <w:pPr>
        <w:pStyle w:val="ListBullet"/>
        <w:spacing w:after="40"/>
        <w:ind w:left="360"/>
      </w:pPr>
      <w:r>
        <w:t>Como Analista de onboarding, quiero lanzar una actualización periódica reutilizando los datos vigentes, para pedirle al cliente solo lo que cambió.</w:t>
      </w:r>
    </w:p>
    <w:p>
      <w:pPr>
        <w:pStyle w:val="Heading3"/>
      </w:pPr>
      <w:r>
        <w:t>Métricas</w:t>
      </w:r>
    </w:p>
    <w:p>
      <w:pPr>
        <w:pStyle w:val="ListBullet"/>
        <w:spacing w:after="40"/>
        <w:ind w:left="360"/>
      </w:pPr>
      <w:r>
        <w:t>Como Dirección, quiero ver conversión, tiempo de alta y puntos de abandono por país y producto, para priorizar mejoras.</w:t>
      </w:r>
    </w:p>
    <w:p>
      <w:pPr>
        <w:pStyle w:val="ListBullet"/>
        <w:spacing w:after="40"/>
        <w:ind w:left="360"/>
      </w:pPr>
      <w:r>
        <w:t>Como Oficial de Cumplimiento, quiero ver la distribución de riesgo, los casos bloqueados y los legajos vencidos, para gestionar mi carga y mi exposición.</w:t>
      </w:r>
    </w:p>
    <w:p>
      <w:pPr>
        <w:pStyle w:val="Heading2"/>
      </w:pPr>
      <w:r>
        <w:t>6. Arquitectura de información — dónde vive cada cosa</w:t>
      </w:r>
    </w:p>
    <w:p>
      <w:pPr>
        <w:pStyle w:val="Heading3"/>
      </w:pPr>
      <w:r>
        <w:t>6.0 El espacio se adapta al rol</w:t>
      </w:r>
    </w:p>
    <w:p>
      <w:r>
        <w:rPr>
          <w:b w:val="0"/>
          <w:i w:val="0"/>
        </w:rPr>
        <w:t>La plataforma tiene dos superficies claramente distintas, y no deben mezclarse:</w:t>
      </w:r>
    </w:p>
    <w:p>
      <w:pPr>
        <w:pStyle w:val="ListBullet"/>
        <w:spacing w:after="40"/>
        <w:ind w:left="360"/>
      </w:pPr>
      <w:r>
        <w:rPr>
          <w:b/>
        </w:rPr>
        <w:t>Back office (interno)</w:t>
      </w:r>
      <w:r>
        <w:t xml:space="preserve"> — donde Klu opera: casos, legajos, controles, riesgo y configuración. Requiere autenticación corporativa y todo queda en bitácora.</w:t>
      </w:r>
    </w:p>
    <w:p>
      <w:pPr>
        <w:pStyle w:val="ListBullet"/>
        <w:spacing w:after="40"/>
        <w:ind w:left="360"/>
      </w:pPr>
      <w:r>
        <w:rPr>
          <w:b/>
        </w:rPr>
        <w:t>Flujo del cliente (externo)</w:t>
      </w:r>
      <w:r>
        <w:t xml:space="preserve"> — donde el cliente completa su alta: acceso por enlace personal con verificación de identificación fiscal, sin usuario ni contraseña que administrar.</w:t>
      </w:r>
    </w:p>
    <w:p>
      <w:r>
        <w:rPr>
          <w:b w:val="0"/>
          <w:i w:val="0"/>
        </w:rPr>
        <w:t>Dentro del back office, el contenido se filtra por rol: el comercial ve estado, el analista ve el legajo y la documentación, y solo el Oficial de Cumplimiento ve resultados de screening y puede decidir.</w:t>
      </w:r>
    </w:p>
    <w:p>
      <w:pPr>
        <w:pStyle w:val="Heading3"/>
      </w:pPr>
      <w:r>
        <w:t>6.1 Back office — módulos</w:t>
      </w:r>
    </w:p>
    <w:tbl>
      <w:tblPr>
        <w:tblStyle w:val="TableGrid"/>
        <w:tblW w:type="auto" w:w="0"/>
        <w:tblLook w:firstColumn="1" w:firstRow="1" w:lastColumn="0" w:lastRow="0" w:noHBand="0" w:noVBand="1" w:val="04A0"/>
      </w:tblPr>
      <w:tblGrid>
        <w:gridCol w:w="3010"/>
        <w:gridCol w:w="3010"/>
        <w:gridCol w:w="3010"/>
      </w:tblGrid>
      <w:tr>
        <w:tc>
          <w:tcPr>
            <w:tcW w:type="dxa" w:w="1872"/>
          </w:tcPr>
          <w:p>
            <w:r/>
            <w:r>
              <w:rPr>
                <w:b/>
                <w:color w:val="0B3C36"/>
                <w:sz w:val="19"/>
              </w:rPr>
              <w:t>Módulo</w:t>
            </w:r>
          </w:p>
        </w:tc>
        <w:tc>
          <w:tcPr>
            <w:tcW w:type="dxa" w:w="5040"/>
          </w:tcPr>
          <w:p>
            <w:r/>
            <w:r>
              <w:rPr>
                <w:b/>
                <w:color w:val="0B3C36"/>
                <w:sz w:val="19"/>
              </w:rPr>
              <w:t>Contenido</w:t>
            </w:r>
          </w:p>
        </w:tc>
        <w:tc>
          <w:tcPr>
            <w:tcW w:type="dxa" w:w="2160"/>
          </w:tcPr>
          <w:p>
            <w:r/>
            <w:r>
              <w:rPr>
                <w:b/>
                <w:color w:val="0B3C36"/>
                <w:sz w:val="19"/>
              </w:rPr>
              <w:t>Quién accede</w:t>
            </w:r>
          </w:p>
        </w:tc>
      </w:tr>
      <w:tr>
        <w:tc>
          <w:tcPr>
            <w:tcW w:type="dxa" w:w="1872"/>
          </w:tcPr>
          <w:p>
            <w:r/>
            <w:r>
              <w:rPr>
                <w:sz w:val="19"/>
              </w:rPr>
              <w:t>Casos</w:t>
            </w:r>
          </w:p>
        </w:tc>
        <w:tc>
          <w:tcPr>
            <w:tcW w:type="dxa" w:w="5040"/>
          </w:tcPr>
          <w:p>
            <w:r/>
            <w:r>
              <w:rPr>
                <w:sz w:val="19"/>
              </w:rPr>
              <w:t>Bandeja de altas con estado, país, producto, capa, riesgo y antigüedad. Filtros y búsqueda.</w:t>
            </w:r>
          </w:p>
        </w:tc>
        <w:tc>
          <w:tcPr>
            <w:tcW w:type="dxa" w:w="2160"/>
          </w:tcPr>
          <w:p>
            <w:r/>
            <w:r>
              <w:rPr>
                <w:sz w:val="19"/>
              </w:rPr>
              <w:t>Analista, Oficial de Cumplimiento, Comercial (alcance limitado)</w:t>
            </w:r>
          </w:p>
        </w:tc>
      </w:tr>
      <w:tr>
        <w:tc>
          <w:tcPr>
            <w:tcW w:type="dxa" w:w="1872"/>
          </w:tcPr>
          <w:p>
            <w:r/>
            <w:r>
              <w:rPr>
                <w:sz w:val="19"/>
              </w:rPr>
              <w:t>Detalle de caso</w:t>
            </w:r>
          </w:p>
        </w:tc>
        <w:tc>
          <w:tcPr>
            <w:tcW w:type="dxa" w:w="5040"/>
          </w:tcPr>
          <w:p>
            <w:r/>
            <w:r>
              <w:rPr>
                <w:sz w:val="19"/>
              </w:rPr>
              <w:t>Legajo completo: datos, documentos, personas vinculadas, controles, riesgo, perfil transaccional y bitácora.</w:t>
            </w:r>
          </w:p>
        </w:tc>
        <w:tc>
          <w:tcPr>
            <w:tcW w:type="dxa" w:w="2160"/>
          </w:tcPr>
          <w:p>
            <w:r/>
            <w:r>
              <w:rPr>
                <w:sz w:val="19"/>
              </w:rPr>
              <w:t>Analista, Oficial de Cumplimiento</w:t>
            </w:r>
          </w:p>
        </w:tc>
      </w:tr>
      <w:tr>
        <w:tc>
          <w:tcPr>
            <w:tcW w:type="dxa" w:w="1872"/>
          </w:tcPr>
          <w:p>
            <w:r/>
            <w:r>
              <w:rPr>
                <w:sz w:val="19"/>
              </w:rPr>
              <w:t>Personas</w:t>
            </w:r>
          </w:p>
        </w:tc>
        <w:tc>
          <w:tcPr>
            <w:tcW w:type="dxa" w:w="5040"/>
          </w:tcPr>
          <w:p>
            <w:r/>
            <w:r>
              <w:rPr>
                <w:sz w:val="19"/>
              </w:rPr>
              <w:t>Registro único de personas por país, con sus vínculos y los productos en los que participa.</w:t>
            </w:r>
          </w:p>
        </w:tc>
        <w:tc>
          <w:tcPr>
            <w:tcW w:type="dxa" w:w="2160"/>
          </w:tcPr>
          <w:p>
            <w:r/>
            <w:r>
              <w:rPr>
                <w:sz w:val="19"/>
              </w:rPr>
              <w:t>Analista, Oficial de Cumplimiento</w:t>
            </w:r>
          </w:p>
        </w:tc>
      </w:tr>
      <w:tr>
        <w:tc>
          <w:tcPr>
            <w:tcW w:type="dxa" w:w="1872"/>
          </w:tcPr>
          <w:p>
            <w:r/>
            <w:r>
              <w:rPr>
                <w:sz w:val="19"/>
              </w:rPr>
              <w:t>Cumplimiento</w:t>
            </w:r>
          </w:p>
        </w:tc>
        <w:tc>
          <w:tcPr>
            <w:tcW w:type="dxa" w:w="5040"/>
          </w:tcPr>
          <w:p>
            <w:r/>
            <w:r>
              <w:rPr>
                <w:sz w:val="19"/>
              </w:rPr>
              <w:t>Cola de controles a resolver, alertas, casos bloqueados y legajos por vencer.</w:t>
            </w:r>
          </w:p>
        </w:tc>
        <w:tc>
          <w:tcPr>
            <w:tcW w:type="dxa" w:w="2160"/>
          </w:tcPr>
          <w:p>
            <w:r/>
            <w:r>
              <w:rPr>
                <w:sz w:val="19"/>
              </w:rPr>
              <w:t>Oficial de Cumplimiento</w:t>
            </w:r>
          </w:p>
        </w:tc>
      </w:tr>
      <w:tr>
        <w:tc>
          <w:tcPr>
            <w:tcW w:type="dxa" w:w="1872"/>
          </w:tcPr>
          <w:p>
            <w:r/>
            <w:r>
              <w:rPr>
                <w:sz w:val="19"/>
              </w:rPr>
              <w:t>Configuración</w:t>
            </w:r>
          </w:p>
        </w:tc>
        <w:tc>
          <w:tcPr>
            <w:tcW w:type="dxa" w:w="5040"/>
          </w:tcPr>
          <w:p>
            <w:r/>
            <w:r>
              <w:rPr>
                <w:sz w:val="19"/>
              </w:rPr>
              <w:t>Países, productos, capas, formularios, controles, umbrales y plantillas de correo.</w:t>
            </w:r>
          </w:p>
        </w:tc>
        <w:tc>
          <w:tcPr>
            <w:tcW w:type="dxa" w:w="2160"/>
          </w:tcPr>
          <w:p>
            <w:r/>
            <w:r>
              <w:rPr>
                <w:sz w:val="19"/>
              </w:rPr>
              <w:t>Administrador de plataforma</w:t>
            </w:r>
          </w:p>
        </w:tc>
      </w:tr>
      <w:tr>
        <w:tc>
          <w:tcPr>
            <w:tcW w:type="dxa" w:w="1872"/>
          </w:tcPr>
          <w:p>
            <w:r/>
            <w:r>
              <w:rPr>
                <w:sz w:val="19"/>
              </w:rPr>
              <w:t>Reportes</w:t>
            </w:r>
          </w:p>
        </w:tc>
        <w:tc>
          <w:tcPr>
            <w:tcW w:type="dxa" w:w="5040"/>
          </w:tcPr>
          <w:p>
            <w:r/>
            <w:r>
              <w:rPr>
                <w:sz w:val="19"/>
              </w:rPr>
              <w:t>Exportables de legajos, altas por período, distribución de riesgo y trazabilidad.</w:t>
            </w:r>
          </w:p>
        </w:tc>
        <w:tc>
          <w:tcPr>
            <w:tcW w:type="dxa" w:w="2160"/>
          </w:tcPr>
          <w:p>
            <w:r/>
            <w:r>
              <w:rPr>
                <w:sz w:val="19"/>
              </w:rPr>
              <w:t>Oficial de Cumplimiento, Auditor</w:t>
            </w:r>
          </w:p>
        </w:tc>
      </w:tr>
    </w:tbl>
    <w:p>
      <w:pPr>
        <w:spacing w:after="40"/>
      </w:pPr>
    </w:p>
    <w:p>
      <w:pPr>
        <w:pStyle w:val="Heading3"/>
      </w:pPr>
      <w:r>
        <w:t>6.2 Flujo del cliente — etapas</w:t>
      </w:r>
    </w:p>
    <w:p>
      <w:r>
        <w:rPr>
          <w:b w:val="0"/>
          <w:i w:val="0"/>
        </w:rPr>
        <w:t>El cliente atraviesa siempre la misma secuencia, independientemente del país; lo que cambia es el contenido que la configuración del tenant inyecta en cada etapa.</w:t>
      </w:r>
    </w:p>
    <w:p>
      <w:pPr>
        <w:pStyle w:val="ListBullet"/>
        <w:spacing w:after="40"/>
        <w:ind w:left="360"/>
      </w:pPr>
      <w:r>
        <w:t>Verificación de acceso — el cliente valida su identificación fiscal contra la invitación.</w:t>
      </w:r>
    </w:p>
    <w:p>
      <w:pPr>
        <w:pStyle w:val="ListBullet"/>
        <w:spacing w:after="40"/>
        <w:ind w:left="360"/>
      </w:pPr>
      <w:r>
        <w:t>Presentación de la capa — qué se le va a pedir, por qué, y qué habilita completarla.</w:t>
      </w:r>
    </w:p>
    <w:p>
      <w:pPr>
        <w:pStyle w:val="ListBullet"/>
        <w:spacing w:after="40"/>
        <w:ind w:left="360"/>
      </w:pPr>
      <w:r>
        <w:t>Carga guiada — pasos cortos, validación en el momento y guardado incremental.</w:t>
      </w:r>
    </w:p>
    <w:p>
      <w:pPr>
        <w:pStyle w:val="ListBullet"/>
        <w:spacing w:after="40"/>
        <w:ind w:left="360"/>
      </w:pPr>
      <w:r>
        <w:t>Cierre de capa — confirmación de lo entregado y explicación de qué sigue.</w:t>
      </w:r>
    </w:p>
    <w:p>
      <w:pPr>
        <w:pStyle w:val="ListBullet"/>
        <w:spacing w:after="40"/>
        <w:ind w:left="360"/>
      </w:pPr>
      <w:r>
        <w:t>Continuidad — invitación a completar la capa siguiente para ampliar límites o sumar productos.</w:t>
      </w:r>
    </w:p>
    <w:p>
      <w:pPr>
        <w:pStyle w:val="Heading3"/>
      </w:pPr>
      <w:r>
        <w:t>6.3 Principio de diseño</w:t>
      </w:r>
    </w:p>
    <w:p>
      <w:r>
        <w:rPr>
          <w:b w:val="0"/>
          <w:i w:val="0"/>
        </w:rPr>
        <w:t>Todo lo que sea específico de un país —qué datos se piden, qué controles corren, qué umbrales aplican, qué productos existen— es configuración del tenant. El código de la plataforma no debe contener reglas de una jurisdicción particular. Ese es el criterio que hace viable abrir Colombia y Perú sin reescribir el producto.</w:t>
      </w:r>
    </w:p>
    <w:p>
      <w:pPr>
        <w:pStyle w:val="Heading2"/>
      </w:pPr>
      <w:r>
        <w:t>7. Requisitos — Eje tecnológico (plataforma)</w:t>
      </w:r>
    </w:p>
    <w:p>
      <w:r>
        <w:rPr>
          <w:b w:val="0"/>
          <w:i/>
          <w:color w:val="575759"/>
        </w:rPr>
        <w:t>Nomenclatura: P0 = imprescindible para lanzar. P1 = mejora fuerte / fast-follow. P2 = futuro. Los criterios de aceptación se listan con [ ].</w:t>
      </w:r>
    </w:p>
    <w:p>
      <w:pPr>
        <w:pStyle w:val="Heading3"/>
      </w:pPr>
      <w:r>
        <w:t>7.1 Multi-tenancy y configuración por país</w:t>
      </w:r>
    </w:p>
    <w:p>
      <w:pPr>
        <w:spacing w:before="160"/>
      </w:pPr>
      <w:r>
        <w:rPr>
          <w:b/>
        </w:rPr>
        <w:t>P0 — Tenant por país</w:t>
      </w:r>
      <w:r>
        <w:t xml:space="preserve"> Cada país es un tenant con identidad propia: identificación fiscal, moneda, idioma, entidad legal y marco normativo.</w:t>
      </w:r>
    </w:p>
    <w:p>
      <w:pPr>
        <w:spacing w:after="40"/>
        <w:ind w:left="360"/>
      </w:pPr>
      <w:r>
        <w:t>[ ] Se puede crear un país definiendo: código, nombre, entidad legal, tipo de identificación fiscal, moneda e idioma.</w:t>
      </w:r>
    </w:p>
    <w:p>
      <w:pPr>
        <w:spacing w:after="40"/>
        <w:ind w:left="360"/>
      </w:pPr>
      <w:r>
        <w:t>[ ] Cada tenant define su regla de validación y normalización de la identificación fiscal (formato y dígito verificador).</w:t>
      </w:r>
    </w:p>
    <w:p>
      <w:pPr>
        <w:spacing w:after="40"/>
        <w:ind w:left="360"/>
      </w:pPr>
      <w:r>
        <w:t>[ ] Los datos de un tenant están aislados: ninguna consulta puede devolver información de otro país.</w:t>
      </w:r>
    </w:p>
    <w:p>
      <w:pPr>
        <w:spacing w:after="40"/>
        <w:ind w:left="360"/>
      </w:pPr>
      <w:r>
        <w:t>[ ] Desactivar un tenant impide nuevas altas pero conserva los legajos existentes y su consulta.</w:t>
      </w:r>
    </w:p>
    <w:p>
      <w:pPr>
        <w:spacing w:before="160"/>
      </w:pPr>
      <w:r>
        <w:rPr>
          <w:b/>
        </w:rPr>
        <w:t>P0 — Formularios y capas como configuración</w:t>
      </w:r>
      <w:r>
        <w:t xml:space="preserve"> La normativa se expresa como datos, no como código.</w:t>
      </w:r>
    </w:p>
    <w:p>
      <w:pPr>
        <w:spacing w:after="40"/>
        <w:ind w:left="360"/>
      </w:pPr>
      <w:r>
        <w:t>[ ] Un país define sus productos, y cada producto define sus capas ordenadas.</w:t>
      </w:r>
    </w:p>
    <w:p>
      <w:pPr>
        <w:spacing w:after="40"/>
        <w:ind w:left="360"/>
      </w:pPr>
      <w:r>
        <w:t>[ ] Cada capa define pasos, y cada paso define campos con tipo, obligatoriedad, ayuda y validación.</w:t>
      </w:r>
    </w:p>
    <w:p>
      <w:pPr>
        <w:spacing w:after="40"/>
        <w:ind w:left="360"/>
      </w:pPr>
      <w:r>
        <w:t>[ ] Los campos soportan condicionalidad (mostrar según el valor de otro campo).</w:t>
      </w:r>
    </w:p>
    <w:p>
      <w:pPr>
        <w:spacing w:after="40"/>
        <w:ind w:left="360"/>
      </w:pPr>
      <w:r>
        <w:t>[ ] Se pueden definir formularios distintos por tipo de cliente (persona humana / persona jurídica / otras estructuras).</w:t>
      </w:r>
    </w:p>
    <w:p>
      <w:pPr>
        <w:spacing w:after="40"/>
        <w:ind w:left="360"/>
      </w:pPr>
      <w:r>
        <w:t>[ ] Un cambio de configuración no afecta los legajos ya cerrados: cada caso conserva la versión de formulario con la que se completó.</w:t>
      </w:r>
    </w:p>
    <w:p>
      <w:pPr>
        <w:spacing w:before="160"/>
      </w:pPr>
      <w:r>
        <w:rPr>
          <w:b/>
        </w:rPr>
        <w:t>P1 — Versionado de configuración normativa</w:t>
      </w:r>
      <w:r>
        <w:t xml:space="preserve"> Criterios:</w:t>
      </w:r>
    </w:p>
    <w:p>
      <w:pPr>
        <w:spacing w:after="40"/>
        <w:ind w:left="360"/>
      </w:pPr>
      <w:r>
        <w:t>[ ] Cada cambio en la configuración de un país queda versionado con autor, fecha y motivo.</w:t>
      </w:r>
    </w:p>
    <w:p>
      <w:pPr>
        <w:spacing w:after="40"/>
        <w:ind w:left="360"/>
      </w:pPr>
      <w:r>
        <w:t>[ ] Se puede consultar con qué versión de reglas se dio de alta un cliente determinado.</w:t>
      </w:r>
    </w:p>
    <w:p>
      <w:pPr>
        <w:pStyle w:val="Heading3"/>
      </w:pPr>
      <w:r>
        <w:t>7.2 Identidad de personas y reutilización de datos</w:t>
      </w:r>
    </w:p>
    <w:p>
      <w:pPr>
        <w:spacing w:before="160"/>
      </w:pPr>
      <w:r>
        <w:rPr>
          <w:b/>
        </w:rPr>
        <w:t>P0 — Registro único de persona</w:t>
      </w:r>
      <w:r>
        <w:t xml:space="preserve"> Una persona se identifica de forma única por país + identificación fiscal, y ese registro es la fuente de verdad de sus datos.</w:t>
      </w:r>
    </w:p>
    <w:p>
      <w:pPr>
        <w:spacing w:after="40"/>
        <w:ind w:left="360"/>
      </w:pPr>
      <w:r>
        <w:t>[ ] No pueden existir dos personas con la misma identificación fiscal dentro de un mismo país.</w:t>
      </w:r>
    </w:p>
    <w:p>
      <w:pPr>
        <w:spacing w:after="40"/>
        <w:ind w:left="360"/>
      </w:pPr>
      <w:r>
        <w:t>[ ] Si se inicia un alta con una identificación fiscal ya registrada, el sistema reutiliza la persona existente en lugar de duplicarla.</w:t>
      </w:r>
    </w:p>
    <w:p>
      <w:pPr>
        <w:spacing w:after="40"/>
        <w:ind w:left="360"/>
      </w:pPr>
      <w:r>
        <w:t>[ ] Los datos ya cargados se precargan y solo se solicita lo faltante o lo vencido.</w:t>
      </w:r>
    </w:p>
    <w:p>
      <w:pPr>
        <w:spacing w:after="40"/>
        <w:ind w:left="360"/>
      </w:pPr>
      <w:r>
        <w:t>[ ] El sistema distingue persona humana, persona jurídica y otras estructuras jurídicas.</w:t>
      </w:r>
    </w:p>
    <w:p>
      <w:pPr>
        <w:spacing w:before="160"/>
      </w:pPr>
      <w:r>
        <w:rPr>
          <w:b/>
        </w:rPr>
        <w:t>P0 — Vínculos entre personas</w:t>
      </w:r>
      <w:r>
        <w:t xml:space="preserve"> Una persona jurídica se relaciona con personas humanas por rol.</w:t>
      </w:r>
    </w:p>
    <w:p>
      <w:pPr>
        <w:spacing w:after="40"/>
        <w:ind w:left="360"/>
      </w:pPr>
      <w:r>
        <w:t>[ ] Se pueden registrar vínculos con rol: representante legal, apoderado, autorizado, integrante del órgano de administración, socio y beneficiario final.</w:t>
      </w:r>
    </w:p>
    <w:p>
      <w:pPr>
        <w:spacing w:after="40"/>
        <w:ind w:left="360"/>
      </w:pPr>
      <w:r>
        <w:t>[ ] El vínculo de beneficiario final admite porcentaje de participación.</w:t>
      </w:r>
    </w:p>
    <w:p>
      <w:pPr>
        <w:spacing w:after="40"/>
        <w:ind w:left="360"/>
      </w:pPr>
      <w:r>
        <w:t>[ ] Al declarar una persona vinculada que ya existe en el país, se enlaza al registro existente en vez de crear uno nuevo.</w:t>
      </w:r>
    </w:p>
    <w:p>
      <w:pPr>
        <w:spacing w:after="40"/>
        <w:ind w:left="360"/>
      </w:pPr>
      <w:r>
        <w:t>[ ] Desde una persona se puede ver en qué otras estructuras participa y con qué rol.</w:t>
      </w:r>
    </w:p>
    <w:p>
      <w:pPr>
        <w:spacing w:before="160"/>
      </w:pPr>
      <w:r>
        <w:rPr>
          <w:b/>
        </w:rPr>
        <w:t>P1 — Legajo propio de la persona vinculada</w:t>
      </w:r>
      <w:r>
        <w:t xml:space="preserve"> Criterios:</w:t>
      </w:r>
    </w:p>
    <w:p>
      <w:pPr>
        <w:spacing w:after="40"/>
        <w:ind w:left="360"/>
      </w:pPr>
      <w:r>
        <w:t>[ ] Una persona vinculada puede recibir su propia invitación para completar sus datos, sin exponer los datos de la empresa.</w:t>
      </w:r>
    </w:p>
    <w:p>
      <w:pPr>
        <w:spacing w:after="40"/>
        <w:ind w:left="360"/>
      </w:pPr>
      <w:r>
        <w:t>[ ] El caso de la persona jurídica muestra qué vinculados tienen legajo completo y cuáles están pendientes.</w:t>
      </w:r>
    </w:p>
    <w:p>
      <w:pPr>
        <w:pStyle w:val="Heading3"/>
      </w:pPr>
      <w:r>
        <w:t>7.3 Motor de onboarding por capas</w:t>
      </w:r>
    </w:p>
    <w:p>
      <w:pPr>
        <w:spacing w:before="160"/>
      </w:pPr>
      <w:r>
        <w:rPr>
          <w:b/>
        </w:rPr>
        <w:t>P0 — Capas incrementales por producto</w:t>
      </w:r>
      <w:r>
        <w:t xml:space="preserve"> Cada capa entrega valor concreto al cliente: la primera habilita el producto, las siguientes amplían límites o suman funcionalidad.</w:t>
      </w:r>
    </w:p>
    <w:p>
      <w:pPr>
        <w:spacing w:after="40"/>
        <w:ind w:left="360"/>
      </w:pPr>
      <w:r>
        <w:t>[ ] Una capa se considera completa solo cuando todos sus campos obligatorios visibles están completos.</w:t>
      </w:r>
    </w:p>
    <w:p>
      <w:pPr>
        <w:spacing w:after="40"/>
        <w:ind w:left="360"/>
      </w:pPr>
      <w:r>
        <w:t>[ ] El cliente ve en todo momento qué capa está cursando, cuánto le falta y qué desbloquea al terminarla.</w:t>
      </w:r>
    </w:p>
    <w:p>
      <w:pPr>
        <w:spacing w:after="40"/>
        <w:ind w:left="360"/>
      </w:pPr>
      <w:r>
        <w:t>[ ] Al cerrar una capa se registra la fecha de cierre y el caso avanza de estado.</w:t>
      </w:r>
    </w:p>
    <w:p>
      <w:pPr>
        <w:spacing w:after="40"/>
        <w:ind w:left="360"/>
      </w:pPr>
      <w:r>
        <w:t>[ ] El cliente puede abandonar y retomar en el mismo punto sin perder lo cargado.</w:t>
      </w:r>
    </w:p>
    <w:p>
      <w:pPr>
        <w:spacing w:after="40"/>
        <w:ind w:left="360"/>
      </w:pPr>
      <w:r>
        <w:t>[ ] Completar una capa no requiere intervención manual de Klu para quedar registrada; la habilitación efectiva sí depende de la revisión de cumplimiento.</w:t>
      </w:r>
    </w:p>
    <w:p>
      <w:pPr>
        <w:spacing w:before="160"/>
      </w:pPr>
      <w:r>
        <w:rPr>
          <w:b/>
        </w:rPr>
        <w:t>P1 — Reapertura de capa</w:t>
      </w:r>
      <w:r>
        <w:t xml:space="preserve"> Criterios:</w:t>
      </w:r>
    </w:p>
    <w:p>
      <w:pPr>
        <w:spacing w:after="40"/>
        <w:ind w:left="360"/>
      </w:pPr>
      <w:r>
        <w:t>[ ] El analista puede reabrir una capa para pedir corrección, indicando qué se debe corregir.</w:t>
      </w:r>
    </w:p>
    <w:p>
      <w:pPr>
        <w:spacing w:after="40"/>
        <w:ind w:left="360"/>
      </w:pPr>
      <w:r>
        <w:t>[ ] El cliente recibe la notificación con el detalle y solo debe corregir lo señalado.</w:t>
      </w:r>
    </w:p>
    <w:p>
      <w:pPr>
        <w:pStyle w:val="Heading3"/>
      </w:pPr>
      <w:r>
        <w:t>7.4 Invitaciones y acceso del cliente</w:t>
      </w:r>
    </w:p>
    <w:p>
      <w:pPr>
        <w:spacing w:before="160"/>
      </w:pPr>
      <w:r>
        <w:rPr>
          <w:b/>
        </w:rPr>
        <w:t>P0 — Invitación por enlace personal</w:t>
      </w:r>
      <w:r>
        <w:t xml:space="preserve"> El cliente accede sin usuario ni contraseña, mediante un enlace único enviado por correo.</w:t>
      </w:r>
    </w:p>
    <w:p>
      <w:pPr>
        <w:spacing w:after="40"/>
        <w:ind w:left="360"/>
      </w:pPr>
      <w:r>
        <w:t>[ ] Cada invitación tiene un token único, no adivinable, asociado a un único caso.</w:t>
      </w:r>
    </w:p>
    <w:p>
      <w:pPr>
        <w:spacing w:after="40"/>
        <w:ind w:left="360"/>
      </w:pPr>
      <w:r>
        <w:t>[ ] La invitación tiene fecha de expiración configurable.</w:t>
      </w:r>
    </w:p>
    <w:p>
      <w:pPr>
        <w:spacing w:after="40"/>
        <w:ind w:left="360"/>
      </w:pPr>
      <w:r>
        <w:t>[ ] El sistema registra el ciclo de vida de la invitación: creada, enviada, abierta, verificada, expirada, revocada.</w:t>
      </w:r>
    </w:p>
    <w:p>
      <w:pPr>
        <w:spacing w:after="40"/>
        <w:ind w:left="360"/>
      </w:pPr>
      <w:r>
        <w:t>[ ] Se puede reenviar y revocar una invitación; al revocarla, el enlace deja de funcionar de inmediato.</w:t>
      </w:r>
    </w:p>
    <w:p>
      <w:pPr>
        <w:spacing w:before="160"/>
      </w:pPr>
      <w:r>
        <w:rPr>
          <w:b/>
        </w:rPr>
        <w:t>P0 — Verificación de identidad por identificación fiscal</w:t>
      </w:r>
      <w:r>
        <w:t xml:space="preserve"> Quien abre el enlace solo entra si conoce la identificación fiscal del invitado.</w:t>
      </w:r>
    </w:p>
    <w:p>
      <w:pPr>
        <w:spacing w:after="40"/>
        <w:ind w:left="360"/>
      </w:pPr>
      <w:r>
        <w:t>[ ] Antes de mostrar cualquier dato, se exige ingresar la identificación fiscal y debe coincidir con la del caso.</w:t>
      </w:r>
    </w:p>
    <w:p>
      <w:pPr>
        <w:spacing w:after="40"/>
        <w:ind w:left="360"/>
      </w:pPr>
      <w:r>
        <w:t>[ ] El sistema limita los intentos fallidos y bloquea el acceso al superarlos, exigiendo una nueva invitación.</w:t>
      </w:r>
    </w:p>
    <w:p>
      <w:pPr>
        <w:spacing w:after="40"/>
        <w:ind w:left="360"/>
      </w:pPr>
      <w:r>
        <w:t>[ ] El ingreso se valida por formato y, cuando la normativa lo permite, por dígito verificador.</w:t>
      </w:r>
    </w:p>
    <w:p>
      <w:pPr>
        <w:spacing w:after="40"/>
        <w:ind w:left="360"/>
      </w:pPr>
      <w:r>
        <w:t>[ ] Los intentos fallidos y la verificación exitosa quedan registrados con fecha y hora.</w:t>
      </w:r>
    </w:p>
    <w:p>
      <w:pPr>
        <w:spacing w:after="40"/>
        <w:ind w:left="360"/>
      </w:pPr>
      <w:r>
        <w:t>[ ] Superada la verificación, la sesión del cliente es temporal y está limitada a ese caso.</w:t>
      </w:r>
    </w:p>
    <w:p>
      <w:pPr>
        <w:spacing w:before="160"/>
      </w:pPr>
      <w:r>
        <w:rPr>
          <w:b/>
        </w:rPr>
        <w:t>P1 — Segundo factor opcional</w:t>
      </w:r>
      <w:r>
        <w:t xml:space="preserve"> Criterios:</w:t>
      </w:r>
    </w:p>
    <w:p>
      <w:pPr>
        <w:spacing w:after="40"/>
        <w:ind w:left="360"/>
      </w:pPr>
      <w:r>
        <w:t>[ ] El país puede exigir un código de un solo uso enviado por correo o SMS además de la identificación fiscal.</w:t>
      </w:r>
    </w:p>
    <w:p>
      <w:pPr>
        <w:pStyle w:val="Heading3"/>
      </w:pPr>
      <w:r>
        <w:t>7.5 Captura de datos y documentos</w:t>
      </w:r>
    </w:p>
    <w:p>
      <w:pPr>
        <w:spacing w:before="160"/>
      </w:pPr>
      <w:r>
        <w:rPr>
          <w:b/>
        </w:rPr>
        <w:t>P0 — Carga guiada con validación y guardado incremental</w:t>
      </w:r>
      <w:r>
        <w:t xml:space="preserve"> Criterios:</w:t>
      </w:r>
    </w:p>
    <w:p>
      <w:pPr>
        <w:spacing w:after="40"/>
        <w:ind w:left="360"/>
      </w:pPr>
      <w:r>
        <w:t>[ ] Cada paso valida en el momento y muestra el error en el campo específico, no un mensaje genérico.</w:t>
      </w:r>
    </w:p>
    <w:p>
      <w:pPr>
        <w:spacing w:after="40"/>
        <w:ind w:left="360"/>
      </w:pPr>
      <w:r>
        <w:t>[ ] Lo cargado se guarda al avanzar cada paso, sin necesidad de terminar la capa.</w:t>
      </w:r>
    </w:p>
    <w:p>
      <w:pPr>
        <w:spacing w:after="40"/>
        <w:ind w:left="360"/>
      </w:pPr>
      <w:r>
        <w:t>[ ] El flujo es utilizable desde teléfono.</w:t>
      </w:r>
    </w:p>
    <w:p>
      <w:pPr>
        <w:spacing w:after="40"/>
        <w:ind w:left="360"/>
      </w:pPr>
      <w:r>
        <w:t>[ ] Cada campo puede mostrar una explicación de por qué se pide y para qué se usa.</w:t>
      </w:r>
    </w:p>
    <w:p>
      <w:pPr>
        <w:spacing w:before="160"/>
      </w:pPr>
      <w:r>
        <w:rPr>
          <w:b/>
        </w:rPr>
        <w:t>P0 — Carga de documentación respaldatoria</w:t>
      </w:r>
      <w:r>
        <w:t xml:space="preserve"> Criterios:</w:t>
      </w:r>
    </w:p>
    <w:p>
      <w:pPr>
        <w:spacing w:after="40"/>
        <w:ind w:left="360"/>
      </w:pPr>
      <w:r>
        <w:t>[ ] El cliente puede adjuntar archivos (documento de identidad, estatutos, comprobantes de ingresos, estados contables) según lo que exija la capa.</w:t>
      </w:r>
    </w:p>
    <w:p>
      <w:pPr>
        <w:spacing w:after="40"/>
        <w:ind w:left="360"/>
      </w:pPr>
      <w:r>
        <w:t>[ ] Se validan formato y tamaño máximo, con mensaje claro al rechazar.</w:t>
      </w:r>
    </w:p>
    <w:p>
      <w:pPr>
        <w:spacing w:after="40"/>
        <w:ind w:left="360"/>
      </w:pPr>
      <w:r>
        <w:t>[ ] Cada documento queda asociado a la persona, al caso y al tipo documental, con fecha de carga.</w:t>
      </w:r>
    </w:p>
    <w:p>
      <w:pPr>
        <w:spacing w:after="40"/>
        <w:ind w:left="360"/>
      </w:pPr>
      <w:r>
        <w:t>[ ] Los documentos se almacenan en un repositorio privado; nunca son accesibles por URL pública.</w:t>
      </w:r>
    </w:p>
    <w:p>
      <w:pPr>
        <w:spacing w:after="40"/>
        <w:ind w:left="360"/>
      </w:pPr>
      <w:r>
        <w:t>[ ] Un documento puede reemplazarse conservando el histórico de versiones.</w:t>
      </w:r>
    </w:p>
    <w:p>
      <w:pPr>
        <w:spacing w:before="160"/>
      </w:pPr>
      <w:r>
        <w:rPr>
          <w:b/>
        </w:rPr>
        <w:t>P1 — Vigencia y vencimiento documental</w:t>
      </w:r>
      <w:r>
        <w:t xml:space="preserve"> Criterios:</w:t>
      </w:r>
    </w:p>
    <w:p>
      <w:pPr>
        <w:spacing w:after="40"/>
        <w:ind w:left="360"/>
      </w:pPr>
      <w:r>
        <w:t>[ ] Cada tipo documental puede tener una vigencia configurable; el sistema marca los documentos vencidos.</w:t>
      </w:r>
    </w:p>
    <w:p>
      <w:pPr>
        <w:spacing w:after="40"/>
        <w:ind w:left="360"/>
      </w:pPr>
      <w:r>
        <w:t>[ ] Los documentos vencidos se solicitan nuevamente en la siguiente actualización de legajo.</w:t>
      </w:r>
    </w:p>
    <w:p>
      <w:pPr>
        <w:spacing w:before="160"/>
      </w:pPr>
      <w:r>
        <w:rPr>
          <w:b/>
        </w:rPr>
        <w:t>P2 — Verificación asistida de identidad</w:t>
      </w:r>
      <w:r>
        <w:t xml:space="preserve"> Prueba de vida, cotejo biométrico y lectura automática del documento, cuando la normativa del país lo admita para clientes no presenciales.</w:t>
      </w:r>
    </w:p>
    <w:p>
      <w:pPr>
        <w:pStyle w:val="Heading3"/>
      </w:pPr>
      <w:r>
        <w:t>7.6 Controles de cumplimiento (screening)</w:t>
      </w:r>
    </w:p>
    <w:p>
      <w:pPr>
        <w:spacing w:before="160"/>
      </w:pPr>
      <w:r>
        <w:rPr>
          <w:b/>
        </w:rPr>
        <w:t>P0 — Motor de controles configurable por país</w:t>
      </w:r>
      <w:r>
        <w:t xml:space="preserve"> Cada país define su conjunto de controles obligatorios y el efecto de cada resultado.</w:t>
      </w:r>
    </w:p>
    <w:p>
      <w:pPr>
        <w:spacing w:after="40"/>
        <w:ind w:left="360"/>
      </w:pPr>
      <w:r>
        <w:t>[ ] Un país define controles con: código, nombre, descripción, sobre quién se aplica y efecto ante coincidencia (bloqueo, riesgo alto, aprobación especial).</w:t>
      </w:r>
    </w:p>
    <w:p>
      <w:pPr>
        <w:spacing w:after="40"/>
        <w:ind w:left="360"/>
      </w:pPr>
      <w:r>
        <w:t>[ ] Los controles se ejecutan sobre el cliente y sobre cada persona vinculada relevante (representantes y beneficiarios finales).</w:t>
      </w:r>
    </w:p>
    <w:p>
      <w:pPr>
        <w:spacing w:after="40"/>
        <w:ind w:left="360"/>
      </w:pPr>
      <w:r>
        <w:t>[ ] Cada control registra estado, resultado, evidencia, responsable y fecha.</w:t>
      </w:r>
    </w:p>
    <w:p>
      <w:pPr>
        <w:spacing w:after="40"/>
        <w:ind w:left="360"/>
      </w:pPr>
      <w:r>
        <w:t>[ ] Un control con efecto de bloqueo impide habilitar el cliente mientras no se resuelva.</w:t>
      </w:r>
    </w:p>
    <w:p>
      <w:pPr>
        <w:spacing w:after="40"/>
        <w:ind w:left="360"/>
      </w:pPr>
      <w:r>
        <w:t>[ ] Ningún caso puede aprobarse con controles obligatorios pendientes.</w:t>
      </w:r>
    </w:p>
    <w:p>
      <w:pPr>
        <w:spacing w:before="160"/>
      </w:pPr>
      <w:r>
        <w:rPr>
          <w:b/>
        </w:rPr>
        <w:t>P1 — Integración con fuentes automáticas</w:t>
      </w:r>
      <w:r>
        <w:t xml:space="preserve"> Criterios:</w:t>
      </w:r>
    </w:p>
    <w:p>
      <w:pPr>
        <w:spacing w:after="40"/>
        <w:ind w:left="360"/>
      </w:pPr>
      <w:r>
        <w:t>[ ] Los controles pueden resolverse consultando una fuente externa mediante integración, además de la carga manual.</w:t>
      </w:r>
    </w:p>
    <w:p>
      <w:pPr>
        <w:spacing w:after="40"/>
        <w:ind w:left="360"/>
      </w:pPr>
      <w:r>
        <w:t>[ ] Se conserva la respuesta cruda de la fuente como evidencia, con su fecha de consulta.</w:t>
      </w:r>
    </w:p>
    <w:p>
      <w:pPr>
        <w:spacing w:after="40"/>
        <w:ind w:left="360"/>
      </w:pPr>
      <w:r>
        <w:t>[ ] Ante indisponibilidad de la fuente, el control queda pendiente y se notifica; nunca se marca como aprobado por defecto.</w:t>
      </w:r>
    </w:p>
    <w:p>
      <w:pPr>
        <w:spacing w:before="160"/>
      </w:pPr>
      <w:r>
        <w:rPr>
          <w:b/>
        </w:rPr>
        <w:t>P1 — Re-screening periódico</w:t>
      </w:r>
      <w:r>
        <w:t xml:space="preserve"> Criterios:</w:t>
      </w:r>
    </w:p>
    <w:p>
      <w:pPr>
        <w:spacing w:after="40"/>
        <w:ind w:left="360"/>
      </w:pPr>
      <w:r>
        <w:t>[ ] Los controles de listas se vuelven a ejecutar periódicamente sobre la cartera activa.</w:t>
      </w:r>
    </w:p>
    <w:p>
      <w:pPr>
        <w:spacing w:after="40"/>
        <w:ind w:left="360"/>
      </w:pPr>
      <w:r>
        <w:t>[ ] Una coincidencia sobreviniente genera alerta al Oficial de Cumplimiento sobre el cliente ya habilitado.</w:t>
      </w:r>
    </w:p>
    <w:p>
      <w:pPr>
        <w:pStyle w:val="Heading3"/>
      </w:pPr>
      <w:r>
        <w:t>7.7 Riesgo y perfil transaccional</w:t>
      </w:r>
    </w:p>
    <w:p>
      <w:pPr>
        <w:spacing w:before="160"/>
      </w:pPr>
      <w:r>
        <w:rPr>
          <w:b/>
        </w:rPr>
        <w:t>P0 — Nivel de riesgo y diligencia asociada</w:t>
      </w:r>
      <w:r>
        <w:t xml:space="preserve"> Criterios:</w:t>
      </w:r>
    </w:p>
    <w:p>
      <w:pPr>
        <w:spacing w:after="40"/>
        <w:ind w:left="360"/>
      </w:pPr>
      <w:r>
        <w:t>[ ] Cada caso recibe un nivel de riesgo (alto / medio / bajo) según los factores definidos por el país.</w:t>
      </w:r>
    </w:p>
    <w:p>
      <w:pPr>
        <w:spacing w:after="40"/>
        <w:ind w:left="360"/>
      </w:pPr>
      <w:r>
        <w:t>[ ] El nivel de riesgo determina el tipo de diligencia y la periodicidad de actualización del legajo.</w:t>
      </w:r>
    </w:p>
    <w:p>
      <w:pPr>
        <w:spacing w:after="40"/>
        <w:ind w:left="360"/>
      </w:pPr>
      <w:r>
        <w:t>[ ] Determinados resultados de control fuerzan automáticamente el nivel de riesgo alto.</w:t>
      </w:r>
    </w:p>
    <w:p>
      <w:pPr>
        <w:spacing w:after="40"/>
        <w:ind w:left="360"/>
      </w:pPr>
      <w:r>
        <w:t>[ ] El nivel de riesgo asignado queda registrado con autor, fecha y fundamento.</w:t>
      </w:r>
    </w:p>
    <w:p>
      <w:pPr>
        <w:spacing w:before="160"/>
      </w:pPr>
      <w:r>
        <w:rPr>
          <w:b/>
        </w:rPr>
        <w:t>P0 — Perfil transaccional</w:t>
      </w:r>
      <w:r>
        <w:t xml:space="preserve"> El perfil expresa el volumen esperado de operación del cliente y es la base del monitoreo posterior.</w:t>
      </w:r>
    </w:p>
    <w:p>
      <w:pPr>
        <w:spacing w:after="40"/>
        <w:ind w:left="360"/>
      </w:pPr>
      <w:r>
        <w:t>[ ] El país define las reglas de cálculo del perfil según el tipo de cliente y la documentación aportada.</w:t>
      </w:r>
    </w:p>
    <w:p>
      <w:pPr>
        <w:spacing w:after="40"/>
        <w:ind w:left="360"/>
      </w:pPr>
      <w:r>
        <w:t>[ ] El sistema calcula un perfil sugerido y muestra la regla y los datos que lo sustentan.</w:t>
      </w:r>
    </w:p>
    <w:p>
      <w:pPr>
        <w:spacing w:after="40"/>
        <w:ind w:left="360"/>
      </w:pPr>
      <w:r>
        <w:t>[ ] Existe un perfil predeterminado aplicable cuando el cliente no aporta documentación de respaldo.</w:t>
      </w:r>
    </w:p>
    <w:p>
      <w:pPr>
        <w:spacing w:after="40"/>
        <w:ind w:left="360"/>
      </w:pPr>
      <w:r>
        <w:t>[ ] El Oficial de Cumplimiento puede ajustar el perfil dejando constancia del criterio aplicado.</w:t>
      </w:r>
    </w:p>
    <w:p>
      <w:pPr>
        <w:spacing w:after="40"/>
        <w:ind w:left="360"/>
      </w:pPr>
      <w:r>
        <w:t>[ ] El perfil vigente queda disponible para ser consumido por el monitoreo transaccional.</w:t>
      </w:r>
    </w:p>
    <w:p>
      <w:pPr>
        <w:spacing w:before="160"/>
      </w:pPr>
      <w:r>
        <w:rPr>
          <w:b/>
        </w:rPr>
        <w:t>P1 — Recalculo por cambio de información</w:t>
      </w:r>
      <w:r>
        <w:t xml:space="preserve"> Criterios:</w:t>
      </w:r>
    </w:p>
    <w:p>
      <w:pPr>
        <w:spacing w:after="40"/>
        <w:ind w:left="360"/>
      </w:pPr>
      <w:r>
        <w:t>[ ] Al completarse una capa que aporta información económica, el perfil se recalcula y se notifica al Oficial de Cumplimiento.</w:t>
      </w:r>
    </w:p>
    <w:p>
      <w:pPr>
        <w:pStyle w:val="Heading3"/>
      </w:pPr>
      <w:r>
        <w:t>7.8 Legajo, auditoría y conservación</w:t>
      </w:r>
    </w:p>
    <w:p>
      <w:pPr>
        <w:spacing w:before="160"/>
      </w:pPr>
      <w:r>
        <w:rPr>
          <w:b/>
        </w:rPr>
        <w:t>P0 — Legajo único y reconstruible</w:t>
      </w:r>
      <w:r>
        <w:t xml:space="preserve"> Criterios:</w:t>
      </w:r>
    </w:p>
    <w:p>
      <w:pPr>
        <w:spacing w:after="40"/>
        <w:ind w:left="360"/>
      </w:pPr>
      <w:r>
        <w:t>[ ] Cada cliente tiene un legajo que consolida datos, documentación, controles, riesgo, perfil y decisiones.</w:t>
      </w:r>
    </w:p>
    <w:p>
      <w:pPr>
        <w:spacing w:after="40"/>
        <w:ind w:left="360"/>
      </w:pPr>
      <w:r>
        <w:t>[ ] El legajo es exportable como documento único para presentación ante auditoría o supervisor.</w:t>
      </w:r>
    </w:p>
    <w:p>
      <w:pPr>
        <w:spacing w:after="40"/>
        <w:ind w:left="360"/>
      </w:pPr>
      <w:r>
        <w:t>[ ] Cada caso conserva la versión de reglas y formularios con la que fue completado.</w:t>
      </w:r>
    </w:p>
    <w:p>
      <w:pPr>
        <w:spacing w:before="160"/>
      </w:pPr>
      <w:r>
        <w:rPr>
          <w:b/>
        </w:rPr>
        <w:t>P0 — Bitácora completa</w:t>
      </w:r>
      <w:r>
        <w:t xml:space="preserve"> Criterios:</w:t>
      </w:r>
    </w:p>
    <w:p>
      <w:pPr>
        <w:spacing w:after="40"/>
        <w:ind w:left="360"/>
      </w:pPr>
      <w:r>
        <w:t>[ ] Toda acción relevante queda registrada: creación, invitación, verificación, carga, cierre de capa, control, riesgo y decisión.</w:t>
      </w:r>
    </w:p>
    <w:p>
      <w:pPr>
        <w:spacing w:after="40"/>
        <w:ind w:left="360"/>
      </w:pPr>
      <w:r>
        <w:t>[ ] Cada asiento registra autor (persona o sistema), fecha y hora y detalle.</w:t>
      </w:r>
    </w:p>
    <w:p>
      <w:pPr>
        <w:spacing w:after="40"/>
        <w:ind w:left="360"/>
      </w:pPr>
      <w:r>
        <w:t>[ ] La bitácora es de solo lectura; no puede editarse ni borrarse desde la aplicación.</w:t>
      </w:r>
    </w:p>
    <w:p>
      <w:pPr>
        <w:spacing w:before="160"/>
      </w:pPr>
      <w:r>
        <w:rPr>
          <w:b/>
        </w:rPr>
        <w:t>P0 — Conservación y ciclo de vida</w:t>
      </w:r>
      <w:r>
        <w:t xml:space="preserve"> Criterios:</w:t>
      </w:r>
    </w:p>
    <w:p>
      <w:pPr>
        <w:spacing w:after="40"/>
        <w:ind w:left="360"/>
      </w:pPr>
      <w:r>
        <w:t>[ ] La documentación y la evidencia se conservan por el plazo mínimo que fije cada país, contado según su normativa.</w:t>
      </w:r>
    </w:p>
    <w:p>
      <w:pPr>
        <w:spacing w:after="40"/>
        <w:ind w:left="360"/>
      </w:pPr>
      <w:r>
        <w:t>[ ] El sistema calcula la fecha de próxima actualización del legajo a partir del nivel de riesgo.</w:t>
      </w:r>
    </w:p>
    <w:p>
      <w:pPr>
        <w:spacing w:after="40"/>
        <w:ind w:left="360"/>
      </w:pPr>
      <w:r>
        <w:t>[ ] Se alerta con anticipación los legajos próximos a vencer y se listan los vencidos.</w:t>
      </w:r>
    </w:p>
    <w:p>
      <w:pPr>
        <w:spacing w:before="160"/>
      </w:pPr>
      <w:r>
        <w:rPr>
          <w:b/>
        </w:rPr>
        <w:t>P1 — Actualización periódica asistida</w:t>
      </w:r>
      <w:r>
        <w:t xml:space="preserve"> Criterios:</w:t>
      </w:r>
    </w:p>
    <w:p>
      <w:pPr>
        <w:spacing w:after="40"/>
        <w:ind w:left="360"/>
      </w:pPr>
      <w:r>
        <w:t>[ ] Se puede lanzar una actualización que reutiliza los datos vigentes y solicita solo lo que cambió o venció.</w:t>
      </w:r>
    </w:p>
    <w:p>
      <w:pPr>
        <w:spacing w:after="40"/>
        <w:ind w:left="360"/>
      </w:pPr>
      <w:r>
        <w:t>[ ] La negativa del cliente a actualizar queda registrada y habilita evaluar la continuidad de la relación.</w:t>
      </w:r>
    </w:p>
    <w:p>
      <w:pPr>
        <w:pStyle w:val="Heading3"/>
      </w:pPr>
      <w:r>
        <w:t>7.9 Integraciones y API</w:t>
      </w:r>
    </w:p>
    <w:p>
      <w:pPr>
        <w:spacing w:before="160"/>
      </w:pPr>
      <w:r>
        <w:rPr>
          <w:b/>
        </w:rPr>
        <w:t>P1 — API de alta y consulta</w:t>
      </w:r>
      <w:r>
        <w:t xml:space="preserve"> Criterios:</w:t>
      </w:r>
    </w:p>
    <w:p>
      <w:pPr>
        <w:spacing w:after="40"/>
        <w:ind w:left="360"/>
      </w:pPr>
      <w:r>
        <w:t>[ ] Los sistemas de Klu pueden crear casos de onboarding y consultar su estado por API autenticada.</w:t>
      </w:r>
    </w:p>
    <w:p>
      <w:pPr>
        <w:spacing w:after="40"/>
        <w:ind w:left="360"/>
      </w:pPr>
      <w:r>
        <w:t>[ ] La API expone el estado del cliente y su perfil vigente para que los productos decidan si habilitar la operación.</w:t>
      </w:r>
    </w:p>
    <w:p>
      <w:pPr>
        <w:spacing w:after="40"/>
        <w:ind w:left="360"/>
      </w:pPr>
      <w:r>
        <w:t>[ ] Toda llamada queda registrada con su origen.</w:t>
      </w:r>
    </w:p>
    <w:p>
      <w:pPr>
        <w:spacing w:before="160"/>
      </w:pPr>
      <w:r>
        <w:rPr>
          <w:b/>
        </w:rPr>
        <w:t>P1 — Notificaciones salientes</w:t>
      </w:r>
      <w:r>
        <w:t xml:space="preserve"> Criterios:</w:t>
      </w:r>
    </w:p>
    <w:p>
      <w:pPr>
        <w:spacing w:after="40"/>
        <w:ind w:left="360"/>
      </w:pPr>
      <w:r>
        <w:t>[ ] La plataforma notifica por webhook los cambios de estado relevantes: cliente habilitado, rechazado, bloqueado o legajo vencido.</w:t>
      </w:r>
    </w:p>
    <w:p>
      <w:pPr>
        <w:spacing w:after="40"/>
        <w:ind w:left="360"/>
      </w:pPr>
      <w:r>
        <w:t>[ ] Las notificaciones se firman y se reintentan ante fallo.</w:t>
      </w:r>
    </w:p>
    <w:p>
      <w:pPr>
        <w:spacing w:before="160"/>
      </w:pPr>
      <w:r>
        <w:rPr>
          <w:b/>
        </w:rPr>
        <w:t>P2 — Conectores regulatorios por país</w:t>
      </w:r>
      <w:r>
        <w:t xml:space="preserve"> Integración con registros y padrones oficiales de cada jurisdicción para resolver controles automáticamente.</w:t>
      </w:r>
    </w:p>
    <w:p>
      <w:pPr>
        <w:pStyle w:val="Heading3"/>
      </w:pPr>
      <w:r>
        <w:t>7.10 Seguridad, privacidad y protección de datos</w:t>
      </w:r>
    </w:p>
    <w:p>
      <w:pPr>
        <w:spacing w:before="160"/>
      </w:pPr>
      <w:r>
        <w:rPr>
          <w:b/>
        </w:rPr>
        <w:t>P0 — Control de acceso por rol</w:t>
      </w:r>
      <w:r>
        <w:t xml:space="preserve"> Criterios:</w:t>
      </w:r>
    </w:p>
    <w:p>
      <w:pPr>
        <w:spacing w:after="40"/>
        <w:ind w:left="360"/>
      </w:pPr>
      <w:r>
        <w:t>[ ] El acceso al back office exige autenticación y está segmentado por rol y por país.</w:t>
      </w:r>
    </w:p>
    <w:p>
      <w:pPr>
        <w:spacing w:after="40"/>
        <w:ind w:left="360"/>
      </w:pPr>
      <w:r>
        <w:t>[ ] Los resultados de screening y la decisión de aceptación solo son accesibles para los roles habilitados.</w:t>
      </w:r>
    </w:p>
    <w:p>
      <w:pPr>
        <w:spacing w:after="40"/>
        <w:ind w:left="360"/>
      </w:pPr>
      <w:r>
        <w:t>[ ] El acceso del cliente está limitado exclusivamente a su propio caso.</w:t>
      </w:r>
    </w:p>
    <w:p>
      <w:pPr>
        <w:spacing w:before="160"/>
      </w:pPr>
      <w:r>
        <w:rPr>
          <w:b/>
        </w:rPr>
        <w:t>P0 — Protección de la información</w:t>
      </w:r>
      <w:r>
        <w:t xml:space="preserve"> Criterios:</w:t>
      </w:r>
    </w:p>
    <w:p>
      <w:pPr>
        <w:spacing w:after="40"/>
        <w:ind w:left="360"/>
      </w:pPr>
      <w:r>
        <w:t>[ ] Los datos personales y la documentación se cifran en tránsito y en reposo.</w:t>
      </w:r>
    </w:p>
    <w:p>
      <w:pPr>
        <w:spacing w:after="40"/>
        <w:ind w:left="360"/>
      </w:pPr>
      <w:r>
        <w:t>[ ] El acceso a documentación queda registrado: quién la consultó y cuándo.</w:t>
      </w:r>
    </w:p>
    <w:p>
      <w:pPr>
        <w:spacing w:after="40"/>
        <w:ind w:left="360"/>
      </w:pPr>
      <w:r>
        <w:t>[ ] Ningún dato de cliente es accesible sin autenticación, ni siquiera conociendo un identificador interno.</w:t>
      </w:r>
    </w:p>
    <w:p>
      <w:pPr>
        <w:spacing w:after="40"/>
        <w:ind w:left="360"/>
      </w:pPr>
      <w:r>
        <w:t>[ ] Los entornos que no sean de producción no contienen datos personales reales.</w:t>
      </w:r>
    </w:p>
    <w:p>
      <w:pPr>
        <w:spacing w:before="160"/>
      </w:pPr>
      <w:r>
        <w:rPr>
          <w:b/>
        </w:rPr>
        <w:t>P1 — Cumplimiento de protección de datos personales</w:t>
      </w:r>
      <w:r>
        <w:t xml:space="preserve"> Criterios:</w:t>
      </w:r>
    </w:p>
    <w:p>
      <w:pPr>
        <w:spacing w:after="40"/>
        <w:ind w:left="360"/>
      </w:pPr>
      <w:r>
        <w:t>[ ] Se registra el consentimiento informado del cliente sobre el tratamiento de sus datos, con fecha y versión del texto.</w:t>
      </w:r>
    </w:p>
    <w:p>
      <w:pPr>
        <w:spacing w:after="40"/>
        <w:ind w:left="360"/>
      </w:pPr>
      <w:r>
        <w:t>[ ] Existe un procedimiento para atender solicitudes de acceso, rectificación y supresión, compatible con los plazos de conservación regulatoria.</w:t>
      </w:r>
    </w:p>
    <w:p>
      <w:pPr>
        <w:pStyle w:val="Heading3"/>
      </w:pPr>
      <w:r>
        <w:t>7.11 Observabilidad y métricas</w:t>
      </w:r>
    </w:p>
    <w:p>
      <w:pPr>
        <w:spacing w:before="160"/>
      </w:pPr>
      <w:r>
        <w:rPr>
          <w:b/>
        </w:rPr>
        <w:t>P1 — Métricas de proceso</w:t>
      </w:r>
      <w:r>
        <w:t xml:space="preserve"> Criterios:</w:t>
      </w:r>
    </w:p>
    <w:p>
      <w:pPr>
        <w:spacing w:after="40"/>
        <w:ind w:left="360"/>
      </w:pPr>
      <w:r>
        <w:t>[ ] Se mide conversión por capa y paso, tiempo de alta y puntos de abandono, segmentables por país, producto y tipo de cliente.</w:t>
      </w:r>
    </w:p>
    <w:p>
      <w:pPr>
        <w:spacing w:after="40"/>
        <w:ind w:left="360"/>
      </w:pPr>
      <w:r>
        <w:t>[ ] Se mide la carga de cumplimiento: casos pendientes, tiempo de resolución de controles y distribución de riesgo.</w:t>
      </w:r>
    </w:p>
    <w:p>
      <w:pPr>
        <w:spacing w:after="40"/>
        <w:ind w:left="360"/>
      </w:pPr>
      <w:r>
        <w:t>[ ] Los indicadores son exportables por período.</w:t>
      </w:r>
    </w:p>
    <w:p>
      <w:pPr>
        <w:pStyle w:val="Heading2"/>
      </w:pPr>
      <w:r>
        <w:t>8. Diseño de experiencia — resumen de flujos</w:t>
      </w:r>
    </w:p>
    <w:p>
      <w:r>
        <w:rPr>
          <w:b/>
          <w:i w:val="0"/>
        </w:rPr>
        <w:t>Alta iniciada por Klu:</w:t>
      </w:r>
    </w:p>
    <w:p>
      <w:r>
        <w:rPr>
          <w:b w:val="0"/>
          <w:i w:val="0"/>
        </w:rPr>
        <w:t>Analista crea el caso (país, producto, tipo de cliente, identificación fiscal, correo) → la plataforma reutiliza la persona si ya existe → se envía la invitación → el cliente verifica su identificación fiscal → completa la capa 1 → la plataforma ejecuta los controles → el Oficial de Cumplimiento asigna riesgo y resuelve → cliente habilitado para el producto.</w:t>
      </w:r>
    </w:p>
    <w:p>
      <w:r>
        <w:rPr>
          <w:b/>
          <w:i w:val="0"/>
        </w:rPr>
        <w:t>Ampliación de límites:</w:t>
      </w:r>
    </w:p>
    <w:p>
      <w:r>
        <w:rPr>
          <w:b w:val="0"/>
          <w:i w:val="0"/>
        </w:rPr>
        <w:t>El cliente habilitado recibe (o retoma) la invitación a la capa siguiente → aporta documentación económica → la plataforma recalcula el perfil transaccional sugerido → el Oficial de Cumplimiento lo valida o ajusta → se amplía el límite operativo.</w:t>
      </w:r>
    </w:p>
    <w:p>
      <w:r>
        <w:rPr>
          <w:b/>
          <w:i w:val="0"/>
        </w:rPr>
        <w:t>Cliente que vuelve por otro producto:</w:t>
      </w:r>
    </w:p>
    <w:p>
      <w:r>
        <w:rPr>
          <w:b w:val="0"/>
          <w:i w:val="0"/>
        </w:rPr>
        <w:t>Se crea el caso con la misma identificación fiscal → la plataforma reconoce a la persona y precarga su información vigente → solo se solicita lo específico del producto nuevo y lo que esté vencido.</w:t>
      </w:r>
    </w:p>
    <w:p>
      <w:r>
        <w:rPr>
          <w:b/>
          <w:i w:val="0"/>
        </w:rPr>
        <w:t>Actualización periódica de legajo:</w:t>
      </w:r>
    </w:p>
    <w:p>
      <w:r>
        <w:rPr>
          <w:b w:val="0"/>
          <w:i w:val="0"/>
        </w:rPr>
        <w:t>La plataforma marca el legajo por vencer según el nivel de riesgo → se lanza la actualización → el cliente confirma o corrige sus datos y repone documentación vencida → se vuelven a ejecutar los controles → se revalida el nivel de riesgo.</w:t>
      </w:r>
    </w:p>
    <w:p>
      <w:pPr>
        <w:pStyle w:val="Heading2"/>
      </w:pPr>
      <w:r>
        <w:t>9. Métricas de éxito</w:t>
      </w:r>
    </w:p>
    <w:p>
      <w:pPr>
        <w:pStyle w:val="Heading3"/>
      </w:pPr>
      <w:r>
        <w:t>Indicadores líderes (días–semanas)</w:t>
      </w:r>
    </w:p>
    <w:p>
      <w:pPr>
        <w:pStyle w:val="ListBullet"/>
        <w:spacing w:after="40"/>
        <w:ind w:left="360"/>
      </w:pPr>
      <w:r>
        <w:t>Tasa de conversión de invitación a capa 1 completa.</w:t>
      </w:r>
    </w:p>
    <w:p>
      <w:pPr>
        <w:pStyle w:val="ListBullet"/>
        <w:spacing w:after="40"/>
        <w:ind w:left="360"/>
      </w:pPr>
      <w:r>
        <w:t>Tiempo mediano desde la invitación hasta el cliente habilitado.</w:t>
      </w:r>
    </w:p>
    <w:p>
      <w:pPr>
        <w:pStyle w:val="ListBullet"/>
        <w:spacing w:after="40"/>
        <w:ind w:left="360"/>
      </w:pPr>
      <w:r>
        <w:t>Porcentaje de datos reutilizados: campos precargados sobre el total en clientes recurrentes.</w:t>
      </w:r>
    </w:p>
    <w:p>
      <w:pPr>
        <w:pStyle w:val="ListBullet"/>
        <w:spacing w:after="40"/>
        <w:ind w:left="360"/>
      </w:pPr>
      <w:r>
        <w:t>Proporción de altas sin retrabajo (sin reapertura de capa por datos incorrectos).</w:t>
      </w:r>
    </w:p>
    <w:p>
      <w:pPr>
        <w:pStyle w:val="ListBullet"/>
        <w:spacing w:after="40"/>
        <w:ind w:left="360"/>
      </w:pPr>
      <w:r>
        <w:t>Tiempo mediano de resolución de controles de cumplimiento.</w:t>
      </w:r>
    </w:p>
    <w:p>
      <w:pPr>
        <w:pStyle w:val="Heading3"/>
      </w:pPr>
      <w:r>
        <w:t>Indicadores rezagados (semanas–meses)</w:t>
      </w:r>
    </w:p>
    <w:p>
      <w:pPr>
        <w:pStyle w:val="ListBullet"/>
        <w:spacing w:after="40"/>
        <w:ind w:left="360"/>
      </w:pPr>
      <w:r>
        <w:t>Costo operativo por alta.</w:t>
      </w:r>
    </w:p>
    <w:p>
      <w:pPr>
        <w:pStyle w:val="ListBullet"/>
        <w:spacing w:after="40"/>
        <w:ind w:left="360"/>
      </w:pPr>
      <w:r>
        <w:t>Porcentaje de legajos completos y vigentes sobre la cartera activa.</w:t>
      </w:r>
    </w:p>
    <w:p>
      <w:pPr>
        <w:pStyle w:val="ListBullet"/>
        <w:spacing w:after="40"/>
        <w:ind w:left="360"/>
      </w:pPr>
      <w:r>
        <w:t>Hallazgos de auditoría interna o del revisor externo sobre el proceso de identificación.</w:t>
      </w:r>
    </w:p>
    <w:p>
      <w:pPr>
        <w:pStyle w:val="ListBullet"/>
        <w:spacing w:after="40"/>
        <w:ind w:left="360"/>
      </w:pPr>
      <w:r>
        <w:t>Tiempo y esfuerzo necesarios para habilitar un país nuevo.</w:t>
      </w:r>
    </w:p>
    <w:p>
      <w:pPr>
        <w:pStyle w:val="ListBullet"/>
        <w:spacing w:after="40"/>
        <w:ind w:left="360"/>
      </w:pPr>
      <w:r>
        <w:t>Porcentaje de clientes que amplían su perfil transaccional (avance a capas superiores).</w:t>
      </w:r>
    </w:p>
    <w:p>
      <w:pPr>
        <w:pStyle w:val="Heading2"/>
      </w:pPr>
      <w:r>
        <w:t>10. Preguntas abiertas</w:t>
      </w:r>
    </w:p>
    <w:tbl>
      <w:tblPr>
        <w:tblStyle w:val="TableGrid"/>
        <w:tblW w:type="auto" w:w="0"/>
        <w:tblLook w:firstColumn="1" w:firstRow="1" w:lastColumn="0" w:lastRow="0" w:noHBand="0" w:noVBand="1" w:val="04A0"/>
      </w:tblPr>
      <w:tblGrid>
        <w:gridCol w:w="2257"/>
        <w:gridCol w:w="2257"/>
        <w:gridCol w:w="2257"/>
        <w:gridCol w:w="2257"/>
      </w:tblGrid>
      <w:tr>
        <w:tc>
          <w:tcPr>
            <w:tcW w:type="dxa" w:w="504"/>
          </w:tcPr>
          <w:p>
            <w:r/>
            <w:r>
              <w:rPr>
                <w:b/>
                <w:color w:val="0B3C36"/>
                <w:sz w:val="19"/>
              </w:rPr>
              <w:t>#</w:t>
            </w:r>
          </w:p>
        </w:tc>
        <w:tc>
          <w:tcPr>
            <w:tcW w:type="dxa" w:w="4896"/>
          </w:tcPr>
          <w:p>
            <w:r/>
            <w:r>
              <w:rPr>
                <w:b/>
                <w:color w:val="0B3C36"/>
                <w:sz w:val="19"/>
              </w:rPr>
              <w:t>Pregunta</w:t>
            </w:r>
          </w:p>
        </w:tc>
        <w:tc>
          <w:tcPr>
            <w:tcW w:type="dxa" w:w="2160"/>
          </w:tcPr>
          <w:p>
            <w:r/>
            <w:r>
              <w:rPr>
                <w:b/>
                <w:color w:val="0B3C36"/>
                <w:sz w:val="19"/>
              </w:rPr>
              <w:t>Responsable</w:t>
            </w:r>
          </w:p>
        </w:tc>
        <w:tc>
          <w:tcPr>
            <w:tcW w:type="dxa" w:w="1512"/>
          </w:tcPr>
          <w:p>
            <w:r/>
            <w:r>
              <w:rPr>
                <w:b/>
                <w:color w:val="0B3C36"/>
                <w:sz w:val="19"/>
              </w:rPr>
              <w:t>Bloqueante</w:t>
            </w:r>
          </w:p>
        </w:tc>
      </w:tr>
      <w:tr>
        <w:tc>
          <w:tcPr>
            <w:tcW w:type="dxa" w:w="504"/>
          </w:tcPr>
          <w:p>
            <w:r/>
            <w:r>
              <w:rPr>
                <w:sz w:val="19"/>
              </w:rPr>
              <w:t>1</w:t>
            </w:r>
          </w:p>
        </w:tc>
        <w:tc>
          <w:tcPr>
            <w:tcW w:type="dxa" w:w="4896"/>
          </w:tcPr>
          <w:p>
            <w:r/>
            <w:r>
              <w:rPr>
                <w:sz w:val="19"/>
              </w:rPr>
              <w:t>¿Qué fuentes automáticas se contratan para resolver el screening de listas y padrones en cada país?</w:t>
            </w:r>
          </w:p>
        </w:tc>
        <w:tc>
          <w:tcPr>
            <w:tcW w:type="dxa" w:w="2160"/>
          </w:tcPr>
          <w:p>
            <w:r/>
            <w:r>
              <w:rPr>
                <w:sz w:val="19"/>
              </w:rPr>
              <w:t>Cumplimiento + Ingeniería</w:t>
            </w:r>
          </w:p>
        </w:tc>
        <w:tc>
          <w:tcPr>
            <w:tcW w:type="dxa" w:w="1512"/>
          </w:tcPr>
          <w:p>
            <w:r/>
            <w:r>
              <w:rPr>
                <w:sz w:val="19"/>
              </w:rPr>
              <w:t>Sí (define §7.6)</w:t>
            </w:r>
          </w:p>
        </w:tc>
      </w:tr>
      <w:tr>
        <w:tc>
          <w:tcPr>
            <w:tcW w:type="dxa" w:w="504"/>
          </w:tcPr>
          <w:p>
            <w:r/>
            <w:r>
              <w:rPr>
                <w:sz w:val="19"/>
              </w:rPr>
              <w:t>2</w:t>
            </w:r>
          </w:p>
        </w:tc>
        <w:tc>
          <w:tcPr>
            <w:tcW w:type="dxa" w:w="4896"/>
          </w:tcPr>
          <w:p>
            <w:r/>
            <w:r>
              <w:rPr>
                <w:sz w:val="19"/>
              </w:rPr>
              <w:t>¿La plataforma consume el perfil transaccional desde el monitoreo, o lo publica hacia él? Definir el contrato.</w:t>
            </w:r>
          </w:p>
        </w:tc>
        <w:tc>
          <w:tcPr>
            <w:tcW w:type="dxa" w:w="2160"/>
          </w:tcPr>
          <w:p>
            <w:r/>
            <w:r>
              <w:rPr>
                <w:sz w:val="19"/>
              </w:rPr>
              <w:t>Producto + Ingeniería</w:t>
            </w:r>
          </w:p>
        </w:tc>
        <w:tc>
          <w:tcPr>
            <w:tcW w:type="dxa" w:w="1512"/>
          </w:tcPr>
          <w:p>
            <w:r/>
            <w:r>
              <w:rPr>
                <w:sz w:val="19"/>
              </w:rPr>
              <w:t>Sí</w:t>
            </w:r>
          </w:p>
        </w:tc>
      </w:tr>
      <w:tr>
        <w:tc>
          <w:tcPr>
            <w:tcW w:type="dxa" w:w="504"/>
          </w:tcPr>
          <w:p>
            <w:r/>
            <w:r>
              <w:rPr>
                <w:sz w:val="19"/>
              </w:rPr>
              <w:t>3</w:t>
            </w:r>
          </w:p>
        </w:tc>
        <w:tc>
          <w:tcPr>
            <w:tcW w:type="dxa" w:w="4896"/>
          </w:tcPr>
          <w:p>
            <w:r/>
            <w:r>
              <w:rPr>
                <w:sz w:val="19"/>
              </w:rPr>
              <w:t>¿Se admite onboarding no presencial pleno en cada jurisdicción, o alguna exige instancia presencial o biometría?</w:t>
            </w:r>
          </w:p>
        </w:tc>
        <w:tc>
          <w:tcPr>
            <w:tcW w:type="dxa" w:w="2160"/>
          </w:tcPr>
          <w:p>
            <w:r/>
            <w:r>
              <w:rPr>
                <w:sz w:val="19"/>
              </w:rPr>
              <w:t>Cumplimiento (por país)</w:t>
            </w:r>
          </w:p>
        </w:tc>
        <w:tc>
          <w:tcPr>
            <w:tcW w:type="dxa" w:w="1512"/>
          </w:tcPr>
          <w:p>
            <w:r/>
            <w:r>
              <w:rPr>
                <w:sz w:val="19"/>
              </w:rPr>
              <w:t>Sí (define §7.5 P2)</w:t>
            </w:r>
          </w:p>
        </w:tc>
      </w:tr>
      <w:tr>
        <w:tc>
          <w:tcPr>
            <w:tcW w:type="dxa" w:w="504"/>
          </w:tcPr>
          <w:p>
            <w:r/>
            <w:r>
              <w:rPr>
                <w:sz w:val="19"/>
              </w:rPr>
              <w:t>4</w:t>
            </w:r>
          </w:p>
        </w:tc>
        <w:tc>
          <w:tcPr>
            <w:tcW w:type="dxa" w:w="4896"/>
          </w:tcPr>
          <w:p>
            <w:r/>
            <w:r>
              <w:rPr>
                <w:sz w:val="19"/>
              </w:rPr>
              <w:t>¿Dónde deben residir físicamente los datos de cada país? ¿Hay exigencia de localización?</w:t>
            </w:r>
          </w:p>
        </w:tc>
        <w:tc>
          <w:tcPr>
            <w:tcW w:type="dxa" w:w="2160"/>
          </w:tcPr>
          <w:p>
            <w:r/>
            <w:r>
              <w:rPr>
                <w:sz w:val="19"/>
              </w:rPr>
              <w:t>Legal + Ingeniería</w:t>
            </w:r>
          </w:p>
        </w:tc>
        <w:tc>
          <w:tcPr>
            <w:tcW w:type="dxa" w:w="1512"/>
          </w:tcPr>
          <w:p>
            <w:r/>
            <w:r>
              <w:rPr>
                <w:sz w:val="19"/>
              </w:rPr>
              <w:t>Sí</w:t>
            </w:r>
          </w:p>
        </w:tc>
      </w:tr>
      <w:tr>
        <w:tc>
          <w:tcPr>
            <w:tcW w:type="dxa" w:w="504"/>
          </w:tcPr>
          <w:p>
            <w:r/>
            <w:r>
              <w:rPr>
                <w:sz w:val="19"/>
              </w:rPr>
              <w:t>5</w:t>
            </w:r>
          </w:p>
        </w:tc>
        <w:tc>
          <w:tcPr>
            <w:tcW w:type="dxa" w:w="4896"/>
          </w:tcPr>
          <w:p>
            <w:r/>
            <w:r>
              <w:rPr>
                <w:sz w:val="19"/>
              </w:rPr>
              <w:t>¿Qué autenticación corporativa se usa para el back office y quién administra los roles?</w:t>
            </w:r>
          </w:p>
        </w:tc>
        <w:tc>
          <w:tcPr>
            <w:tcW w:type="dxa" w:w="2160"/>
          </w:tcPr>
          <w:p>
            <w:r/>
            <w:r>
              <w:rPr>
                <w:sz w:val="19"/>
              </w:rPr>
              <w:t>Ingeniería + Seguridad</w:t>
            </w:r>
          </w:p>
        </w:tc>
        <w:tc>
          <w:tcPr>
            <w:tcW w:type="dxa" w:w="1512"/>
          </w:tcPr>
          <w:p>
            <w:r/>
            <w:r>
              <w:rPr>
                <w:sz w:val="19"/>
              </w:rPr>
              <w:t>No</w:t>
            </w:r>
          </w:p>
        </w:tc>
      </w:tr>
      <w:tr>
        <w:tc>
          <w:tcPr>
            <w:tcW w:type="dxa" w:w="504"/>
          </w:tcPr>
          <w:p>
            <w:r/>
            <w:r>
              <w:rPr>
                <w:sz w:val="19"/>
              </w:rPr>
              <w:t>6</w:t>
            </w:r>
          </w:p>
        </w:tc>
        <w:tc>
          <w:tcPr>
            <w:tcW w:type="dxa" w:w="4896"/>
          </w:tcPr>
          <w:p>
            <w:r/>
            <w:r>
              <w:rPr>
                <w:sz w:val="19"/>
              </w:rPr>
              <w:t>El Manual PLA/FT fija actualización de legajo de riesgo medio cada 3 años; material interno de onboarding indica 2. Confirmar el criterio vigente.</w:t>
            </w:r>
          </w:p>
        </w:tc>
        <w:tc>
          <w:tcPr>
            <w:tcW w:type="dxa" w:w="2160"/>
          </w:tcPr>
          <w:p>
            <w:r/>
            <w:r>
              <w:rPr>
                <w:sz w:val="19"/>
              </w:rPr>
              <w:t>Cumplimiento AR</w:t>
            </w:r>
          </w:p>
        </w:tc>
        <w:tc>
          <w:tcPr>
            <w:tcW w:type="dxa" w:w="1512"/>
          </w:tcPr>
          <w:p>
            <w:r/>
            <w:r>
              <w:rPr>
                <w:sz w:val="19"/>
              </w:rPr>
              <w:t>No (afecta §A.7)</w:t>
            </w:r>
          </w:p>
        </w:tc>
      </w:tr>
      <w:tr>
        <w:tc>
          <w:tcPr>
            <w:tcW w:type="dxa" w:w="504"/>
          </w:tcPr>
          <w:p>
            <w:r/>
            <w:r>
              <w:rPr>
                <w:sz w:val="19"/>
              </w:rPr>
              <w:t>7</w:t>
            </w:r>
          </w:p>
        </w:tc>
        <w:tc>
          <w:tcPr>
            <w:tcW w:type="dxa" w:w="4896"/>
          </w:tcPr>
          <w:p>
            <w:r/>
            <w:r>
              <w:rPr>
                <w:sz w:val="19"/>
              </w:rPr>
              <w:t>¿Cuál es el catálogo definitivo de productos por país y qué capas corresponden a cada uno?</w:t>
            </w:r>
          </w:p>
        </w:tc>
        <w:tc>
          <w:tcPr>
            <w:tcW w:type="dxa" w:w="2160"/>
          </w:tcPr>
          <w:p>
            <w:r/>
            <w:r>
              <w:rPr>
                <w:sz w:val="19"/>
              </w:rPr>
              <w:t>Producto + Negocio</w:t>
            </w:r>
          </w:p>
        </w:tc>
        <w:tc>
          <w:tcPr>
            <w:tcW w:type="dxa" w:w="1512"/>
          </w:tcPr>
          <w:p>
            <w:r/>
            <w:r>
              <w:rPr>
                <w:sz w:val="19"/>
              </w:rPr>
              <w:t>Sí (define anexos)</w:t>
            </w:r>
          </w:p>
        </w:tc>
      </w:tr>
      <w:tr>
        <w:tc>
          <w:tcPr>
            <w:tcW w:type="dxa" w:w="504"/>
          </w:tcPr>
          <w:p>
            <w:r/>
            <w:r>
              <w:rPr>
                <w:sz w:val="19"/>
              </w:rPr>
              <w:t>8</w:t>
            </w:r>
          </w:p>
        </w:tc>
        <w:tc>
          <w:tcPr>
            <w:tcW w:type="dxa" w:w="4896"/>
          </w:tcPr>
          <w:p>
            <w:r/>
            <w:r>
              <w:rPr>
                <w:sz w:val="19"/>
              </w:rPr>
              <w:t>¿Qué política de retención aplica cuando conservación regulatoria y derecho de supresión entran en conflicto?</w:t>
            </w:r>
          </w:p>
        </w:tc>
        <w:tc>
          <w:tcPr>
            <w:tcW w:type="dxa" w:w="2160"/>
          </w:tcPr>
          <w:p>
            <w:r/>
            <w:r>
              <w:rPr>
                <w:sz w:val="19"/>
              </w:rPr>
              <w:t>Legal</w:t>
            </w:r>
          </w:p>
        </w:tc>
        <w:tc>
          <w:tcPr>
            <w:tcW w:type="dxa" w:w="1512"/>
          </w:tcPr>
          <w:p>
            <w:r/>
            <w:r>
              <w:rPr>
                <w:sz w:val="19"/>
              </w:rPr>
              <w:t>No</w:t>
            </w:r>
          </w:p>
        </w:tc>
      </w:tr>
      <w:tr>
        <w:tc>
          <w:tcPr>
            <w:tcW w:type="dxa" w:w="504"/>
          </w:tcPr>
          <w:p>
            <w:r/>
            <w:r>
              <w:rPr>
                <w:sz w:val="19"/>
              </w:rPr>
              <w:t>9</w:t>
            </w:r>
          </w:p>
        </w:tc>
        <w:tc>
          <w:tcPr>
            <w:tcW w:type="dxa" w:w="4896"/>
          </w:tcPr>
          <w:p>
            <w:r/>
            <w:r>
              <w:rPr>
                <w:sz w:val="19"/>
              </w:rPr>
              <w:t>¿Se requiere flujo específico para clientes que son Sujeto Obligado, con diligencia reforzada propia?</w:t>
            </w:r>
          </w:p>
        </w:tc>
        <w:tc>
          <w:tcPr>
            <w:tcW w:type="dxa" w:w="2160"/>
          </w:tcPr>
          <w:p>
            <w:r/>
            <w:r>
              <w:rPr>
                <w:sz w:val="19"/>
              </w:rPr>
              <w:t>Cumplimiento</w:t>
            </w:r>
          </w:p>
        </w:tc>
        <w:tc>
          <w:tcPr>
            <w:tcW w:type="dxa" w:w="1512"/>
          </w:tcPr>
          <w:p>
            <w:r/>
            <w:r>
              <w:rPr>
                <w:sz w:val="19"/>
              </w:rPr>
              <w:t>No</w:t>
            </w:r>
          </w:p>
        </w:tc>
      </w:tr>
      <w:tr>
        <w:tc>
          <w:tcPr>
            <w:tcW w:type="dxa" w:w="504"/>
          </w:tcPr>
          <w:p>
            <w:r/>
            <w:r>
              <w:rPr>
                <w:sz w:val="19"/>
              </w:rPr>
              <w:t>10</w:t>
            </w:r>
          </w:p>
        </w:tc>
        <w:tc>
          <w:tcPr>
            <w:tcW w:type="dxa" w:w="4896"/>
          </w:tcPr>
          <w:p>
            <w:r/>
            <w:r>
              <w:rPr>
                <w:sz w:val="19"/>
              </w:rPr>
              <w:t>¿Quién aprueba el alta cuando el Oficial de Cumplimiento está ausente? Definir suplencia en el sistema.</w:t>
            </w:r>
          </w:p>
        </w:tc>
        <w:tc>
          <w:tcPr>
            <w:tcW w:type="dxa" w:w="2160"/>
          </w:tcPr>
          <w:p>
            <w:r/>
            <w:r>
              <w:rPr>
                <w:sz w:val="19"/>
              </w:rPr>
              <w:t>Cumplimiento</w:t>
            </w:r>
          </w:p>
        </w:tc>
        <w:tc>
          <w:tcPr>
            <w:tcW w:type="dxa" w:w="1512"/>
          </w:tcPr>
          <w:p>
            <w:r/>
            <w:r>
              <w:rPr>
                <w:sz w:val="19"/>
              </w:rPr>
              <w:t>No</w:t>
            </w:r>
          </w:p>
        </w:tc>
      </w:tr>
    </w:tbl>
    <w:p>
      <w:pPr>
        <w:spacing w:after="40"/>
      </w:pPr>
    </w:p>
    <w:p>
      <w:pPr>
        <w:pStyle w:val="Heading2"/>
      </w:pPr>
      <w:r>
        <w:t>11. Consideraciones de tiempo y fases</w:t>
      </w:r>
    </w:p>
    <w:tbl>
      <w:tblPr>
        <w:tblStyle w:val="TableGrid"/>
        <w:tblW w:type="auto" w:w="0"/>
        <w:tblLook w:firstColumn="1" w:firstRow="1" w:lastColumn="0" w:lastRow="0" w:noHBand="0" w:noVBand="1" w:val="04A0"/>
      </w:tblPr>
      <w:tblGrid>
        <w:gridCol w:w="3010"/>
        <w:gridCol w:w="3010"/>
        <w:gridCol w:w="3010"/>
      </w:tblGrid>
      <w:tr>
        <w:tc>
          <w:tcPr>
            <w:tcW w:type="dxa" w:w="1728"/>
          </w:tcPr>
          <w:p>
            <w:r/>
            <w:r>
              <w:rPr>
                <w:b/>
                <w:color w:val="0B3C36"/>
                <w:sz w:val="19"/>
              </w:rPr>
              <w:t>Fase</w:t>
            </w:r>
          </w:p>
        </w:tc>
        <w:tc>
          <w:tcPr>
            <w:tcW w:type="dxa" w:w="4752"/>
          </w:tcPr>
          <w:p>
            <w:r/>
            <w:r>
              <w:rPr>
                <w:b/>
                <w:color w:val="0B3C36"/>
                <w:sz w:val="19"/>
              </w:rPr>
              <w:t>Alcance</w:t>
            </w:r>
          </w:p>
        </w:tc>
        <w:tc>
          <w:tcPr>
            <w:tcW w:type="dxa" w:w="2592"/>
          </w:tcPr>
          <w:p>
            <w:r/>
            <w:r>
              <w:rPr>
                <w:b/>
                <w:color w:val="0B3C36"/>
                <w:sz w:val="19"/>
              </w:rPr>
              <w:t>Resultado esperado</w:t>
            </w:r>
          </w:p>
        </w:tc>
      </w:tr>
      <w:tr>
        <w:tc>
          <w:tcPr>
            <w:tcW w:type="dxa" w:w="1728"/>
          </w:tcPr>
          <w:p>
            <w:r/>
            <w:r>
              <w:rPr>
                <w:sz w:val="19"/>
              </w:rPr>
              <w:t>Fase 1 — Núcleo</w:t>
            </w:r>
          </w:p>
        </w:tc>
        <w:tc>
          <w:tcPr>
            <w:tcW w:type="dxa" w:w="4752"/>
          </w:tcPr>
          <w:p>
            <w:r/>
            <w:r>
              <w:rPr>
                <w:sz w:val="19"/>
              </w:rPr>
              <w:t>Multi-tenancy, registro único de personas, motor de capas, invitaciones con verificación, captura y documentos, controles manuales, riesgo y perfil, legajo y bitácora. Un país en producción (Argentina).</w:t>
            </w:r>
          </w:p>
        </w:tc>
        <w:tc>
          <w:tcPr>
            <w:tcW w:type="dxa" w:w="2592"/>
          </w:tcPr>
          <w:p>
            <w:r/>
            <w:r>
              <w:rPr>
                <w:sz w:val="19"/>
              </w:rPr>
              <w:t>Alta de clientes de punta a punta en un país, con legajo auditable.</w:t>
            </w:r>
          </w:p>
        </w:tc>
      </w:tr>
      <w:tr>
        <w:tc>
          <w:tcPr>
            <w:tcW w:type="dxa" w:w="1728"/>
          </w:tcPr>
          <w:p>
            <w:r/>
            <w:r>
              <w:rPr>
                <w:sz w:val="19"/>
              </w:rPr>
              <w:t>Fase 2 — Automatización</w:t>
            </w:r>
          </w:p>
        </w:tc>
        <w:tc>
          <w:tcPr>
            <w:tcW w:type="dxa" w:w="4752"/>
          </w:tcPr>
          <w:p>
            <w:r/>
            <w:r>
              <w:rPr>
                <w:sz w:val="19"/>
              </w:rPr>
              <w:t>Integración con fuentes de screening, re-screening periódico, actualización asistida de legajo, API y webhooks.</w:t>
            </w:r>
          </w:p>
        </w:tc>
        <w:tc>
          <w:tcPr>
            <w:tcW w:type="dxa" w:w="2592"/>
          </w:tcPr>
          <w:p>
            <w:r/>
            <w:r>
              <w:rPr>
                <w:sz w:val="19"/>
              </w:rPr>
              <w:t>Menor carga manual de cumplimiento y trazabilidad automática.</w:t>
            </w:r>
          </w:p>
        </w:tc>
      </w:tr>
      <w:tr>
        <w:tc>
          <w:tcPr>
            <w:tcW w:type="dxa" w:w="1728"/>
          </w:tcPr>
          <w:p>
            <w:r/>
            <w:r>
              <w:rPr>
                <w:sz w:val="19"/>
              </w:rPr>
              <w:t>Fase 3 — Expansión</w:t>
            </w:r>
          </w:p>
        </w:tc>
        <w:tc>
          <w:tcPr>
            <w:tcW w:type="dxa" w:w="4752"/>
          </w:tcPr>
          <w:p>
            <w:r/>
            <w:r>
              <w:rPr>
                <w:sz w:val="19"/>
              </w:rPr>
              <w:t>Alta de Colombia y Perú como configuración, legajo propio de personas vinculadas, verificación asistida de identidad.</w:t>
            </w:r>
          </w:p>
        </w:tc>
        <w:tc>
          <w:tcPr>
            <w:tcW w:type="dxa" w:w="2592"/>
          </w:tcPr>
          <w:p>
            <w:r/>
            <w:r>
              <w:rPr>
                <w:sz w:val="19"/>
              </w:rPr>
              <w:t>Operación multi-país sin desarrollo específico por jurisdicción.</w:t>
            </w:r>
          </w:p>
        </w:tc>
      </w:tr>
    </w:tbl>
    <w:p>
      <w:pPr>
        <w:spacing w:after="40"/>
      </w:pPr>
    </w:p>
    <w:p>
      <w:r>
        <w:rPr>
          <w:b w:val="0"/>
          <w:i/>
          <w:color w:val="575759"/>
        </w:rPr>
        <w:t>La secuencia responde a una premisa: primero validar que un país funciona de punta a punta con controles manuales, y recién después automatizar. Automatizar un proceso que todavía no está bien definido multiplica el costo del cambio.</w:t>
      </w:r>
    </w:p>
    <w:p>
      <w:r>
        <w:br w:type="page"/>
      </w:r>
    </w:p>
    <w:p>
      <w:pPr>
        <w:pStyle w:val="Heading2"/>
      </w:pPr>
      <w:r>
        <w:t>12. Anexo A — Argentina</w:t>
      </w:r>
    </w:p>
    <w:p>
      <w:r>
        <w:rPr>
          <w:b w:val="0"/>
          <w:i/>
          <w:color w:val="575759"/>
        </w:rPr>
        <w:t>Eje no tecnológico: marco regulatorio aplicable y catálogo de productos. Fuente: Manual de Prevención LA/FT/FP v1.0 (aprobado 24/11/2025) de Simple Payments SAS, registro BCRA N° 34.663, y normativa citada en él.</w:t>
      </w:r>
    </w:p>
    <w:p>
      <w:pPr>
        <w:pStyle w:val="Heading3"/>
      </w:pPr>
      <w:r>
        <w:t>A.1 Marco normativo aplicable</w:t>
      </w:r>
    </w:p>
    <w:tbl>
      <w:tblPr>
        <w:tblStyle w:val="TableGrid"/>
        <w:tblW w:type="auto" w:w="0"/>
        <w:tblLook w:firstColumn="1" w:firstRow="1" w:lastColumn="0" w:lastRow="0" w:noHBand="0" w:noVBand="1" w:val="04A0"/>
      </w:tblPr>
      <w:tblGrid>
        <w:gridCol w:w="3010"/>
        <w:gridCol w:w="3010"/>
        <w:gridCol w:w="3010"/>
      </w:tblGrid>
      <w:tr>
        <w:tc>
          <w:tcPr>
            <w:tcW w:type="dxa" w:w="2016"/>
          </w:tcPr>
          <w:p>
            <w:r/>
            <w:r>
              <w:rPr>
                <w:b/>
                <w:color w:val="0B3C36"/>
                <w:sz w:val="19"/>
              </w:rPr>
              <w:t>Norma</w:t>
            </w:r>
          </w:p>
        </w:tc>
        <w:tc>
          <w:tcPr>
            <w:tcW w:type="dxa" w:w="3744"/>
          </w:tcPr>
          <w:p>
            <w:r/>
            <w:r>
              <w:rPr>
                <w:b/>
                <w:color w:val="0B3C36"/>
                <w:sz w:val="19"/>
              </w:rPr>
              <w:t>Qué exige</w:t>
            </w:r>
          </w:p>
        </w:tc>
        <w:tc>
          <w:tcPr>
            <w:tcW w:type="dxa" w:w="3312"/>
          </w:tcPr>
          <w:p>
            <w:r/>
            <w:r>
              <w:rPr>
                <w:b/>
                <w:color w:val="0B3C36"/>
                <w:sz w:val="19"/>
              </w:rPr>
              <w:t>Impacto en la plataforma</w:t>
            </w:r>
          </w:p>
        </w:tc>
      </w:tr>
      <w:tr>
        <w:tc>
          <w:tcPr>
            <w:tcW w:type="dxa" w:w="2016"/>
          </w:tcPr>
          <w:p>
            <w:r/>
            <w:r>
              <w:rPr>
                <w:sz w:val="19"/>
              </w:rPr>
              <w:t>Ley 25.246 y modificatorias</w:t>
            </w:r>
          </w:p>
        </w:tc>
        <w:tc>
          <w:tcPr>
            <w:tcW w:type="dxa" w:w="3744"/>
          </w:tcPr>
          <w:p>
            <w:r/>
            <w:r>
              <w:rPr>
                <w:sz w:val="19"/>
              </w:rPr>
              <w:t>Régimen de prevención de lavado de activos y financiación del terrorismo; define sujetos obligados.</w:t>
            </w:r>
          </w:p>
        </w:tc>
        <w:tc>
          <w:tcPr>
            <w:tcW w:type="dxa" w:w="3312"/>
          </w:tcPr>
          <w:p>
            <w:r/>
            <w:r>
              <w:rPr>
                <w:sz w:val="19"/>
              </w:rPr>
              <w:t>Marco general del proceso de alta.</w:t>
            </w:r>
          </w:p>
        </w:tc>
      </w:tr>
      <w:tr>
        <w:tc>
          <w:tcPr>
            <w:tcW w:type="dxa" w:w="2016"/>
          </w:tcPr>
          <w:p>
            <w:r/>
            <w:r>
              <w:rPr>
                <w:sz w:val="19"/>
              </w:rPr>
              <w:t>Res. UIF 200/2024</w:t>
            </w:r>
          </w:p>
        </w:tc>
        <w:tc>
          <w:tcPr>
            <w:tcW w:type="dxa" w:w="3744"/>
          </w:tcPr>
          <w:p>
            <w:r/>
            <w:r>
              <w:rPr>
                <w:sz w:val="19"/>
              </w:rPr>
              <w:t>Requisitos aplicables a proveedores de servicios de pago.</w:t>
            </w:r>
          </w:p>
        </w:tc>
        <w:tc>
          <w:tcPr>
            <w:tcW w:type="dxa" w:w="3312"/>
          </w:tcPr>
          <w:p>
            <w:r/>
            <w:r>
              <w:rPr>
                <w:sz w:val="19"/>
              </w:rPr>
              <w:t>Datos mínimos, diligencia y reportes.</w:t>
            </w:r>
          </w:p>
        </w:tc>
      </w:tr>
      <w:tr>
        <w:tc>
          <w:tcPr>
            <w:tcW w:type="dxa" w:w="2016"/>
          </w:tcPr>
          <w:p>
            <w:r/>
            <w:r>
              <w:rPr>
                <w:sz w:val="19"/>
              </w:rPr>
              <w:t>Res. UIF 35/2023</w:t>
            </w:r>
          </w:p>
        </w:tc>
        <w:tc>
          <w:tcPr>
            <w:tcW w:type="dxa" w:w="3744"/>
          </w:tcPr>
          <w:p>
            <w:r/>
            <w:r>
              <w:rPr>
                <w:sz w:val="19"/>
              </w:rPr>
              <w:t>Definición de Persona Expuesta Políticamente y criterios de diligencia.</w:t>
            </w:r>
          </w:p>
        </w:tc>
        <w:tc>
          <w:tcPr>
            <w:tcW w:type="dxa" w:w="3312"/>
          </w:tcPr>
          <w:p>
            <w:r/>
            <w:r>
              <w:rPr>
                <w:sz w:val="19"/>
              </w:rPr>
              <w:t>Declaración jurada PEP y aprobación especial (§A.5).</w:t>
            </w:r>
          </w:p>
        </w:tc>
      </w:tr>
      <w:tr>
        <w:tc>
          <w:tcPr>
            <w:tcW w:type="dxa" w:w="2016"/>
          </w:tcPr>
          <w:p>
            <w:r/>
            <w:r>
              <w:rPr>
                <w:sz w:val="19"/>
              </w:rPr>
              <w:t>Res. UIF 112/2021</w:t>
            </w:r>
          </w:p>
        </w:tc>
        <w:tc>
          <w:tcPr>
            <w:tcW w:type="dxa" w:w="3744"/>
          </w:tcPr>
          <w:p>
            <w:r/>
            <w:r>
              <w:rPr>
                <w:sz w:val="19"/>
              </w:rPr>
              <w:t>Definición de Beneficiario Final.</w:t>
            </w:r>
          </w:p>
        </w:tc>
        <w:tc>
          <w:tcPr>
            <w:tcW w:type="dxa" w:w="3312"/>
          </w:tcPr>
          <w:p>
            <w:r/>
            <w:r>
              <w:rPr>
                <w:sz w:val="19"/>
              </w:rPr>
              <w:t>Identificación de beneficiarios finales ≥10% (§A.4).</w:t>
            </w:r>
          </w:p>
        </w:tc>
      </w:tr>
      <w:tr>
        <w:tc>
          <w:tcPr>
            <w:tcW w:type="dxa" w:w="2016"/>
          </w:tcPr>
          <w:p>
            <w:r/>
            <w:r>
              <w:rPr>
                <w:sz w:val="19"/>
              </w:rPr>
              <w:t>Res. UIF 29/2013</w:t>
            </w:r>
          </w:p>
        </w:tc>
        <w:tc>
          <w:tcPr>
            <w:tcW w:type="dxa" w:w="3744"/>
          </w:tcPr>
          <w:p>
            <w:r/>
            <w:r>
              <w:rPr>
                <w:sz w:val="19"/>
              </w:rPr>
              <w:t>Verificación contra listas de terroristas.</w:t>
            </w:r>
          </w:p>
        </w:tc>
        <w:tc>
          <w:tcPr>
            <w:tcW w:type="dxa" w:w="3312"/>
          </w:tcPr>
          <w:p>
            <w:r/>
            <w:r>
              <w:rPr>
                <w:sz w:val="19"/>
              </w:rPr>
              <w:t>Control obligatorio de listas (§A.6).</w:t>
            </w:r>
          </w:p>
        </w:tc>
      </w:tr>
      <w:tr>
        <w:tc>
          <w:tcPr>
            <w:tcW w:type="dxa" w:w="2016"/>
          </w:tcPr>
          <w:p>
            <w:r/>
            <w:r>
              <w:rPr>
                <w:sz w:val="19"/>
              </w:rPr>
              <w:t>Decreto 489/2019</w:t>
            </w:r>
          </w:p>
        </w:tc>
        <w:tc>
          <w:tcPr>
            <w:tcW w:type="dxa" w:w="3744"/>
          </w:tcPr>
          <w:p>
            <w:r/>
            <w:r>
              <w:rPr>
                <w:sz w:val="19"/>
              </w:rPr>
              <w:t>Registro Público de Personas vinculadas a terrorismo (RePET).</w:t>
            </w:r>
          </w:p>
        </w:tc>
        <w:tc>
          <w:tcPr>
            <w:tcW w:type="dxa" w:w="3312"/>
          </w:tcPr>
          <w:p>
            <w:r/>
            <w:r>
              <w:rPr>
                <w:sz w:val="19"/>
              </w:rPr>
              <w:t>Control RePET bloqueante (§A.6).</w:t>
            </w:r>
          </w:p>
        </w:tc>
      </w:tr>
      <w:tr>
        <w:tc>
          <w:tcPr>
            <w:tcW w:type="dxa" w:w="2016"/>
          </w:tcPr>
          <w:p>
            <w:r/>
            <w:r>
              <w:rPr>
                <w:sz w:val="19"/>
              </w:rPr>
              <w:t>BCRA Com. "A" 8298</w:t>
            </w:r>
          </w:p>
        </w:tc>
        <w:tc>
          <w:tcPr>
            <w:tcW w:type="dxa" w:w="3744"/>
          </w:tcPr>
          <w:p>
            <w:r/>
            <w:r>
              <w:rPr>
                <w:sz w:val="19"/>
              </w:rPr>
              <w:t>Consulta al padrón previsto por la comunicación.</w:t>
            </w:r>
          </w:p>
        </w:tc>
        <w:tc>
          <w:tcPr>
            <w:tcW w:type="dxa" w:w="3312"/>
          </w:tcPr>
          <w:p>
            <w:r/>
            <w:r>
              <w:rPr>
                <w:sz w:val="19"/>
              </w:rPr>
              <w:t>Control que fuerza riesgo alto ante resultado positivo (§A.6).</w:t>
            </w:r>
          </w:p>
        </w:tc>
      </w:tr>
      <w:tr>
        <w:tc>
          <w:tcPr>
            <w:tcW w:type="dxa" w:w="2016"/>
          </w:tcPr>
          <w:p>
            <w:r/>
            <w:r>
              <w:rPr>
                <w:sz w:val="19"/>
              </w:rPr>
              <w:t>Normativa BCRA sobre PSP</w:t>
            </w:r>
          </w:p>
        </w:tc>
        <w:tc>
          <w:tcPr>
            <w:tcW w:type="dxa" w:w="3744"/>
          </w:tcPr>
          <w:p>
            <w:r/>
            <w:r>
              <w:rPr>
                <w:sz w:val="19"/>
              </w:rPr>
              <w:t>Requisitos aplicables a proveedores de servicios de pago que ofrecen cuentas de pago.</w:t>
            </w:r>
          </w:p>
        </w:tc>
        <w:tc>
          <w:tcPr>
            <w:tcW w:type="dxa" w:w="3312"/>
          </w:tcPr>
          <w:p>
            <w:r/>
            <w:r>
              <w:rPr>
                <w:sz w:val="19"/>
              </w:rPr>
              <w:t>Define el producto y el universo de clientes.</w:t>
            </w:r>
          </w:p>
        </w:tc>
      </w:tr>
    </w:tbl>
    <w:p>
      <w:pPr>
        <w:spacing w:after="40"/>
      </w:pPr>
    </w:p>
    <w:p>
      <w:r>
        <w:rPr>
          <w:b w:val="0"/>
          <w:i/>
          <w:color w:val="575759"/>
        </w:rPr>
        <w:t>Nota: el listado consolida la normativa citada en el Manual PLA/FT. Debe validarse contra el marco vigente al momento de implementar.</w:t>
      </w:r>
    </w:p>
    <w:p>
      <w:pPr>
        <w:pStyle w:val="Heading3"/>
      </w:pPr>
      <w:r>
        <w:t>A.2 Definición de Cliente según el rol de Klu</w:t>
      </w:r>
    </w:p>
    <w:p>
      <w:r>
        <w:rPr>
          <w:b w:val="0"/>
          <w:i w:val="0"/>
        </w:rPr>
        <w:t>El Manual define quién es el Cliente en función del rol que ocupa la empresa. Esto determina a quién se le aplica el proceso de identificación:</w:t>
      </w:r>
    </w:p>
    <w:tbl>
      <w:tblPr>
        <w:tblStyle w:val="TableGrid"/>
        <w:tblW w:type="auto" w:w="0"/>
        <w:tblLook w:firstColumn="1" w:firstRow="1" w:lastColumn="0" w:lastRow="0" w:noHBand="0" w:noVBand="1" w:val="04A0"/>
      </w:tblPr>
      <w:tblGrid>
        <w:gridCol w:w="4514"/>
        <w:gridCol w:w="4514"/>
      </w:tblGrid>
      <w:tr>
        <w:tc>
          <w:tcPr>
            <w:tcW w:type="dxa" w:w="3744"/>
          </w:tcPr>
          <w:p>
            <w:r/>
            <w:r>
              <w:rPr>
                <w:b/>
                <w:color w:val="0B3C36"/>
                <w:sz w:val="19"/>
              </w:rPr>
              <w:t>Rol de la empresa</w:t>
            </w:r>
          </w:p>
        </w:tc>
        <w:tc>
          <w:tcPr>
            <w:tcW w:type="dxa" w:w="5328"/>
          </w:tcPr>
          <w:p>
            <w:r/>
            <w:r>
              <w:rPr>
                <w:b/>
                <w:color w:val="0B3C36"/>
                <w:sz w:val="19"/>
              </w:rPr>
              <w:t>Quién es el Cliente</w:t>
            </w:r>
          </w:p>
        </w:tc>
      </w:tr>
      <w:tr>
        <w:tc>
          <w:tcPr>
            <w:tcW w:type="dxa" w:w="3744"/>
          </w:tcPr>
          <w:p>
            <w:r/>
            <w:r>
              <w:rPr>
                <w:sz w:val="19"/>
              </w:rPr>
              <w:t>Proveedor de Servicios de Pago que ofrece Cuentas de Pago (PSPCP)</w:t>
            </w:r>
          </w:p>
        </w:tc>
        <w:tc>
          <w:tcPr>
            <w:tcW w:type="dxa" w:w="5328"/>
          </w:tcPr>
          <w:p>
            <w:r/>
            <w:r>
              <w:rPr>
                <w:sz w:val="19"/>
              </w:rPr>
              <w:t>El o los titulares de la cuenta de pago.</w:t>
            </w:r>
          </w:p>
        </w:tc>
      </w:tr>
      <w:tr>
        <w:tc>
          <w:tcPr>
            <w:tcW w:type="dxa" w:w="3744"/>
          </w:tcPr>
          <w:p>
            <w:r/>
            <w:r>
              <w:rPr>
                <w:sz w:val="19"/>
              </w:rPr>
              <w:t>Adquirente, Agregador o Subadquirente</w:t>
            </w:r>
          </w:p>
        </w:tc>
        <w:tc>
          <w:tcPr>
            <w:tcW w:type="dxa" w:w="5328"/>
          </w:tcPr>
          <w:p>
            <w:r/>
            <w:r>
              <w:rPr>
                <w:sz w:val="19"/>
              </w:rPr>
              <w:t>El Comercio Adherido. El titular de la tarjeta no es cliente de este rol.</w:t>
            </w:r>
          </w:p>
        </w:tc>
      </w:tr>
      <w:tr>
        <w:tc>
          <w:tcPr>
            <w:tcW w:type="dxa" w:w="3744"/>
          </w:tcPr>
          <w:p>
            <w:r/>
            <w:r>
              <w:rPr>
                <w:sz w:val="19"/>
              </w:rPr>
              <w:t>Emisor</w:t>
            </w:r>
          </w:p>
        </w:tc>
        <w:tc>
          <w:tcPr>
            <w:tcW w:type="dxa" w:w="5328"/>
          </w:tcPr>
          <w:p>
            <w:r/>
            <w:r>
              <w:rPr>
                <w:sz w:val="19"/>
              </w:rPr>
              <w:t>El usuario titular de la tarjeta.</w:t>
            </w:r>
          </w:p>
        </w:tc>
      </w:tr>
      <w:tr>
        <w:tc>
          <w:tcPr>
            <w:tcW w:type="dxa" w:w="3744"/>
          </w:tcPr>
          <w:p>
            <w:r/>
            <w:r>
              <w:rPr>
                <w:sz w:val="19"/>
              </w:rPr>
              <w:t>Proveedor de servicios de cobro</w:t>
            </w:r>
          </w:p>
        </w:tc>
        <w:tc>
          <w:tcPr>
            <w:tcW w:type="dxa" w:w="5328"/>
          </w:tcPr>
          <w:p>
            <w:r/>
            <w:r>
              <w:rPr>
                <w:sz w:val="19"/>
              </w:rPr>
              <w:t>La persona por cuenta y orden de quien se realizan las cobranzas.</w:t>
            </w:r>
          </w:p>
        </w:tc>
      </w:tr>
      <w:tr>
        <w:tc>
          <w:tcPr>
            <w:tcW w:type="dxa" w:w="3744"/>
          </w:tcPr>
          <w:p>
            <w:r/>
            <w:r>
              <w:rPr>
                <w:sz w:val="19"/>
              </w:rPr>
              <w:t>Proveedor no financiero de crédito</w:t>
            </w:r>
          </w:p>
        </w:tc>
        <w:tc>
          <w:tcPr>
            <w:tcW w:type="dxa" w:w="5328"/>
          </w:tcPr>
          <w:p>
            <w:r/>
            <w:r>
              <w:rPr>
                <w:sz w:val="19"/>
              </w:rPr>
              <w:t>El tomador del crédito.</w:t>
            </w:r>
          </w:p>
        </w:tc>
      </w:tr>
    </w:tbl>
    <w:p>
      <w:pPr>
        <w:spacing w:after="40"/>
      </w:pPr>
    </w:p>
    <w:p>
      <w:r>
        <w:rPr>
          <w:b w:val="0"/>
          <w:i w:val="0"/>
        </w:rPr>
        <w:t>Una vez definido quién es el Cliente, el proceso de identificación, verificación y conocimiento es el mismo para todos: no hay un procedimiento distinto por producto.</w:t>
      </w:r>
    </w:p>
    <w:p>
      <w:pPr>
        <w:pStyle w:val="Heading3"/>
      </w:pPr>
      <w:r>
        <w:t>A.3 Datos mínimos de identificación</w:t>
      </w:r>
    </w:p>
    <w:p>
      <w:r>
        <w:rPr>
          <w:b/>
          <w:i w:val="0"/>
        </w:rPr>
        <w:t>Persona humana — 11 datos obligatorios:</w:t>
      </w:r>
    </w:p>
    <w:p>
      <w:pPr>
        <w:pStyle w:val="ListBullet"/>
        <w:spacing w:after="40"/>
        <w:ind w:left="360"/>
      </w:pPr>
      <w:r>
        <w:t>Nombre y apellido.</w:t>
      </w:r>
    </w:p>
    <w:p>
      <w:pPr>
        <w:pStyle w:val="ListBullet"/>
        <w:spacing w:after="40"/>
        <w:ind w:left="360"/>
      </w:pPr>
      <w:r>
        <w:t>Tipo y número de documento de identidad (DNI, cédula de país limítrofe o pasaporte; el original puede exhibirse por medios digitales acreditados, conservando evidencia).</w:t>
      </w:r>
    </w:p>
    <w:p>
      <w:pPr>
        <w:pStyle w:val="ListBullet"/>
        <w:spacing w:after="40"/>
        <w:ind w:left="360"/>
      </w:pPr>
      <w:r>
        <w:t>Fecha y lugar de nacimiento.</w:t>
      </w:r>
    </w:p>
    <w:p>
      <w:pPr>
        <w:pStyle w:val="ListBullet"/>
        <w:spacing w:after="40"/>
        <w:ind w:left="360"/>
      </w:pPr>
      <w:r>
        <w:t>Nacionalidad.</w:t>
      </w:r>
    </w:p>
    <w:p>
      <w:pPr>
        <w:pStyle w:val="ListBullet"/>
        <w:spacing w:after="40"/>
        <w:ind w:left="360"/>
      </w:pPr>
      <w:r>
        <w:t>Estado civil.</w:t>
      </w:r>
    </w:p>
    <w:p>
      <w:pPr>
        <w:pStyle w:val="ListBullet"/>
        <w:spacing w:after="40"/>
        <w:ind w:left="360"/>
      </w:pPr>
      <w:r>
        <w:t>CUIL / CUIT / CDI.</w:t>
      </w:r>
    </w:p>
    <w:p>
      <w:pPr>
        <w:pStyle w:val="ListBullet"/>
        <w:spacing w:after="40"/>
        <w:ind w:left="360"/>
      </w:pPr>
      <w:r>
        <w:t>Domicilio real completo (calle, número, localidad, provincia, país y código postal).</w:t>
      </w:r>
    </w:p>
    <w:p>
      <w:pPr>
        <w:pStyle w:val="ListBullet"/>
        <w:spacing w:after="40"/>
        <w:ind w:left="360"/>
      </w:pPr>
      <w:r>
        <w:t>Número de teléfono.</w:t>
      </w:r>
    </w:p>
    <w:p>
      <w:pPr>
        <w:pStyle w:val="ListBullet"/>
        <w:spacing w:after="40"/>
        <w:ind w:left="360"/>
      </w:pPr>
      <w:r>
        <w:t>Dirección de correo electrónico.</w:t>
      </w:r>
    </w:p>
    <w:p>
      <w:pPr>
        <w:pStyle w:val="ListBullet"/>
        <w:spacing w:after="40"/>
        <w:ind w:left="360"/>
      </w:pPr>
      <w:r>
        <w:t>Actividad laboral o profesional.</w:t>
      </w:r>
    </w:p>
    <w:p>
      <w:pPr>
        <w:pStyle w:val="ListBullet"/>
        <w:spacing w:after="40"/>
        <w:ind w:left="360"/>
      </w:pPr>
      <w:r>
        <w:t>Declaración jurada de condición de Persona Expuesta Políticamente.</w:t>
      </w:r>
    </w:p>
    <w:p>
      <w:r>
        <w:rPr>
          <w:b w:val="0"/>
          <w:i/>
          <w:color w:val="575759"/>
        </w:rPr>
        <w:t>Estos mismos requisitos se aplican a apoderados de personas jurídicas y a autorizados con uso de firma.</w:t>
      </w:r>
    </w:p>
    <w:p>
      <w:r>
        <w:rPr>
          <w:b/>
          <w:i w:val="0"/>
        </w:rPr>
        <w:t>Persona jurídica — 12 datos obligatorios:</w:t>
      </w:r>
    </w:p>
    <w:p>
      <w:pPr>
        <w:pStyle w:val="ListBullet"/>
        <w:spacing w:after="40"/>
        <w:ind w:left="360"/>
      </w:pPr>
      <w:r>
        <w:t>Denominación o razón social.</w:t>
      </w:r>
    </w:p>
    <w:p>
      <w:pPr>
        <w:pStyle w:val="ListBullet"/>
        <w:spacing w:after="40"/>
        <w:ind w:left="360"/>
      </w:pPr>
      <w:r>
        <w:t>Fecha y número de inscripción registral.</w:t>
      </w:r>
    </w:p>
    <w:p>
      <w:pPr>
        <w:pStyle w:val="ListBullet"/>
        <w:spacing w:after="40"/>
        <w:ind w:left="360"/>
      </w:pPr>
      <w:r>
        <w:t>CUIT / CDI / CIE.</w:t>
      </w:r>
    </w:p>
    <w:p>
      <w:pPr>
        <w:pStyle w:val="ListBullet"/>
        <w:spacing w:after="40"/>
        <w:ind w:left="360"/>
      </w:pPr>
      <w:r>
        <w:t>Copia del contrato o escritura de constitución.</w:t>
      </w:r>
    </w:p>
    <w:p>
      <w:pPr>
        <w:pStyle w:val="ListBullet"/>
        <w:spacing w:after="40"/>
        <w:ind w:left="360"/>
      </w:pPr>
      <w:r>
        <w:t>Copia del estatuto social actualizado.</w:t>
      </w:r>
    </w:p>
    <w:p>
      <w:pPr>
        <w:pStyle w:val="ListBullet"/>
        <w:spacing w:after="40"/>
        <w:ind w:left="360"/>
      </w:pPr>
      <w:r>
        <w:t>Domicilio legal completo.</w:t>
      </w:r>
    </w:p>
    <w:p>
      <w:pPr>
        <w:pStyle w:val="ListBullet"/>
        <w:spacing w:after="40"/>
        <w:ind w:left="360"/>
      </w:pPr>
      <w:r>
        <w:t>Teléfono de la sede social y dirección de correo electrónico.</w:t>
      </w:r>
    </w:p>
    <w:p>
      <w:pPr>
        <w:pStyle w:val="ListBullet"/>
        <w:spacing w:after="40"/>
        <w:ind w:left="360"/>
      </w:pPr>
      <w:r>
        <w:t>Actividad principal realizada.</w:t>
      </w:r>
    </w:p>
    <w:p>
      <w:pPr>
        <w:pStyle w:val="ListBullet"/>
        <w:spacing w:after="40"/>
        <w:ind w:left="360"/>
      </w:pPr>
      <w:r>
        <w:t>Identificación de apoderados, representantes y/o autorizados.</w:t>
      </w:r>
    </w:p>
    <w:p>
      <w:pPr>
        <w:pStyle w:val="ListBullet"/>
        <w:spacing w:after="40"/>
        <w:ind w:left="360"/>
      </w:pPr>
      <w:r>
        <w:t>Nómina de los integrantes del órgano de administración u órgano equivalente.</w:t>
      </w:r>
    </w:p>
    <w:p>
      <w:pPr>
        <w:pStyle w:val="ListBullet"/>
        <w:spacing w:after="40"/>
        <w:ind w:left="360"/>
      </w:pPr>
      <w:r>
        <w:t>Titularidad del capital social. Si presenta alto nivel de atomización, se cumple identificando a los integrantes del órgano de administración o a quienes ejerzan el control efectivo.</w:t>
      </w:r>
    </w:p>
    <w:p>
      <w:pPr>
        <w:pStyle w:val="ListBullet"/>
        <w:spacing w:after="40"/>
        <w:ind w:left="360"/>
      </w:pPr>
      <w:r>
        <w:t>Identificación de beneficiarios finales.</w:t>
      </w:r>
    </w:p>
    <w:p>
      <w:r>
        <w:rPr>
          <w:b/>
          <w:i w:val="0"/>
        </w:rPr>
        <w:t>Otros supuestos contemplados por el Manual:</w:t>
      </w:r>
    </w:p>
    <w:p>
      <w:pPr>
        <w:pStyle w:val="ListBullet"/>
        <w:spacing w:after="40"/>
        <w:ind w:left="360"/>
      </w:pPr>
      <w:r>
        <w:t>Organismos del sector público nacional, provincial o municipal: se identifica a la persona humana que opera la cuenta y se obtiene el instrumento que le asigna competencia.</w:t>
      </w:r>
    </w:p>
    <w:p>
      <w:pPr>
        <w:pStyle w:val="ListBullet"/>
        <w:spacing w:after="40"/>
        <w:ind w:left="360"/>
      </w:pPr>
      <w:r>
        <w:t>UTE, agrupaciones de colaboración y consorcios de cooperación: reglas de persona jurídica aplicadas a sus integrantes y a la estructura.</w:t>
      </w:r>
    </w:p>
    <w:p>
      <w:pPr>
        <w:pStyle w:val="ListBullet"/>
        <w:spacing w:after="40"/>
        <w:ind w:left="360"/>
      </w:pPr>
      <w:r>
        <w:t>Fideicomisos: se identifica al fiduciario y al administrador o figura equivalente, y a quien participe en su constitución y organización.</w:t>
      </w:r>
    </w:p>
    <w:p>
      <w:pPr>
        <w:pStyle w:val="ListBullet"/>
        <w:spacing w:after="40"/>
        <w:ind w:left="360"/>
      </w:pPr>
      <w:r>
        <w:t>Fondos comunes de inversión: se identifica a la sociedad gerente, a la depositaria y a quienes participen en su constitución.</w:t>
      </w:r>
    </w:p>
    <w:p>
      <w:pPr>
        <w:pStyle w:val="ListBullet"/>
        <w:spacing w:after="40"/>
        <w:ind w:left="360"/>
      </w:pPr>
      <w:r>
        <w:t>SAS y sociedades constituidas por medios digitales: se admite el instrumento constitutivo digital con firma del registro público, recibido por medios electrónicos oficiales.</w:t>
      </w:r>
    </w:p>
    <w:p>
      <w:pPr>
        <w:pStyle w:val="ListBullet"/>
        <w:spacing w:after="40"/>
        <w:ind w:left="360"/>
      </w:pPr>
      <w:r>
        <w:t>Sociedades listadas en mercados autorizados sujetas a requisitos de transparencia: alta simplificada identificando a la persona humana que opera la cuenta y su instrumento de designación.</w:t>
      </w:r>
    </w:p>
    <w:p>
      <w:pPr>
        <w:pStyle w:val="ListBullet"/>
        <w:spacing w:after="40"/>
        <w:ind w:left="360"/>
      </w:pPr>
      <w:r>
        <w:t>Clientes que son Sujeto Obligado ante la UIF: se verifica su constancia de inscripción en la web de la UIF.</w:t>
      </w:r>
    </w:p>
    <w:p>
      <w:pPr>
        <w:pStyle w:val="Heading3"/>
      </w:pPr>
      <w:r>
        <w:t>A.4 Beneficiario final y estructura de control</w:t>
      </w:r>
    </w:p>
    <w:p>
      <w:r>
        <w:rPr>
          <w:b w:val="0"/>
          <w:i w:val="0"/>
        </w:rPr>
        <w:t>Se entiende por beneficiario final a toda persona humana que posea como mínimo el diez por ciento (10%) del capital o de los derechos de voto de una persona jurídica, o que por otros medios ejerza el control final, directo o indirecto, sobre ella (Res. UIF 112/2021).</w:t>
      </w:r>
    </w:p>
    <w:p>
      <w:pPr>
        <w:pStyle w:val="ListBullet"/>
        <w:spacing w:after="40"/>
        <w:ind w:left="360"/>
      </w:pPr>
      <w:r>
        <w:t>Se suscribe una declaración jurada que permita identificar la estructura de titularidad y control.</w:t>
      </w:r>
    </w:p>
    <w:p>
      <w:pPr>
        <w:pStyle w:val="ListBullet"/>
        <w:spacing w:after="40"/>
        <w:ind w:left="360"/>
      </w:pPr>
      <w:r>
        <w:t>Ante alto nivel de atomización del capital, se cumple identificando al órgano de administración o a quienes ejerzan el control efectivo.</w:t>
      </w:r>
    </w:p>
    <w:p>
      <w:pPr>
        <w:pStyle w:val="ListBullet"/>
        <w:spacing w:after="40"/>
        <w:ind w:left="360"/>
      </w:pPr>
      <w:r>
        <w:t>Se solicitan los datos identificatorios de quienes operan en nombre y representación de la persona jurídica, con exhibición de los documentos que los habilitan.</w:t>
      </w:r>
    </w:p>
    <w:p>
      <w:pPr>
        <w:pStyle w:val="ListBullet"/>
        <w:spacing w:after="40"/>
        <w:ind w:left="360"/>
      </w:pPr>
      <w:r>
        <w:t>A representantes, apoderados, tutores o representantes legales se les requiere la misma información que a un cliente persona humana, más el documento que acredite el vínculo, y se les aplica el control contra RePET.</w:t>
      </w:r>
    </w:p>
    <w:p>
      <w:pPr>
        <w:pStyle w:val="ListBullet"/>
        <w:spacing w:after="40"/>
        <w:ind w:left="360"/>
      </w:pPr>
      <w:r>
        <w:t>Todos los representantes y apoderados suscriben la declaración jurada PEP.</w:t>
      </w:r>
    </w:p>
    <w:p>
      <w:pPr>
        <w:pStyle w:val="Heading3"/>
      </w:pPr>
      <w:r>
        <w:t>A.5 Personas Expuestas Políticamente (PEP)</w:t>
      </w:r>
    </w:p>
    <w:p>
      <w:pPr>
        <w:pStyle w:val="ListBullet"/>
        <w:spacing w:after="40"/>
        <w:ind w:left="360"/>
      </w:pPr>
      <w:r>
        <w:t>Se solicita declaración jurada PEP a todo cliente persona humana, a los apoderados y representantes, y a cada beneficiario final identificado.</w:t>
      </w:r>
    </w:p>
    <w:p>
      <w:pPr>
        <w:pStyle w:val="ListBullet"/>
        <w:spacing w:after="40"/>
        <w:ind w:left="360"/>
      </w:pPr>
      <w:r>
        <w:t>Una declaración positiva no impide el alta, pero requiere aprobación expresa del Oficial de Cumplimiento antes de habilitar la operación.</w:t>
      </w:r>
    </w:p>
    <w:p>
      <w:pPr>
        <w:pStyle w:val="ListBullet"/>
        <w:spacing w:after="40"/>
        <w:ind w:left="360"/>
      </w:pPr>
      <w:r>
        <w:t>La condición de PEP se pondera como factor de mayor riesgo en la matriz del cliente.</w:t>
      </w:r>
    </w:p>
    <w:p>
      <w:pPr>
        <w:pStyle w:val="Heading3"/>
      </w:pPr>
      <w:r>
        <w:t>A.6 Controles obligatorios antes del alta</w:t>
      </w:r>
    </w:p>
    <w:p>
      <w:r>
        <w:rPr>
          <w:b w:val="0"/>
          <w:i w:val="0"/>
        </w:rPr>
        <w:t>Estos controles los ejecuta Klu internamente; el cliente no los completa ni los ve.</w:t>
      </w:r>
    </w:p>
    <w:tbl>
      <w:tblPr>
        <w:tblStyle w:val="TableGrid"/>
        <w:tblW w:type="auto" w:w="0"/>
        <w:tblLook w:firstColumn="1" w:firstRow="1" w:lastColumn="0" w:lastRow="0" w:noHBand="0" w:noVBand="1" w:val="04A0"/>
      </w:tblPr>
      <w:tblGrid>
        <w:gridCol w:w="3010"/>
        <w:gridCol w:w="3010"/>
        <w:gridCol w:w="3010"/>
      </w:tblGrid>
      <w:tr>
        <w:tc>
          <w:tcPr>
            <w:tcW w:type="dxa" w:w="3024"/>
          </w:tcPr>
          <w:p>
            <w:r/>
            <w:r>
              <w:rPr>
                <w:b/>
                <w:color w:val="0B3C36"/>
                <w:sz w:val="19"/>
              </w:rPr>
              <w:t>Control</w:t>
            </w:r>
          </w:p>
        </w:tc>
        <w:tc>
          <w:tcPr>
            <w:tcW w:type="dxa" w:w="2736"/>
          </w:tcPr>
          <w:p>
            <w:r/>
            <w:r>
              <w:rPr>
                <w:b/>
                <w:color w:val="0B3C36"/>
                <w:sz w:val="19"/>
              </w:rPr>
              <w:t>Sobre quién</w:t>
            </w:r>
          </w:p>
        </w:tc>
        <w:tc>
          <w:tcPr>
            <w:tcW w:type="dxa" w:w="3312"/>
          </w:tcPr>
          <w:p>
            <w:r/>
            <w:r>
              <w:rPr>
                <w:b/>
                <w:color w:val="0B3C36"/>
                <w:sz w:val="19"/>
              </w:rPr>
              <w:t>Efecto ante resultado positivo</w:t>
            </w:r>
          </w:p>
        </w:tc>
      </w:tr>
      <w:tr>
        <w:tc>
          <w:tcPr>
            <w:tcW w:type="dxa" w:w="3024"/>
          </w:tcPr>
          <w:p>
            <w:r/>
            <w:r>
              <w:rPr>
                <w:sz w:val="19"/>
              </w:rPr>
              <w:t>RePET (Decreto 489/2019) y listas internacionales (OFAC, ONU 1267)</w:t>
            </w:r>
          </w:p>
        </w:tc>
        <w:tc>
          <w:tcPr>
            <w:tcW w:type="dxa" w:w="2736"/>
          </w:tcPr>
          <w:p>
            <w:r/>
            <w:r>
              <w:rPr>
                <w:sz w:val="19"/>
              </w:rPr>
              <w:t>Cliente, representante legal y cada beneficiario final</w:t>
            </w:r>
          </w:p>
        </w:tc>
        <w:tc>
          <w:tcPr>
            <w:tcW w:type="dxa" w:w="3312"/>
          </w:tcPr>
          <w:p>
            <w:r/>
            <w:r>
              <w:rPr>
                <w:sz w:val="19"/>
              </w:rPr>
              <w:t>Bloqueante: no se abre la cuenta y se evalúa el reporte de operación sospechosa.</w:t>
            </w:r>
          </w:p>
        </w:tc>
      </w:tr>
      <w:tr>
        <w:tc>
          <w:tcPr>
            <w:tcW w:type="dxa" w:w="3024"/>
          </w:tcPr>
          <w:p>
            <w:r/>
            <w:r>
              <w:rPr>
                <w:sz w:val="19"/>
              </w:rPr>
              <w:t>Padrón BCRA Com. "A" 8298</w:t>
            </w:r>
          </w:p>
        </w:tc>
        <w:tc>
          <w:tcPr>
            <w:tcW w:type="dxa" w:w="2736"/>
          </w:tcPr>
          <w:p>
            <w:r/>
            <w:r>
              <w:rPr>
                <w:sz w:val="19"/>
              </w:rPr>
              <w:t>Cliente y cada beneficiario final</w:t>
            </w:r>
          </w:p>
        </w:tc>
        <w:tc>
          <w:tcPr>
            <w:tcW w:type="dxa" w:w="3312"/>
          </w:tcPr>
          <w:p>
            <w:r/>
            <w:r>
              <w:rPr>
                <w:sz w:val="19"/>
              </w:rPr>
              <w:t>Clasificación automática como Riesgo Alto.</w:t>
            </w:r>
          </w:p>
        </w:tc>
      </w:tr>
      <w:tr>
        <w:tc>
          <w:tcPr>
            <w:tcW w:type="dxa" w:w="3024"/>
          </w:tcPr>
          <w:p>
            <w:r/>
            <w:r>
              <w:rPr>
                <w:sz w:val="19"/>
              </w:rPr>
              <w:t>Verificación de inscripción UIF (si declaró ser Sujeto Obligado)</w:t>
            </w:r>
          </w:p>
        </w:tc>
        <w:tc>
          <w:tcPr>
            <w:tcW w:type="dxa" w:w="2736"/>
          </w:tcPr>
          <w:p>
            <w:r/>
            <w:r>
              <w:rPr>
                <w:sz w:val="19"/>
              </w:rPr>
              <w:t>Cliente</w:t>
            </w:r>
          </w:p>
        </w:tc>
        <w:tc>
          <w:tcPr>
            <w:tcW w:type="dxa" w:w="3312"/>
          </w:tcPr>
          <w:p>
            <w:r/>
            <w:r>
              <w:rPr>
                <w:sz w:val="19"/>
              </w:rPr>
              <w:t>Bloqueante: sin constancia de inscripción no se inicia la relación comercial.</w:t>
            </w:r>
          </w:p>
        </w:tc>
      </w:tr>
      <w:tr>
        <w:tc>
          <w:tcPr>
            <w:tcW w:type="dxa" w:w="3024"/>
          </w:tcPr>
          <w:p>
            <w:r/>
            <w:r>
              <w:rPr>
                <w:sz w:val="19"/>
              </w:rPr>
              <w:t>Revisión de declaración jurada PEP</w:t>
            </w:r>
          </w:p>
        </w:tc>
        <w:tc>
          <w:tcPr>
            <w:tcW w:type="dxa" w:w="2736"/>
          </w:tcPr>
          <w:p>
            <w:r/>
            <w:r>
              <w:rPr>
                <w:sz w:val="19"/>
              </w:rPr>
              <w:t>Cliente, representantes y beneficiarios finales</w:t>
            </w:r>
          </w:p>
        </w:tc>
        <w:tc>
          <w:tcPr>
            <w:tcW w:type="dxa" w:w="3312"/>
          </w:tcPr>
          <w:p>
            <w:r/>
            <w:r>
              <w:rPr>
                <w:sz w:val="19"/>
              </w:rPr>
              <w:t>Requiere aprobación expresa del Oficial de Cumplimiento.</w:t>
            </w:r>
          </w:p>
        </w:tc>
      </w:tr>
    </w:tbl>
    <w:p>
      <w:pPr>
        <w:spacing w:after="40"/>
      </w:pPr>
    </w:p>
    <w:p>
      <w:r>
        <w:rPr>
          <w:b w:val="0"/>
          <w:i w:val="0"/>
        </w:rPr>
        <w:t>Política de aceptación: el Manual enumera además supuestos de no admisión —entre otros, quienes no puedan ser razonablemente identificados, quienes figuren en listas OFAC o del Consejo de Seguridad de la ONU, quienes se nieguen a aportar la información solicitada, bancos pantalla, y actividades vinculadas a delitos o cuya legitimidad no pueda verificarse. La plataforma debe permitir dejar constancia del motivo de rechazo.</w:t>
      </w:r>
    </w:p>
    <w:p>
      <w:pPr>
        <w:pStyle w:val="Heading3"/>
      </w:pPr>
      <w:r>
        <w:t>A.7 Segmentación de riesgo y debida diligencia</w:t>
      </w:r>
    </w:p>
    <w:tbl>
      <w:tblPr>
        <w:tblStyle w:val="TableGrid"/>
        <w:tblW w:type="auto" w:w="0"/>
        <w:tblLook w:firstColumn="1" w:firstRow="1" w:lastColumn="0" w:lastRow="0" w:noHBand="0" w:noVBand="1" w:val="04A0"/>
      </w:tblPr>
      <w:tblGrid>
        <w:gridCol w:w="2257"/>
        <w:gridCol w:w="2257"/>
        <w:gridCol w:w="2257"/>
        <w:gridCol w:w="2257"/>
      </w:tblGrid>
      <w:tr>
        <w:tc>
          <w:tcPr>
            <w:tcW w:type="dxa" w:w="1728"/>
          </w:tcPr>
          <w:p>
            <w:r/>
            <w:r>
              <w:rPr>
                <w:b/>
                <w:color w:val="0B3C36"/>
                <w:sz w:val="19"/>
              </w:rPr>
              <w:t>Nivel de riesgo</w:t>
            </w:r>
          </w:p>
        </w:tc>
        <w:tc>
          <w:tcPr>
            <w:tcW w:type="dxa" w:w="2448"/>
          </w:tcPr>
          <w:p>
            <w:r/>
            <w:r>
              <w:rPr>
                <w:b/>
                <w:color w:val="0B3C36"/>
                <w:sz w:val="19"/>
              </w:rPr>
              <w:t>Tipo de debida diligencia</w:t>
            </w:r>
          </w:p>
        </w:tc>
        <w:tc>
          <w:tcPr>
            <w:tcW w:type="dxa" w:w="3168"/>
          </w:tcPr>
          <w:p>
            <w:r/>
            <w:r>
              <w:rPr>
                <w:b/>
                <w:color w:val="0B3C36"/>
                <w:sz w:val="19"/>
              </w:rPr>
              <w:t>Aprobación requerida</w:t>
            </w:r>
          </w:p>
        </w:tc>
        <w:tc>
          <w:tcPr>
            <w:tcW w:type="dxa" w:w="1728"/>
          </w:tcPr>
          <w:p>
            <w:r/>
            <w:r>
              <w:rPr>
                <w:b/>
                <w:color w:val="0B3C36"/>
                <w:sz w:val="19"/>
              </w:rPr>
              <w:t>Actualización de legajo</w:t>
            </w:r>
          </w:p>
        </w:tc>
      </w:tr>
      <w:tr>
        <w:tc>
          <w:tcPr>
            <w:tcW w:type="dxa" w:w="1728"/>
          </w:tcPr>
          <w:p>
            <w:r/>
            <w:r>
              <w:rPr>
                <w:sz w:val="19"/>
              </w:rPr>
              <w:t>Bajo</w:t>
            </w:r>
          </w:p>
        </w:tc>
        <w:tc>
          <w:tcPr>
            <w:tcW w:type="dxa" w:w="2448"/>
          </w:tcPr>
          <w:p>
            <w:r/>
            <w:r>
              <w:rPr>
                <w:sz w:val="19"/>
              </w:rPr>
              <w:t>Simplificada</w:t>
            </w:r>
          </w:p>
        </w:tc>
        <w:tc>
          <w:tcPr>
            <w:tcW w:type="dxa" w:w="3168"/>
          </w:tcPr>
          <w:p>
            <w:r/>
            <w:r>
              <w:rPr>
                <w:sz w:val="19"/>
              </w:rPr>
              <w:t>Oficial de Cumplimiento o profesional designado</w:t>
            </w:r>
          </w:p>
        </w:tc>
        <w:tc>
          <w:tcPr>
            <w:tcW w:type="dxa" w:w="1728"/>
          </w:tcPr>
          <w:p>
            <w:r/>
            <w:r>
              <w:rPr>
                <w:sz w:val="19"/>
              </w:rPr>
              <w:t>Cada 5 años</w:t>
            </w:r>
          </w:p>
        </w:tc>
      </w:tr>
      <w:tr>
        <w:tc>
          <w:tcPr>
            <w:tcW w:type="dxa" w:w="1728"/>
          </w:tcPr>
          <w:p>
            <w:r/>
            <w:r>
              <w:rPr>
                <w:sz w:val="19"/>
              </w:rPr>
              <w:t>Medio</w:t>
            </w:r>
          </w:p>
        </w:tc>
        <w:tc>
          <w:tcPr>
            <w:tcW w:type="dxa" w:w="2448"/>
          </w:tcPr>
          <w:p>
            <w:r/>
            <w:r>
              <w:rPr>
                <w:sz w:val="19"/>
              </w:rPr>
              <w:t>Media</w:t>
            </w:r>
          </w:p>
        </w:tc>
        <w:tc>
          <w:tcPr>
            <w:tcW w:type="dxa" w:w="3168"/>
          </w:tcPr>
          <w:p>
            <w:r/>
            <w:r>
              <w:rPr>
                <w:sz w:val="19"/>
              </w:rPr>
              <w:t>Oficial de Cumplimiento o profesional designado</w:t>
            </w:r>
          </w:p>
        </w:tc>
        <w:tc>
          <w:tcPr>
            <w:tcW w:type="dxa" w:w="1728"/>
          </w:tcPr>
          <w:p>
            <w:r/>
            <w:r>
              <w:rPr>
                <w:sz w:val="19"/>
              </w:rPr>
              <w:t>Cada 3 años</w:t>
            </w:r>
          </w:p>
        </w:tc>
      </w:tr>
      <w:tr>
        <w:tc>
          <w:tcPr>
            <w:tcW w:type="dxa" w:w="1728"/>
          </w:tcPr>
          <w:p>
            <w:r/>
            <w:r>
              <w:rPr>
                <w:sz w:val="19"/>
              </w:rPr>
              <w:t>Alto</w:t>
            </w:r>
          </w:p>
        </w:tc>
        <w:tc>
          <w:tcPr>
            <w:tcW w:type="dxa" w:w="2448"/>
          </w:tcPr>
          <w:p>
            <w:r/>
            <w:r>
              <w:rPr>
                <w:sz w:val="19"/>
              </w:rPr>
              <w:t>Reforzada</w:t>
            </w:r>
          </w:p>
        </w:tc>
        <w:tc>
          <w:tcPr>
            <w:tcW w:type="dxa" w:w="3168"/>
          </w:tcPr>
          <w:p>
            <w:r/>
            <w:r>
              <w:rPr>
                <w:sz w:val="19"/>
              </w:rPr>
              <w:t>Oficial de Cumplimiento</w:t>
            </w:r>
          </w:p>
        </w:tc>
        <w:tc>
          <w:tcPr>
            <w:tcW w:type="dxa" w:w="1728"/>
          </w:tcPr>
          <w:p>
            <w:r/>
            <w:r>
              <w:rPr>
                <w:sz w:val="19"/>
              </w:rPr>
              <w:t>Cada 1 año</w:t>
            </w:r>
          </w:p>
        </w:tc>
      </w:tr>
    </w:tbl>
    <w:p>
      <w:pPr>
        <w:spacing w:after="40"/>
      </w:pPr>
    </w:p>
    <w:p>
      <w:r>
        <w:rPr>
          <w:b w:val="0"/>
          <w:i w:val="0"/>
        </w:rPr>
        <w:t>Alcance de la actualización según riesgo: para riesgo bajo puede usarse solo información; para riesgo medio, información y documentación; para riesgo alto, documentación completa y verificable. La falta de actualización por negativa del cliente obliga a evaluar la continuidad de la relación.</w:t>
      </w:r>
    </w:p>
    <w:p>
      <w:r>
        <w:rPr>
          <w:b w:val="0"/>
          <w:i w:val="0"/>
        </w:rPr>
        <w:t>Factores de riesgo a ponderar (persona humana): actividad económica principal, condición de PEP, condición de Sujeto Obligado, antigüedad de la relación, volumen operado, perfil transaccional, zona geográfica y resultado de la consulta al padrón de la Com. "A" 8298. Para persona jurídica se agrega la forma jurídica, y la condición de PEP se evalúa sobre representantes y beneficiarios finales.</w:t>
      </w:r>
    </w:p>
    <w:p>
      <w:pPr>
        <w:pStyle w:val="Heading3"/>
      </w:pPr>
      <w:r>
        <w:t>A.8 Perfil transaccional</w:t>
      </w:r>
    </w:p>
    <w:p>
      <w:r>
        <w:rPr>
          <w:b w:val="0"/>
          <w:i w:val="0"/>
        </w:rPr>
        <w:t>El perfil expresa el volumen esperado de operación y se elabora de forma prospectiva al inicio de la relación, ajustándose luego según la evolución de la actividad.</w:t>
      </w:r>
    </w:p>
    <w:p>
      <w:r>
        <w:rPr>
          <w:b/>
          <w:i w:val="0"/>
        </w:rPr>
        <w:t>Criterios de cálculo — persona humana:</w:t>
      </w:r>
    </w:p>
    <w:tbl>
      <w:tblPr>
        <w:tblStyle w:val="TableGrid"/>
        <w:tblW w:type="auto" w:w="0"/>
        <w:tblLook w:firstColumn="1" w:firstRow="1" w:lastColumn="0" w:lastRow="0" w:noHBand="0" w:noVBand="1" w:val="04A0"/>
      </w:tblPr>
      <w:tblGrid>
        <w:gridCol w:w="4514"/>
        <w:gridCol w:w="4514"/>
      </w:tblGrid>
      <w:tr>
        <w:tc>
          <w:tcPr>
            <w:tcW w:type="dxa" w:w="2880"/>
          </w:tcPr>
          <w:p>
            <w:r/>
            <w:r>
              <w:rPr>
                <w:b/>
                <w:color w:val="0B3C36"/>
                <w:sz w:val="19"/>
              </w:rPr>
              <w:t>Origen de ingresos</w:t>
            </w:r>
          </w:p>
        </w:tc>
        <w:tc>
          <w:tcPr>
            <w:tcW w:type="dxa" w:w="6192"/>
          </w:tcPr>
          <w:p>
            <w:r/>
            <w:r>
              <w:rPr>
                <w:b/>
                <w:color w:val="0B3C36"/>
                <w:sz w:val="19"/>
              </w:rPr>
              <w:t>Criterio de cálculo</w:t>
            </w:r>
          </w:p>
        </w:tc>
      </w:tr>
      <w:tr>
        <w:tc>
          <w:tcPr>
            <w:tcW w:type="dxa" w:w="2880"/>
          </w:tcPr>
          <w:p>
            <w:r/>
            <w:r>
              <w:rPr>
                <w:sz w:val="19"/>
              </w:rPr>
              <w:t>Recibo de sueldo</w:t>
            </w:r>
          </w:p>
        </w:tc>
        <w:tc>
          <w:tcPr>
            <w:tcW w:type="dxa" w:w="6192"/>
          </w:tcPr>
          <w:p>
            <w:r/>
            <w:r>
              <w:rPr>
                <w:sz w:val="19"/>
              </w:rPr>
              <w:t>Neto mensual × 13 (12 meses más aguinaldo). Solo ingresos normales y habituales; no computan bonos, indemnizaciones ni gratificaciones.</w:t>
            </w:r>
          </w:p>
        </w:tc>
      </w:tr>
      <w:tr>
        <w:tc>
          <w:tcPr>
            <w:tcW w:type="dxa" w:w="2880"/>
          </w:tcPr>
          <w:p>
            <w:r/>
            <w:r>
              <w:rPr>
                <w:sz w:val="19"/>
              </w:rPr>
              <w:t>Monotributista</w:t>
            </w:r>
          </w:p>
        </w:tc>
        <w:tc>
          <w:tcPr>
            <w:tcW w:type="dxa" w:w="6192"/>
          </w:tcPr>
          <w:p>
            <w:r/>
            <w:r>
              <w:rPr>
                <w:sz w:val="19"/>
              </w:rPr>
              <w:t>80% de los ingresos brutos anuales de la categoría en la que está inscripto.</w:t>
            </w:r>
          </w:p>
        </w:tc>
      </w:tr>
      <w:tr>
        <w:tc>
          <w:tcPr>
            <w:tcW w:type="dxa" w:w="2880"/>
          </w:tcPr>
          <w:p>
            <w:r/>
            <w:r>
              <w:rPr>
                <w:sz w:val="19"/>
              </w:rPr>
              <w:t>Responsable Inscripto sin documentación de respaldo</w:t>
            </w:r>
          </w:p>
        </w:tc>
        <w:tc>
          <w:tcPr>
            <w:tcW w:type="dxa" w:w="6192"/>
          </w:tcPr>
          <w:p>
            <w:r/>
            <w:r>
              <w:rPr>
                <w:sz w:val="19"/>
              </w:rPr>
              <w:t>74 SMVM.</w:t>
            </w:r>
          </w:p>
        </w:tc>
      </w:tr>
      <w:tr>
        <w:tc>
          <w:tcPr>
            <w:tcW w:type="dxa" w:w="2880"/>
          </w:tcPr>
          <w:p>
            <w:r/>
            <w:r>
              <w:rPr>
                <w:sz w:val="19"/>
              </w:rPr>
              <w:t>Certificación de Contador Público</w:t>
            </w:r>
          </w:p>
        </w:tc>
        <w:tc>
          <w:tcPr>
            <w:tcW w:type="dxa" w:w="6192"/>
          </w:tcPr>
          <w:p>
            <w:r/>
            <w:r>
              <w:rPr>
                <w:sz w:val="19"/>
              </w:rPr>
              <w:t>Los ingresos certificados. El profesional debe estar matriculado y la certificación intervenida por el Consejo Profesional.</w:t>
            </w:r>
          </w:p>
        </w:tc>
      </w:tr>
      <w:tr>
        <w:tc>
          <w:tcPr>
            <w:tcW w:type="dxa" w:w="2880"/>
          </w:tcPr>
          <w:p>
            <w:r/>
            <w:r>
              <w:rPr>
                <w:sz w:val="19"/>
              </w:rPr>
              <w:t>Otra documentación</w:t>
            </w:r>
          </w:p>
        </w:tc>
        <w:tc>
          <w:tcPr>
            <w:tcW w:type="dxa" w:w="6192"/>
          </w:tcPr>
          <w:p>
            <w:r/>
            <w:r>
              <w:rPr>
                <w:sz w:val="19"/>
              </w:rPr>
              <w:t>El Oficial de Cumplimiento determina el criterio y lo formaliza en el formulario de determinación del perfil.</w:t>
            </w:r>
          </w:p>
        </w:tc>
      </w:tr>
    </w:tbl>
    <w:p>
      <w:pPr>
        <w:spacing w:after="40"/>
      </w:pPr>
    </w:p>
    <w:p>
      <w:r>
        <w:rPr>
          <w:b/>
          <w:i w:val="0"/>
        </w:rPr>
        <w:t>Criterios de cálculo — persona jurídica:</w:t>
      </w:r>
    </w:p>
    <w:p>
      <w:pPr>
        <w:pStyle w:val="ListBullet"/>
        <w:spacing w:after="40"/>
        <w:ind w:left="360"/>
      </w:pPr>
      <w:r>
        <w:t>Estados contables auditados por contador público y certificados en el Consejo Profesional: se toman las ventas brutas.</w:t>
      </w:r>
    </w:p>
    <w:p>
      <w:pPr>
        <w:pStyle w:val="ListBullet"/>
        <w:spacing w:after="40"/>
        <w:ind w:left="360"/>
      </w:pPr>
      <w:r>
        <w:t>Otra documentación: criterio definido y formalizado por el Oficial de Cumplimiento.</w:t>
      </w:r>
    </w:p>
    <w:p>
      <w:pPr>
        <w:pStyle w:val="ListBullet"/>
        <w:spacing w:after="40"/>
        <w:ind w:left="360"/>
      </w:pPr>
      <w:r>
        <w:t>Sin documentación: aplica el perfil predeterminado de 120 SMVM.</w:t>
      </w:r>
    </w:p>
    <w:p>
      <w:r>
        <w:rPr>
          <w:b/>
          <w:i w:val="0"/>
        </w:rPr>
        <w:t>Umbrales de referencia:</w:t>
      </w:r>
    </w:p>
    <w:tbl>
      <w:tblPr>
        <w:tblStyle w:val="TableGrid"/>
        <w:tblW w:type="auto" w:w="0"/>
        <w:tblLook w:firstColumn="1" w:firstRow="1" w:lastColumn="0" w:lastRow="0" w:noHBand="0" w:noVBand="1" w:val="04A0"/>
      </w:tblPr>
      <w:tblGrid>
        <w:gridCol w:w="3010"/>
        <w:gridCol w:w="3010"/>
        <w:gridCol w:w="3010"/>
      </w:tblGrid>
      <w:tr>
        <w:tc>
          <w:tcPr>
            <w:tcW w:type="dxa" w:w="2160"/>
          </w:tcPr>
          <w:p>
            <w:r/>
            <w:r>
              <w:rPr>
                <w:b/>
                <w:color w:val="0B3C36"/>
                <w:sz w:val="19"/>
              </w:rPr>
              <w:t>Tipo de cliente</w:t>
            </w:r>
          </w:p>
        </w:tc>
        <w:tc>
          <w:tcPr>
            <w:tcW w:type="dxa" w:w="3024"/>
          </w:tcPr>
          <w:p>
            <w:r/>
            <w:r>
              <w:rPr>
                <w:b/>
                <w:color w:val="0B3C36"/>
                <w:sz w:val="19"/>
              </w:rPr>
              <w:t>Umbral</w:t>
            </w:r>
          </w:p>
        </w:tc>
        <w:tc>
          <w:tcPr>
            <w:tcW w:type="dxa" w:w="3888"/>
          </w:tcPr>
          <w:p>
            <w:r/>
            <w:r>
              <w:rPr>
                <w:b/>
                <w:color w:val="0B3C36"/>
                <w:sz w:val="19"/>
              </w:rPr>
              <w:t>Efecto al superarlo</w:t>
            </w:r>
          </w:p>
        </w:tc>
      </w:tr>
      <w:tr>
        <w:tc>
          <w:tcPr>
            <w:tcW w:type="dxa" w:w="2160"/>
          </w:tcPr>
          <w:p>
            <w:r/>
            <w:r>
              <w:rPr>
                <w:sz w:val="19"/>
              </w:rPr>
              <w:t>Persona humana</w:t>
            </w:r>
          </w:p>
        </w:tc>
        <w:tc>
          <w:tcPr>
            <w:tcW w:type="dxa" w:w="3024"/>
          </w:tcPr>
          <w:p>
            <w:r/>
            <w:r>
              <w:rPr>
                <w:sz w:val="19"/>
              </w:rPr>
              <w:t>12 SMVM mensuales o 74 SMVM anuales</w:t>
            </w:r>
          </w:p>
        </w:tc>
        <w:tc>
          <w:tcPr>
            <w:tcW w:type="dxa" w:w="3888"/>
          </w:tcPr>
          <w:p>
            <w:r/>
            <w:r>
              <w:rPr>
                <w:sz w:val="19"/>
              </w:rPr>
              <w:t>Se requiere información y documentación pertinente y se evalúa ajustar el perfil.</w:t>
            </w:r>
          </w:p>
        </w:tc>
      </w:tr>
      <w:tr>
        <w:tc>
          <w:tcPr>
            <w:tcW w:type="dxa" w:w="2160"/>
          </w:tcPr>
          <w:p>
            <w:r/>
            <w:r>
              <w:rPr>
                <w:sz w:val="19"/>
              </w:rPr>
              <w:t>Persona jurídica</w:t>
            </w:r>
          </w:p>
        </w:tc>
        <w:tc>
          <w:tcPr>
            <w:tcW w:type="dxa" w:w="3024"/>
          </w:tcPr>
          <w:p>
            <w:r/>
            <w:r>
              <w:rPr>
                <w:sz w:val="19"/>
              </w:rPr>
              <w:t>24 SMVM mensuales o 120 SMVM anuales</w:t>
            </w:r>
          </w:p>
        </w:tc>
        <w:tc>
          <w:tcPr>
            <w:tcW w:type="dxa" w:w="3888"/>
          </w:tcPr>
          <w:p>
            <w:r/>
            <w:r>
              <w:rPr>
                <w:sz w:val="19"/>
              </w:rPr>
              <w:t>Se requiere la documentación pertinente —en la práctica, estados contables— y se reevalúa el perfil.</w:t>
            </w:r>
          </w:p>
        </w:tc>
      </w:tr>
    </w:tbl>
    <w:p>
      <w:pPr>
        <w:spacing w:after="40"/>
      </w:pPr>
    </w:p>
    <w:p>
      <w:r>
        <w:rPr>
          <w:b w:val="0"/>
          <w:i w:val="0"/>
        </w:rPr>
        <w:t>El perfil predeterminado se basa en el Salario Mínimo Vital y Móvil, lo define y actualiza el Oficial de Cumplimiento con enfoque basado en riesgo, y solo aplica a clientes de riesgo bajo y medio. La plataforma debe permitir parametrizar el valor del SMVM y versionar sus actualizaciones.</w:t>
      </w:r>
    </w:p>
    <w:p>
      <w:pPr>
        <w:pStyle w:val="Heading3"/>
      </w:pPr>
      <w:r>
        <w:t>A.9 Monitoreo, operaciones inusuales y reportes</w:t>
      </w:r>
    </w:p>
    <w:p>
      <w:pPr>
        <w:pStyle w:val="ListBullet"/>
        <w:spacing w:after="40"/>
        <w:ind w:left="360"/>
      </w:pPr>
      <w:r>
        <w:rPr>
          <w:b/>
        </w:rPr>
        <w:t>Operación inusual</w:t>
      </w:r>
      <w:r>
        <w:t xml:space="preserve"> — aquella cuya cuantía o características no guardan relación con la actividad económica del cliente o que sale de los parámetros de normalidad. Genera un Reporte de Operación Inusual (ROI), de carácter interno.</w:t>
      </w:r>
    </w:p>
    <w:p>
      <w:pPr>
        <w:pStyle w:val="ListBullet"/>
        <w:spacing w:after="40"/>
        <w:ind w:left="360"/>
      </w:pPr>
      <w:r>
        <w:rPr>
          <w:b/>
        </w:rPr>
        <w:t>Operación sospechosa</w:t>
      </w:r>
      <w:r>
        <w:t xml:space="preserve"> — aquella que, analizada, genera sospecha de lavado de activos o financiación del terrorismo. Genera un Reporte de Operación Sospechosa (ROS) ante la UIF.</w:t>
      </w:r>
    </w:p>
    <w:p>
      <w:r>
        <w:rPr>
          <w:b/>
          <w:i w:val="0"/>
        </w:rPr>
        <w:t>Plazos de reporte a la UIF:</w:t>
      </w:r>
    </w:p>
    <w:tbl>
      <w:tblPr>
        <w:tblStyle w:val="TableGrid"/>
        <w:tblW w:type="auto" w:w="0"/>
        <w:tblLook w:firstColumn="1" w:firstRow="1" w:lastColumn="0" w:lastRow="0" w:noHBand="0" w:noVBand="1" w:val="04A0"/>
      </w:tblPr>
      <w:tblGrid>
        <w:gridCol w:w="4514"/>
        <w:gridCol w:w="4514"/>
      </w:tblGrid>
      <w:tr>
        <w:tc>
          <w:tcPr>
            <w:tcW w:type="dxa" w:w="2880"/>
          </w:tcPr>
          <w:p>
            <w:r/>
            <w:r>
              <w:rPr>
                <w:b/>
                <w:color w:val="0B3C36"/>
                <w:sz w:val="19"/>
              </w:rPr>
              <w:t>Tipo de reporte</w:t>
            </w:r>
          </w:p>
        </w:tc>
        <w:tc>
          <w:tcPr>
            <w:tcW w:type="dxa" w:w="6192"/>
          </w:tcPr>
          <w:p>
            <w:r/>
            <w:r>
              <w:rPr>
                <w:b/>
                <w:color w:val="0B3C36"/>
                <w:sz w:val="19"/>
              </w:rPr>
              <w:t>Plazo</w:t>
            </w:r>
          </w:p>
        </w:tc>
      </w:tr>
      <w:tr>
        <w:tc>
          <w:tcPr>
            <w:tcW w:type="dxa" w:w="2880"/>
          </w:tcPr>
          <w:p>
            <w:r/>
            <w:r>
              <w:rPr>
                <w:sz w:val="19"/>
              </w:rPr>
              <w:t>Lavado de activos</w:t>
            </w:r>
          </w:p>
        </w:tc>
        <w:tc>
          <w:tcPr>
            <w:tcW w:type="dxa" w:w="6192"/>
          </w:tcPr>
          <w:p>
            <w:r/>
            <w:r>
              <w:rPr>
                <w:sz w:val="19"/>
              </w:rPr>
              <w:t>24 horas desde que se concluye que la operación reviste tal carácter. La fecha de reporte no puede superar los 90 días corridos desde que la operación fue realizada o tentada.</w:t>
            </w:r>
          </w:p>
        </w:tc>
      </w:tr>
      <w:tr>
        <w:tc>
          <w:tcPr>
            <w:tcW w:type="dxa" w:w="2880"/>
          </w:tcPr>
          <w:p>
            <w:r/>
            <w:r>
              <w:rPr>
                <w:sz w:val="19"/>
              </w:rPr>
              <w:t>Financiación del terrorismo</w:t>
            </w:r>
          </w:p>
        </w:tc>
        <w:tc>
          <w:tcPr>
            <w:tcW w:type="dxa" w:w="6192"/>
          </w:tcPr>
          <w:p>
            <w:r/>
            <w:r>
              <w:rPr>
                <w:sz w:val="19"/>
              </w:rPr>
              <w:t>24 horas desde la operación realizada o tentada.</w:t>
            </w:r>
          </w:p>
        </w:tc>
      </w:tr>
      <w:tr>
        <w:tc>
          <w:tcPr>
            <w:tcW w:type="dxa" w:w="2880"/>
          </w:tcPr>
          <w:p>
            <w:r/>
            <w:r>
              <w:rPr>
                <w:sz w:val="19"/>
              </w:rPr>
              <w:t>Financiamiento de la proliferación de armas de destrucción masiva</w:t>
            </w:r>
          </w:p>
        </w:tc>
        <w:tc>
          <w:tcPr>
            <w:tcW w:type="dxa" w:w="6192"/>
          </w:tcPr>
          <w:p>
            <w:r/>
            <w:r>
              <w:rPr>
                <w:sz w:val="19"/>
              </w:rPr>
              <w:t>24 horas desde la operación realizada o tentada.</w:t>
            </w:r>
          </w:p>
        </w:tc>
      </w:tr>
    </w:tbl>
    <w:p>
      <w:pPr>
        <w:spacing w:after="40"/>
      </w:pPr>
    </w:p>
    <w:p>
      <w:r>
        <w:rPr>
          <w:b w:val="0"/>
          <w:i w:val="0"/>
        </w:rPr>
        <w:t>Los reportes son confidenciales y no pueden ser exhibidos a los organismos de control de la actividad, salvo en el marco de la colaboración que el BCRA preste a la UIF. Cuando el cliente opera fuera de su perfil transaccional, el Oficial de Cumplimiento revisa la documentación de la transacción, consulta fuentes públicas y privadas, y puede requerir información adicional al cliente.</w:t>
      </w:r>
    </w:p>
    <w:p>
      <w:pPr>
        <w:pStyle w:val="Heading3"/>
      </w:pPr>
      <w:r>
        <w:t>A.10 Conservación de la documentación</w:t>
      </w:r>
    </w:p>
    <w:p>
      <w:r>
        <w:rPr>
          <w:b w:val="0"/>
          <w:i w:val="0"/>
        </w:rPr>
        <w:t>La documentación que permita reconstruir la operatoria y sirva como elemento de prueba se conserva por un plazo mínimo de diez (10) años. Para los documentos acreditativos de operaciones, el plazo se cuenta desde la fecha de la operación. El proceso de identificación, verificación y aceptación de clientes no presenciales se conserva con constancia de fecha y hora.</w:t>
      </w:r>
    </w:p>
    <w:p>
      <w:pPr>
        <w:pStyle w:val="Heading3"/>
      </w:pPr>
      <w:r>
        <w:t>A.11 Productos disponibles</w:t>
      </w:r>
    </w:p>
    <w:tbl>
      <w:tblPr>
        <w:tblStyle w:val="TableGrid"/>
        <w:tblW w:type="auto" w:w="0"/>
        <w:tblLook w:firstColumn="1" w:firstRow="1" w:lastColumn="0" w:lastRow="0" w:noHBand="0" w:noVBand="1" w:val="04A0"/>
      </w:tblPr>
      <w:tblGrid>
        <w:gridCol w:w="3010"/>
        <w:gridCol w:w="3010"/>
        <w:gridCol w:w="3010"/>
      </w:tblGrid>
      <w:tr>
        <w:tc>
          <w:tcPr>
            <w:tcW w:type="dxa" w:w="2736"/>
          </w:tcPr>
          <w:p>
            <w:r/>
            <w:r>
              <w:rPr>
                <w:b/>
                <w:color w:val="0B3C36"/>
                <w:sz w:val="19"/>
              </w:rPr>
              <w:t>Producto</w:t>
            </w:r>
          </w:p>
        </w:tc>
        <w:tc>
          <w:tcPr>
            <w:tcW w:type="dxa" w:w="3168"/>
          </w:tcPr>
          <w:p>
            <w:r/>
            <w:r>
              <w:rPr>
                <w:b/>
                <w:color w:val="0B3C36"/>
                <w:sz w:val="19"/>
              </w:rPr>
              <w:t>Quién es el cliente</w:t>
            </w:r>
          </w:p>
        </w:tc>
        <w:tc>
          <w:tcPr>
            <w:tcW w:type="dxa" w:w="3168"/>
          </w:tcPr>
          <w:p>
            <w:r/>
            <w:r>
              <w:rPr>
                <w:b/>
                <w:color w:val="0B3C36"/>
                <w:sz w:val="19"/>
              </w:rPr>
              <w:t>Perfil predeterminado inicial</w:t>
            </w:r>
          </w:p>
        </w:tc>
      </w:tr>
      <w:tr>
        <w:tc>
          <w:tcPr>
            <w:tcW w:type="dxa" w:w="2736"/>
          </w:tcPr>
          <w:p>
            <w:r/>
            <w:r>
              <w:rPr>
                <w:sz w:val="19"/>
              </w:rPr>
              <w:t>Cuenta de pago (PSPCP)</w:t>
            </w:r>
          </w:p>
        </w:tc>
        <w:tc>
          <w:tcPr>
            <w:tcW w:type="dxa" w:w="3168"/>
          </w:tcPr>
          <w:p>
            <w:r/>
            <w:r>
              <w:rPr>
                <w:sz w:val="19"/>
              </w:rPr>
              <w:t>Titular de la cuenta de pago, persona humana o jurídica</w:t>
            </w:r>
          </w:p>
        </w:tc>
        <w:tc>
          <w:tcPr>
            <w:tcW w:type="dxa" w:w="3168"/>
          </w:tcPr>
          <w:p>
            <w:r/>
            <w:r>
              <w:rPr>
                <w:sz w:val="19"/>
              </w:rPr>
              <w:t>PH: 12 SMVM mensuales / 74 anuales. PJ: 120 SMVM.</w:t>
            </w:r>
          </w:p>
        </w:tc>
      </w:tr>
      <w:tr>
        <w:tc>
          <w:tcPr>
            <w:tcW w:type="dxa" w:w="2736"/>
          </w:tcPr>
          <w:p>
            <w:r/>
            <w:r>
              <w:rPr>
                <w:sz w:val="19"/>
              </w:rPr>
              <w:t>Comercio adherido (Agregador / Adquirente)</w:t>
            </w:r>
          </w:p>
        </w:tc>
        <w:tc>
          <w:tcPr>
            <w:tcW w:type="dxa" w:w="3168"/>
          </w:tcPr>
          <w:p>
            <w:r/>
            <w:r>
              <w:rPr>
                <w:sz w:val="19"/>
              </w:rPr>
              <w:t>El comercio adherido, persona humana o jurídica</w:t>
            </w:r>
          </w:p>
        </w:tc>
        <w:tc>
          <w:tcPr>
            <w:tcW w:type="dxa" w:w="3168"/>
          </w:tcPr>
          <w:p>
            <w:r/>
            <w:r>
              <w:rPr>
                <w:sz w:val="19"/>
              </w:rPr>
              <w:t>Mismo esquema. El perfil se construye sobre el volumen de ventas esperado, no sobre los ingresos personales del titular.</w:t>
            </w:r>
          </w:p>
        </w:tc>
      </w:tr>
    </w:tbl>
    <w:p>
      <w:pPr>
        <w:spacing w:after="40"/>
      </w:pPr>
    </w:p>
    <w:p>
      <w:r>
        <w:rPr>
          <w:b w:val="0"/>
          <w:i w:val="0"/>
        </w:rPr>
        <w:t>Consideración operativa para comercio adherido: la fuente más relevante para el perfil es la constancia de Monotributo, dado que la categoría fija el techo de facturación anual. Si el comercio supera su categoría operando, es la primera señal de alerta para revisar la calibración del perfil. La descripción del negocio —qué vende, canal de ventas y volumen mensual esperado— debe capturarse en el onboarding para evaluar la coherencia del perfil transaccional.</w:t>
      </w:r>
    </w:p>
    <w:p>
      <w:r>
        <w:rPr>
          <w:b w:val="0"/>
          <w:i/>
          <w:color w:val="575759"/>
        </w:rPr>
        <w:t>El Manual no define un procedimiento de identificación distinto por producto: una vez determinado quién es el Cliente, se aplica el mismo proceso. La diferencia entre productos es operativa y de perfil, no de requisitos de identificación.</w:t>
      </w:r>
    </w:p>
    <w:p>
      <w:pPr>
        <w:pStyle w:val="Heading3"/>
      </w:pPr>
      <w:r>
        <w:t>A.12 Configuración del tenant Argentina</w:t>
      </w:r>
    </w:p>
    <w:tbl>
      <w:tblPr>
        <w:tblStyle w:val="TableGrid"/>
        <w:tblW w:type="auto" w:w="0"/>
        <w:tblLook w:firstColumn="1" w:firstRow="1" w:lastColumn="0" w:lastRow="0" w:noHBand="0" w:noVBand="1" w:val="04A0"/>
      </w:tblPr>
      <w:tblGrid>
        <w:gridCol w:w="4514"/>
        <w:gridCol w:w="4514"/>
      </w:tblGrid>
      <w:tr>
        <w:tc>
          <w:tcPr>
            <w:tcW w:type="dxa" w:w="3168"/>
          </w:tcPr>
          <w:p>
            <w:r/>
            <w:r>
              <w:rPr>
                <w:b/>
                <w:color w:val="0B3C36"/>
                <w:sz w:val="19"/>
              </w:rPr>
              <w:t>Parámetro</w:t>
            </w:r>
          </w:p>
        </w:tc>
        <w:tc>
          <w:tcPr>
            <w:tcW w:type="dxa" w:w="5904"/>
          </w:tcPr>
          <w:p>
            <w:r/>
            <w:r>
              <w:rPr>
                <w:b/>
                <w:color w:val="0B3C36"/>
                <w:sz w:val="19"/>
              </w:rPr>
              <w:t>Valor</w:t>
            </w:r>
          </w:p>
        </w:tc>
      </w:tr>
      <w:tr>
        <w:tc>
          <w:tcPr>
            <w:tcW w:type="dxa" w:w="3168"/>
          </w:tcPr>
          <w:p>
            <w:r/>
            <w:r>
              <w:rPr>
                <w:sz w:val="19"/>
              </w:rPr>
              <w:t>Identificación fiscal</w:t>
            </w:r>
          </w:p>
        </w:tc>
        <w:tc>
          <w:tcPr>
            <w:tcW w:type="dxa" w:w="5904"/>
          </w:tcPr>
          <w:p>
            <w:r/>
            <w:r>
              <w:rPr>
                <w:sz w:val="19"/>
              </w:rPr>
              <w:t>CUIT / CUIL / CDI — 11 dígitos con dígito verificador</w:t>
            </w:r>
          </w:p>
        </w:tc>
      </w:tr>
      <w:tr>
        <w:tc>
          <w:tcPr>
            <w:tcW w:type="dxa" w:w="3168"/>
          </w:tcPr>
          <w:p>
            <w:r/>
            <w:r>
              <w:rPr>
                <w:sz w:val="19"/>
              </w:rPr>
              <w:t>Moneda</w:t>
            </w:r>
          </w:p>
        </w:tc>
        <w:tc>
          <w:tcPr>
            <w:tcW w:type="dxa" w:w="5904"/>
          </w:tcPr>
          <w:p>
            <w:r/>
            <w:r>
              <w:rPr>
                <w:sz w:val="19"/>
              </w:rPr>
              <w:t>ARS</w:t>
            </w:r>
          </w:p>
        </w:tc>
      </w:tr>
      <w:tr>
        <w:tc>
          <w:tcPr>
            <w:tcW w:type="dxa" w:w="3168"/>
          </w:tcPr>
          <w:p>
            <w:r/>
            <w:r>
              <w:rPr>
                <w:sz w:val="19"/>
              </w:rPr>
              <w:t>Entidad legal</w:t>
            </w:r>
          </w:p>
        </w:tc>
        <w:tc>
          <w:tcPr>
            <w:tcW w:type="dxa" w:w="5904"/>
          </w:tcPr>
          <w:p>
            <w:r/>
            <w:r>
              <w:rPr>
                <w:sz w:val="19"/>
              </w:rPr>
              <w:t>Simple Payments SAS — Registro BCRA N° 34.663</w:t>
            </w:r>
          </w:p>
        </w:tc>
      </w:tr>
      <w:tr>
        <w:tc>
          <w:tcPr>
            <w:tcW w:type="dxa" w:w="3168"/>
          </w:tcPr>
          <w:p>
            <w:r/>
            <w:r>
              <w:rPr>
                <w:sz w:val="19"/>
              </w:rPr>
              <w:t>Autoridades de aplicación</w:t>
            </w:r>
          </w:p>
        </w:tc>
        <w:tc>
          <w:tcPr>
            <w:tcW w:type="dxa" w:w="5904"/>
          </w:tcPr>
          <w:p>
            <w:r/>
            <w:r>
              <w:rPr>
                <w:sz w:val="19"/>
              </w:rPr>
              <w:t>UIF y BCRA</w:t>
            </w:r>
          </w:p>
        </w:tc>
      </w:tr>
      <w:tr>
        <w:tc>
          <w:tcPr>
            <w:tcW w:type="dxa" w:w="3168"/>
          </w:tcPr>
          <w:p>
            <w:r/>
            <w:r>
              <w:rPr>
                <w:sz w:val="19"/>
              </w:rPr>
              <w:t>Unidad de referencia para umbrales</w:t>
            </w:r>
          </w:p>
        </w:tc>
        <w:tc>
          <w:tcPr>
            <w:tcW w:type="dxa" w:w="5904"/>
          </w:tcPr>
          <w:p>
            <w:r/>
            <w:r>
              <w:rPr>
                <w:sz w:val="19"/>
              </w:rPr>
              <w:t>Salario Mínimo Vital y Móvil (SMVM), parametrizable y versionado</w:t>
            </w:r>
          </w:p>
        </w:tc>
      </w:tr>
      <w:tr>
        <w:tc>
          <w:tcPr>
            <w:tcW w:type="dxa" w:w="3168"/>
          </w:tcPr>
          <w:p>
            <w:r/>
            <w:r>
              <w:rPr>
                <w:sz w:val="19"/>
              </w:rPr>
              <w:t>Conservación mínima</w:t>
            </w:r>
          </w:p>
        </w:tc>
        <w:tc>
          <w:tcPr>
            <w:tcW w:type="dxa" w:w="5904"/>
          </w:tcPr>
          <w:p>
            <w:r/>
            <w:r>
              <w:rPr>
                <w:sz w:val="19"/>
              </w:rPr>
              <w:t>10 años</w:t>
            </w:r>
          </w:p>
        </w:tc>
      </w:tr>
    </w:tbl>
    <w:p>
      <w:pPr>
        <w:spacing w:after="40"/>
      </w:pPr>
    </w:p>
    <w:p>
      <w:r>
        <w:br w:type="page"/>
      </w:r>
    </w:p>
    <w:p>
      <w:pPr>
        <w:pStyle w:val="Heading2"/>
      </w:pPr>
      <w:r>
        <w:t>13. Anexo B — Colombia</w:t>
      </w:r>
    </w:p>
    <w:p>
      <w:r>
        <w:rPr>
          <w:b/>
          <w:color w:val="F99B1C"/>
        </w:rPr>
        <w:t>⬜ PENDIENTE — Anexo a completar. La estructura replica la del Anexo A para permitir la carga progresiva de información a medida que se releve el marco regulatorio local.</w:t>
      </w:r>
    </w:p>
    <w:p>
      <w:pPr>
        <w:pStyle w:val="Heading3"/>
      </w:pPr>
      <w:r>
        <w:t>B.1 Marco normativo aplicable</w:t>
      </w:r>
    </w:p>
    <w:p>
      <w:r>
        <w:rPr>
          <w:b w:val="0"/>
          <w:i/>
          <w:color w:val="575759"/>
        </w:rPr>
        <w:t>Relevar normativa de prevención de lavado de activos y financiación del terrorismo aplicable (régimen SARLAFT/SAGRILAFT según corresponda), autoridad de supervisión y unidad de análisis financiero.</w:t>
      </w:r>
    </w:p>
    <w:p>
      <w:pPr>
        <w:pStyle w:val="Heading3"/>
      </w:pPr>
      <w:r>
        <w:t>B.2 Definición de Cliente según el rol de Klu</w:t>
      </w:r>
    </w:p>
    <w:p>
      <w:r>
        <w:rPr>
          <w:b w:val="0"/>
          <w:i/>
          <w:color w:val="575759"/>
        </w:rPr>
        <w:t>Definir quién es el Cliente para cada rol que ocupe Klu en el país.</w:t>
      </w:r>
    </w:p>
    <w:p>
      <w:pPr>
        <w:pStyle w:val="Heading3"/>
      </w:pPr>
      <w:r>
        <w:t>B.3 Datos mínimos de identificación</w:t>
      </w:r>
    </w:p>
    <w:p>
      <w:r>
        <w:rPr>
          <w:b w:val="0"/>
          <w:i/>
          <w:color w:val="575759"/>
        </w:rPr>
        <w:t>Enumerar datos obligatorios para persona natural y persona jurídica, y supuestos especiales.</w:t>
      </w:r>
    </w:p>
    <w:p>
      <w:pPr>
        <w:pStyle w:val="Heading3"/>
      </w:pPr>
      <w:r>
        <w:t>B.4 Beneficiario final y estructura de control</w:t>
      </w:r>
    </w:p>
    <w:p>
      <w:r>
        <w:rPr>
          <w:b w:val="0"/>
          <w:i/>
          <w:color w:val="575759"/>
        </w:rPr>
        <w:t>Definir umbral de participación y criterios de identificación del beneficiario final.</w:t>
      </w:r>
    </w:p>
    <w:p>
      <w:pPr>
        <w:pStyle w:val="Heading3"/>
      </w:pPr>
      <w:r>
        <w:t>B.5 Personas Expuestas Políticamente (PEP)</w:t>
      </w:r>
    </w:p>
    <w:p>
      <w:r>
        <w:rPr>
          <w:b w:val="0"/>
          <w:i/>
          <w:color w:val="575759"/>
        </w:rPr>
        <w:t>Definir alcance de la condición de PEP y nivel de aprobación requerido.</w:t>
      </w:r>
    </w:p>
    <w:p>
      <w:pPr>
        <w:pStyle w:val="Heading3"/>
      </w:pPr>
      <w:r>
        <w:t>B.6 Controles obligatorios antes del alta</w:t>
      </w:r>
    </w:p>
    <w:p>
      <w:r>
        <w:rPr>
          <w:b w:val="0"/>
          <w:i/>
          <w:color w:val="575759"/>
        </w:rPr>
        <w:t>Definir listas y registros de consulta obligatoria y el efecto de cada resultado.</w:t>
      </w:r>
    </w:p>
    <w:p>
      <w:pPr>
        <w:pStyle w:val="Heading3"/>
      </w:pPr>
      <w:r>
        <w:t>B.7 Segmentación de riesgo y debida diligencia</w:t>
      </w:r>
    </w:p>
    <w:p>
      <w:r>
        <w:rPr>
          <w:b w:val="0"/>
          <w:i/>
          <w:color w:val="575759"/>
        </w:rPr>
        <w:t>Definir niveles de riesgo, tipo de diligencia y periodicidad de actualización del legajo.</w:t>
      </w:r>
    </w:p>
    <w:p>
      <w:pPr>
        <w:pStyle w:val="Heading3"/>
      </w:pPr>
      <w:r>
        <w:t>B.8 Perfil transaccional</w:t>
      </w:r>
    </w:p>
    <w:p>
      <w:r>
        <w:rPr>
          <w:b w:val="0"/>
          <w:i/>
          <w:color w:val="575759"/>
        </w:rPr>
        <w:t>Definir criterios de cálculo, unidad de referencia para umbrales y perfiles predeterminados.</w:t>
      </w:r>
    </w:p>
    <w:p>
      <w:pPr>
        <w:pStyle w:val="Heading3"/>
      </w:pPr>
      <w:r>
        <w:t>B.9 Monitoreo, operaciones inusuales y reportes</w:t>
      </w:r>
    </w:p>
    <w:p>
      <w:r>
        <w:rPr>
          <w:b w:val="0"/>
          <w:i/>
          <w:color w:val="575759"/>
        </w:rPr>
        <w:t>Definir tipos de reporte, destinatario y plazos.</w:t>
      </w:r>
    </w:p>
    <w:p>
      <w:pPr>
        <w:pStyle w:val="Heading3"/>
      </w:pPr>
      <w:r>
        <w:t>B.10 Conservación de la documentación</w:t>
      </w:r>
    </w:p>
    <w:p>
      <w:r>
        <w:rPr>
          <w:b w:val="0"/>
          <w:i/>
          <w:color w:val="575759"/>
        </w:rPr>
        <w:t>Definir plazo mínimo de conservación y cómputo.</w:t>
      </w:r>
    </w:p>
    <w:p>
      <w:pPr>
        <w:pStyle w:val="Heading3"/>
      </w:pPr>
      <w:r>
        <w:t>B.11 Productos disponibles</w:t>
      </w:r>
    </w:p>
    <w:p>
      <w:r>
        <w:rPr>
          <w:b w:val="0"/>
          <w:i/>
          <w:color w:val="575759"/>
        </w:rPr>
        <w:t>Definir catálogo de productos y capas de habilitación.</w:t>
      </w:r>
    </w:p>
    <w:p>
      <w:pPr>
        <w:pStyle w:val="Heading3"/>
      </w:pPr>
      <w:r>
        <w:t>B.12 Configuración del tenant Colombia</w:t>
      </w:r>
    </w:p>
    <w:p>
      <w:r>
        <w:rPr>
          <w:b w:val="0"/>
          <w:i/>
          <w:color w:val="575759"/>
        </w:rPr>
        <w:t>Identificación fiscal (NIT / cédula), moneda (COP), entidad legal, autoridades y unidad de referencia.</w:t>
      </w:r>
    </w:p>
    <w:p>
      <w:r>
        <w:br w:type="page"/>
      </w:r>
    </w:p>
    <w:p>
      <w:pPr>
        <w:pStyle w:val="Heading2"/>
      </w:pPr>
      <w:r>
        <w:t>14. Anexo C — Perú</w:t>
      </w:r>
    </w:p>
    <w:p>
      <w:r>
        <w:rPr>
          <w:b/>
          <w:color w:val="F99B1C"/>
        </w:rPr>
        <w:t>⬜ PENDIENTE — Anexo a completar. La estructura replica la del Anexo A para permitir la carga progresiva de información a medida que se releve el marco regulatorio local.</w:t>
      </w:r>
    </w:p>
    <w:p>
      <w:pPr>
        <w:pStyle w:val="Heading3"/>
      </w:pPr>
      <w:r>
        <w:t>C.1 Marco normativo aplicable</w:t>
      </w:r>
    </w:p>
    <w:p>
      <w:r>
        <w:rPr>
          <w:b w:val="0"/>
          <w:i/>
          <w:color w:val="575759"/>
        </w:rPr>
        <w:t>Relevar normativa de prevención de lavado de activos y financiamiento del terrorismo, autoridad de supervisión (SBS) y unidad de inteligencia financiera.</w:t>
      </w:r>
    </w:p>
    <w:p>
      <w:pPr>
        <w:pStyle w:val="Heading3"/>
      </w:pPr>
      <w:r>
        <w:t>C.2 Definición de Cliente según el rol de Klu</w:t>
      </w:r>
    </w:p>
    <w:p>
      <w:r>
        <w:rPr>
          <w:b w:val="0"/>
          <w:i/>
          <w:color w:val="575759"/>
        </w:rPr>
        <w:t>Definir quién es el Cliente para cada rol que ocupe Klu en el país.</w:t>
      </w:r>
    </w:p>
    <w:p>
      <w:pPr>
        <w:pStyle w:val="Heading3"/>
      </w:pPr>
      <w:r>
        <w:t>C.3 Datos mínimos de identificación</w:t>
      </w:r>
    </w:p>
    <w:p>
      <w:r>
        <w:rPr>
          <w:b w:val="0"/>
          <w:i/>
          <w:color w:val="575759"/>
        </w:rPr>
        <w:t>Enumerar datos obligatorios para persona natural y persona jurídica, y supuestos especiales.</w:t>
      </w:r>
    </w:p>
    <w:p>
      <w:pPr>
        <w:pStyle w:val="Heading3"/>
      </w:pPr>
      <w:r>
        <w:t>C.4 Beneficiario final y estructura de control</w:t>
      </w:r>
    </w:p>
    <w:p>
      <w:r>
        <w:rPr>
          <w:b w:val="0"/>
          <w:i/>
          <w:color w:val="575759"/>
        </w:rPr>
        <w:t>Definir umbral de participación y criterios de identificación del beneficiario final.</w:t>
      </w:r>
    </w:p>
    <w:p>
      <w:pPr>
        <w:pStyle w:val="Heading3"/>
      </w:pPr>
      <w:r>
        <w:t>C.5 Personas Expuestas Políticamente (PEP)</w:t>
      </w:r>
    </w:p>
    <w:p>
      <w:r>
        <w:rPr>
          <w:b w:val="0"/>
          <w:i/>
          <w:color w:val="575759"/>
        </w:rPr>
        <w:t>Definir alcance de la condición de PEP y nivel de aprobación requerido.</w:t>
      </w:r>
    </w:p>
    <w:p>
      <w:pPr>
        <w:pStyle w:val="Heading3"/>
      </w:pPr>
      <w:r>
        <w:t>C.6 Controles obligatorios antes del alta</w:t>
      </w:r>
    </w:p>
    <w:p>
      <w:r>
        <w:rPr>
          <w:b w:val="0"/>
          <w:i/>
          <w:color w:val="575759"/>
        </w:rPr>
        <w:t>Definir listas y registros de consulta obligatoria y el efecto de cada resultado.</w:t>
      </w:r>
    </w:p>
    <w:p>
      <w:pPr>
        <w:pStyle w:val="Heading3"/>
      </w:pPr>
      <w:r>
        <w:t>C.7 Segmentación de riesgo y debida diligencia</w:t>
      </w:r>
    </w:p>
    <w:p>
      <w:r>
        <w:rPr>
          <w:b w:val="0"/>
          <w:i/>
          <w:color w:val="575759"/>
        </w:rPr>
        <w:t>Definir niveles de riesgo, tipo de diligencia y periodicidad de actualización del legajo.</w:t>
      </w:r>
    </w:p>
    <w:p>
      <w:pPr>
        <w:pStyle w:val="Heading3"/>
      </w:pPr>
      <w:r>
        <w:t>C.8 Perfil transaccional</w:t>
      </w:r>
    </w:p>
    <w:p>
      <w:r>
        <w:rPr>
          <w:b w:val="0"/>
          <w:i/>
          <w:color w:val="575759"/>
        </w:rPr>
        <w:t>Definir criterios de cálculo, unidad de referencia para umbrales y perfiles predeterminados.</w:t>
      </w:r>
    </w:p>
    <w:p>
      <w:pPr>
        <w:pStyle w:val="Heading3"/>
      </w:pPr>
      <w:r>
        <w:t>C.9 Monitoreo, operaciones inusuales y reportes</w:t>
      </w:r>
    </w:p>
    <w:p>
      <w:r>
        <w:rPr>
          <w:b w:val="0"/>
          <w:i/>
          <w:color w:val="575759"/>
        </w:rPr>
        <w:t>Definir tipos de reporte, destinatario y plazos.</w:t>
      </w:r>
    </w:p>
    <w:p>
      <w:pPr>
        <w:pStyle w:val="Heading3"/>
      </w:pPr>
      <w:r>
        <w:t>C.10 Conservación de la documentación</w:t>
      </w:r>
    </w:p>
    <w:p>
      <w:r>
        <w:rPr>
          <w:b w:val="0"/>
          <w:i/>
          <w:color w:val="575759"/>
        </w:rPr>
        <w:t>Definir plazo mínimo de conservación y cómputo.</w:t>
      </w:r>
    </w:p>
    <w:p>
      <w:pPr>
        <w:pStyle w:val="Heading3"/>
      </w:pPr>
      <w:r>
        <w:t>C.11 Productos disponibles</w:t>
      </w:r>
    </w:p>
    <w:p>
      <w:r>
        <w:rPr>
          <w:b w:val="0"/>
          <w:i/>
          <w:color w:val="575759"/>
        </w:rPr>
        <w:t>Definir catálogo de productos y capas de habilitación.</w:t>
      </w:r>
    </w:p>
    <w:p>
      <w:pPr>
        <w:pStyle w:val="Heading3"/>
      </w:pPr>
      <w:r>
        <w:t>C.12 Configuración del tenant Perú</w:t>
      </w:r>
    </w:p>
    <w:p>
      <w:r>
        <w:rPr>
          <w:b w:val="0"/>
          <w:i/>
          <w:color w:val="575759"/>
        </w:rPr>
        <w:t>Identificación fiscal (RUC / DNI), moneda (PEN), entidad legal, autoridades y unidad de referencia.</w:t>
      </w:r>
    </w:p>
    <w:p>
      <w:r>
        <w:br w:type="page"/>
      </w:r>
    </w:p>
    <w:p>
      <w:pPr>
        <w:pStyle w:val="Heading2"/>
      </w:pPr>
      <w:r>
        <w:t>15. Anexo D — Cómo se agrega un país</w:t>
      </w:r>
    </w:p>
    <w:p>
      <w:r>
        <w:rPr>
          <w:b w:val="0"/>
          <w:i w:val="0"/>
        </w:rPr>
        <w:t>Checklist de habilitación de una jurisdicción nueva. El objetivo es que abrir un país sea un ejercicio de relevamiento y configuración, sin desarrollo de producto.</w:t>
      </w:r>
    </w:p>
    <w:tbl>
      <w:tblPr>
        <w:tblStyle w:val="TableGrid"/>
        <w:tblW w:type="auto" w:w="0"/>
        <w:tblLook w:firstColumn="1" w:firstRow="1" w:lastColumn="0" w:lastRow="0" w:noHBand="0" w:noVBand="1" w:val="04A0"/>
      </w:tblPr>
      <w:tblGrid>
        <w:gridCol w:w="2257"/>
        <w:gridCol w:w="2257"/>
        <w:gridCol w:w="2257"/>
        <w:gridCol w:w="2257"/>
      </w:tblGrid>
      <w:tr>
        <w:tc>
          <w:tcPr>
            <w:tcW w:type="dxa" w:w="504"/>
          </w:tcPr>
          <w:p>
            <w:r/>
            <w:r>
              <w:rPr>
                <w:b/>
                <w:color w:val="0B3C36"/>
                <w:sz w:val="19"/>
              </w:rPr>
              <w:t>#</w:t>
            </w:r>
          </w:p>
        </w:tc>
        <w:tc>
          <w:tcPr>
            <w:tcW w:type="dxa" w:w="4608"/>
          </w:tcPr>
          <w:p>
            <w:r/>
            <w:r>
              <w:rPr>
                <w:b/>
                <w:color w:val="0B3C36"/>
                <w:sz w:val="19"/>
              </w:rPr>
              <w:t>Paso</w:t>
            </w:r>
          </w:p>
        </w:tc>
        <w:tc>
          <w:tcPr>
            <w:tcW w:type="dxa" w:w="2160"/>
          </w:tcPr>
          <w:p>
            <w:r/>
            <w:r>
              <w:rPr>
                <w:b/>
                <w:color w:val="0B3C36"/>
                <w:sz w:val="19"/>
              </w:rPr>
              <w:t>Responsable</w:t>
            </w:r>
          </w:p>
        </w:tc>
        <w:tc>
          <w:tcPr>
            <w:tcW w:type="dxa" w:w="1800"/>
          </w:tcPr>
          <w:p>
            <w:r/>
            <w:r>
              <w:rPr>
                <w:b/>
                <w:color w:val="0B3C36"/>
                <w:sz w:val="19"/>
              </w:rPr>
              <w:t>Resultado</w:t>
            </w:r>
          </w:p>
        </w:tc>
      </w:tr>
      <w:tr>
        <w:tc>
          <w:tcPr>
            <w:tcW w:type="dxa" w:w="504"/>
          </w:tcPr>
          <w:p>
            <w:r/>
            <w:r>
              <w:rPr>
                <w:sz w:val="19"/>
              </w:rPr>
              <w:t>1</w:t>
            </w:r>
          </w:p>
        </w:tc>
        <w:tc>
          <w:tcPr>
            <w:tcW w:type="dxa" w:w="4608"/>
          </w:tcPr>
          <w:p>
            <w:r/>
            <w:r>
              <w:rPr>
                <w:sz w:val="19"/>
              </w:rPr>
              <w:t>Relevar el marco normativo local y completar el anexo del país (secciones .1 a .10).</w:t>
            </w:r>
          </w:p>
        </w:tc>
        <w:tc>
          <w:tcPr>
            <w:tcW w:type="dxa" w:w="2160"/>
          </w:tcPr>
          <w:p>
            <w:r/>
            <w:r>
              <w:rPr>
                <w:sz w:val="19"/>
              </w:rPr>
              <w:t>Cumplimiento + Legal</w:t>
            </w:r>
          </w:p>
        </w:tc>
        <w:tc>
          <w:tcPr>
            <w:tcW w:type="dxa" w:w="1800"/>
          </w:tcPr>
          <w:p>
            <w:r/>
            <w:r>
              <w:rPr>
                <w:sz w:val="19"/>
              </w:rPr>
              <w:t>Anexo del país completo</w:t>
            </w:r>
          </w:p>
        </w:tc>
      </w:tr>
      <w:tr>
        <w:tc>
          <w:tcPr>
            <w:tcW w:type="dxa" w:w="504"/>
          </w:tcPr>
          <w:p>
            <w:r/>
            <w:r>
              <w:rPr>
                <w:sz w:val="19"/>
              </w:rPr>
              <w:t>2</w:t>
            </w:r>
          </w:p>
        </w:tc>
        <w:tc>
          <w:tcPr>
            <w:tcW w:type="dxa" w:w="4608"/>
          </w:tcPr>
          <w:p>
            <w:r/>
            <w:r>
              <w:rPr>
                <w:sz w:val="19"/>
              </w:rPr>
              <w:t>Definir el catálogo de productos y las capas de habilitación de cada uno.</w:t>
            </w:r>
          </w:p>
        </w:tc>
        <w:tc>
          <w:tcPr>
            <w:tcW w:type="dxa" w:w="2160"/>
          </w:tcPr>
          <w:p>
            <w:r/>
            <w:r>
              <w:rPr>
                <w:sz w:val="19"/>
              </w:rPr>
              <w:t>Producto + Negocio</w:t>
            </w:r>
          </w:p>
        </w:tc>
        <w:tc>
          <w:tcPr>
            <w:tcW w:type="dxa" w:w="1800"/>
          </w:tcPr>
          <w:p>
            <w:r/>
            <w:r>
              <w:rPr>
                <w:sz w:val="19"/>
              </w:rPr>
              <w:t>Sección .11 del anexo</w:t>
            </w:r>
          </w:p>
        </w:tc>
      </w:tr>
      <w:tr>
        <w:tc>
          <w:tcPr>
            <w:tcW w:type="dxa" w:w="504"/>
          </w:tcPr>
          <w:p>
            <w:r/>
            <w:r>
              <w:rPr>
                <w:sz w:val="19"/>
              </w:rPr>
              <w:t>3</w:t>
            </w:r>
          </w:p>
        </w:tc>
        <w:tc>
          <w:tcPr>
            <w:tcW w:type="dxa" w:w="4608"/>
          </w:tcPr>
          <w:p>
            <w:r/>
            <w:r>
              <w:rPr>
                <w:sz w:val="19"/>
              </w:rPr>
              <w:t>Configurar el tenant: identificación fiscal y su validación, moneda, idioma y entidad legal.</w:t>
            </w:r>
          </w:p>
        </w:tc>
        <w:tc>
          <w:tcPr>
            <w:tcW w:type="dxa" w:w="2160"/>
          </w:tcPr>
          <w:p>
            <w:r/>
            <w:r>
              <w:rPr>
                <w:sz w:val="19"/>
              </w:rPr>
              <w:t>Administrador de plataforma</w:t>
            </w:r>
          </w:p>
        </w:tc>
        <w:tc>
          <w:tcPr>
            <w:tcW w:type="dxa" w:w="1800"/>
          </w:tcPr>
          <w:p>
            <w:r/>
            <w:r>
              <w:rPr>
                <w:sz w:val="19"/>
              </w:rPr>
              <w:t>Tenant operativo</w:t>
            </w:r>
          </w:p>
        </w:tc>
      </w:tr>
      <w:tr>
        <w:tc>
          <w:tcPr>
            <w:tcW w:type="dxa" w:w="504"/>
          </w:tcPr>
          <w:p>
            <w:r/>
            <w:r>
              <w:rPr>
                <w:sz w:val="19"/>
              </w:rPr>
              <w:t>4</w:t>
            </w:r>
          </w:p>
        </w:tc>
        <w:tc>
          <w:tcPr>
            <w:tcW w:type="dxa" w:w="4608"/>
          </w:tcPr>
          <w:p>
            <w:r/>
            <w:r>
              <w:rPr>
                <w:sz w:val="19"/>
              </w:rPr>
              <w:t>Cargar formularios por tipo de cliente y capa, con campos, validaciones y textos de ayuda.</w:t>
            </w:r>
          </w:p>
        </w:tc>
        <w:tc>
          <w:tcPr>
            <w:tcW w:type="dxa" w:w="2160"/>
          </w:tcPr>
          <w:p>
            <w:r/>
            <w:r>
              <w:rPr>
                <w:sz w:val="19"/>
              </w:rPr>
              <w:t>Producto + Cumplimiento</w:t>
            </w:r>
          </w:p>
        </w:tc>
        <w:tc>
          <w:tcPr>
            <w:tcW w:type="dxa" w:w="1800"/>
          </w:tcPr>
          <w:p>
            <w:r/>
            <w:r>
              <w:rPr>
                <w:sz w:val="19"/>
              </w:rPr>
              <w:t>Flujo de cliente funcionando</w:t>
            </w:r>
          </w:p>
        </w:tc>
      </w:tr>
      <w:tr>
        <w:tc>
          <w:tcPr>
            <w:tcW w:type="dxa" w:w="504"/>
          </w:tcPr>
          <w:p>
            <w:r/>
            <w:r>
              <w:rPr>
                <w:sz w:val="19"/>
              </w:rPr>
              <w:t>5</w:t>
            </w:r>
          </w:p>
        </w:tc>
        <w:tc>
          <w:tcPr>
            <w:tcW w:type="dxa" w:w="4608"/>
          </w:tcPr>
          <w:p>
            <w:r/>
            <w:r>
              <w:rPr>
                <w:sz w:val="19"/>
              </w:rPr>
              <w:t>Cargar los controles obligatorios con su alcance y efecto, e integrar fuentes si están disponibles.</w:t>
            </w:r>
          </w:p>
        </w:tc>
        <w:tc>
          <w:tcPr>
            <w:tcW w:type="dxa" w:w="2160"/>
          </w:tcPr>
          <w:p>
            <w:r/>
            <w:r>
              <w:rPr>
                <w:sz w:val="19"/>
              </w:rPr>
              <w:t>Cumplimiento + Ingeniería</w:t>
            </w:r>
          </w:p>
        </w:tc>
        <w:tc>
          <w:tcPr>
            <w:tcW w:type="dxa" w:w="1800"/>
          </w:tcPr>
          <w:p>
            <w:r/>
            <w:r>
              <w:rPr>
                <w:sz w:val="19"/>
              </w:rPr>
              <w:t>Motor de controles activo</w:t>
            </w:r>
          </w:p>
        </w:tc>
      </w:tr>
      <w:tr>
        <w:tc>
          <w:tcPr>
            <w:tcW w:type="dxa" w:w="504"/>
          </w:tcPr>
          <w:p>
            <w:r/>
            <w:r>
              <w:rPr>
                <w:sz w:val="19"/>
              </w:rPr>
              <w:t>6</w:t>
            </w:r>
          </w:p>
        </w:tc>
        <w:tc>
          <w:tcPr>
            <w:tcW w:type="dxa" w:w="4608"/>
          </w:tcPr>
          <w:p>
            <w:r/>
            <w:r>
              <w:rPr>
                <w:sz w:val="19"/>
              </w:rPr>
              <w:t>Definir factores y niveles de riesgo, reglas de perfil transaccional y unidad de referencia de umbrales.</w:t>
            </w:r>
          </w:p>
        </w:tc>
        <w:tc>
          <w:tcPr>
            <w:tcW w:type="dxa" w:w="2160"/>
          </w:tcPr>
          <w:p>
            <w:r/>
            <w:r>
              <w:rPr>
                <w:sz w:val="19"/>
              </w:rPr>
              <w:t>Cumplimiento</w:t>
            </w:r>
          </w:p>
        </w:tc>
        <w:tc>
          <w:tcPr>
            <w:tcW w:type="dxa" w:w="1800"/>
          </w:tcPr>
          <w:p>
            <w:r/>
            <w:r>
              <w:rPr>
                <w:sz w:val="19"/>
              </w:rPr>
              <w:t>Riesgo y perfil parametrizados</w:t>
            </w:r>
          </w:p>
        </w:tc>
      </w:tr>
      <w:tr>
        <w:tc>
          <w:tcPr>
            <w:tcW w:type="dxa" w:w="504"/>
          </w:tcPr>
          <w:p>
            <w:r/>
            <w:r>
              <w:rPr>
                <w:sz w:val="19"/>
              </w:rPr>
              <w:t>7</w:t>
            </w:r>
          </w:p>
        </w:tc>
        <w:tc>
          <w:tcPr>
            <w:tcW w:type="dxa" w:w="4608"/>
          </w:tcPr>
          <w:p>
            <w:r/>
            <w:r>
              <w:rPr>
                <w:sz w:val="19"/>
              </w:rPr>
              <w:t>Definir plazos de conservación y periodicidad de actualización por nivel de riesgo.</w:t>
            </w:r>
          </w:p>
        </w:tc>
        <w:tc>
          <w:tcPr>
            <w:tcW w:type="dxa" w:w="2160"/>
          </w:tcPr>
          <w:p>
            <w:r/>
            <w:r>
              <w:rPr>
                <w:sz w:val="19"/>
              </w:rPr>
              <w:t>Cumplimiento</w:t>
            </w:r>
          </w:p>
        </w:tc>
        <w:tc>
          <w:tcPr>
            <w:tcW w:type="dxa" w:w="1800"/>
          </w:tcPr>
          <w:p>
            <w:r/>
            <w:r>
              <w:rPr>
                <w:sz w:val="19"/>
              </w:rPr>
              <w:t>Ciclo de vida del legajo configurado</w:t>
            </w:r>
          </w:p>
        </w:tc>
      </w:tr>
      <w:tr>
        <w:tc>
          <w:tcPr>
            <w:tcW w:type="dxa" w:w="504"/>
          </w:tcPr>
          <w:p>
            <w:r/>
            <w:r>
              <w:rPr>
                <w:sz w:val="19"/>
              </w:rPr>
              <w:t>8</w:t>
            </w:r>
          </w:p>
        </w:tc>
        <w:tc>
          <w:tcPr>
            <w:tcW w:type="dxa" w:w="4608"/>
          </w:tcPr>
          <w:p>
            <w:r/>
            <w:r>
              <w:rPr>
                <w:sz w:val="19"/>
              </w:rPr>
              <w:t>Ejecutar altas de prueba de punta a punta y validar el legajo exportado con Cumplimiento.</w:t>
            </w:r>
          </w:p>
        </w:tc>
        <w:tc>
          <w:tcPr>
            <w:tcW w:type="dxa" w:w="2160"/>
          </w:tcPr>
          <w:p>
            <w:r/>
            <w:r>
              <w:rPr>
                <w:sz w:val="19"/>
              </w:rPr>
              <w:t>Producto + Cumplimiento</w:t>
            </w:r>
          </w:p>
        </w:tc>
        <w:tc>
          <w:tcPr>
            <w:tcW w:type="dxa" w:w="1800"/>
          </w:tcPr>
          <w:p>
            <w:r/>
            <w:r>
              <w:rPr>
                <w:sz w:val="19"/>
              </w:rPr>
              <w:t>País habilitado</w:t>
            </w:r>
          </w:p>
        </w:tc>
      </w:tr>
    </w:tbl>
    <w:p>
      <w:pPr>
        <w:spacing w:after="40"/>
      </w:pP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B3C36"/>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B3C36"/>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B3C3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