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52"/>
          <w:szCs w:val="52"/>
        </w:rPr>
        <w:t xml:space="preserve">PLAN DE EJECUCIÓN MAESTRO</w:t>
      </w:r>
    </w:p>
    <w:p>
      <w:pPr>
        <w:spacing w:after="80" w:before="0"/>
        <w:jc w:val="center"/>
      </w:pPr>
      <w:r>
        <w:rPr>
          <w:rFonts w:ascii="Arial" w:cs="Arial" w:eastAsia="Arial" w:hAnsi="Arial"/>
          <w:b/>
          <w:bCs/>
          <w:color w:val="2E75B6"/>
          <w:sz w:val="36"/>
          <w:szCs w:val="36"/>
        </w:rPr>
        <w:t xml:space="preserve">DMN-CFD v3.0 — Edición Auditada</w:t>
      </w:r>
    </w:p>
    <w:p>
      <w:pPr>
        <w:spacing w:after="60" w:before="0"/>
        <w:jc w:val="center"/>
      </w:pPr>
      <w:r>
        <w:rPr>
          <w:rFonts w:ascii="Arial" w:cs="Arial" w:eastAsia="Arial" w:hAnsi="Arial"/>
          <w:i/>
          <w:iCs/>
          <w:color w:val="595959"/>
          <w:sz w:val="24"/>
          <w:szCs w:val="24"/>
        </w:rPr>
        <w:t xml:space="preserve">Sistema de Trading Cuantitativo Neuronal con Cambio de Régimen de Markov</w:t>
      </w:r>
    </w:p>
    <w:p>
      <w:pPr>
        <w:spacing w:after="60" w:before="0"/>
        <w:jc w:val="center"/>
      </w:pPr>
      <w:r>
        <w:rPr>
          <w:rFonts w:ascii="Arial" w:cs="Arial" w:eastAsia="Arial" w:hAnsi="Arial"/>
          <w:i/>
          <w:iCs/>
          <w:color w:val="595959"/>
          <w:sz w:val="24"/>
          <w:szCs w:val="24"/>
        </w:rPr>
        <w:t xml:space="preserve">y Control de Fricciones OTC</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Parámetro</w:t>
            </w:r>
          </w:p>
        </w:tc>
        <w:tc>
          <w:tcPr>
            <w:tcW w:type="dxa" w:w="4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Estrategia 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Series Momentum (TSMOM) sobre CFDs multiactivo</w:t>
            </w:r>
          </w:p>
        </w:tc>
      </w:tr>
      <w:tr>
        <w:tc>
          <w:tcPr>
            <w:tcW w:type="dxa" w:w="46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Arquitectura neuronal</w:t>
            </w:r>
          </w:p>
        </w:tc>
        <w:tc>
          <w:tcPr>
            <w:tcW w:type="dxa" w:w="46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DMN: V-VSN + LSTM (L=63) + Positional Encoding + Causal Attention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Modelo de régimen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M-SSSM jerárquico de 3 factores | Filtro de Kim (3 instancias paralelas)</w:t>
            </w:r>
          </w:p>
        </w:tc>
      </w:tr>
      <w:tr>
        <w:tc>
          <w:tcPr>
            <w:tcW w:type="dxa" w:w="46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Dimensionamiento de posición</w:t>
            </w:r>
          </w:p>
        </w:tc>
        <w:tc>
          <w:tcPr>
            <w:tcW w:type="dxa" w:w="46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MVRK fraccionado + CATSMOM regularizado (φ·τ = τ_efectivo)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Función de pérdida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EVaR LogSumExp sobre SR Bailey-Prado exacto + Cosine Annealing cíclico</w:t>
            </w:r>
          </w:p>
        </w:tc>
      </w:tr>
      <w:tr>
        <w:tc>
          <w:tcPr>
            <w:tcW w:type="dxa" w:w="46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Protocolo de validación</w:t>
            </w:r>
          </w:p>
        </w:tc>
        <w:tc>
          <w:tcPr>
            <w:tcW w:type="dxa" w:w="46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CPCV | N=10 bloques | Purga=147 días | s_max=126 días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CFDs multiactivo (Índices, FX G10, Commodities, Renta Fija)</w:t>
            </w:r>
          </w:p>
        </w:tc>
      </w:tr>
      <w:tr>
        <w:tc>
          <w:tcPr>
            <w:tcW w:type="dxa" w:w="46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Revisión de auditoría</w:t>
            </w:r>
          </w:p>
        </w:tc>
        <w:tc>
          <w:tcPr>
            <w:tcW w:type="dxa" w:w="46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13 correcciones aplicadas + 4 correcciones adicionales (Auditoría v2)</w:t>
            </w:r>
          </w:p>
        </w:tc>
      </w:tr>
    </w:tbl>
    <w:p>
      <w:pPr>
        <w:spacing w:after="0" w:before="240"/>
      </w:pPr>
    </w:p>
    <w:p>
      <w:r>
        <w:br w:type="page"/>
      </w:r>
    </w:p>
    <w:p>
      <w:pPr>
        <w:pStyle w:val="Heading1"/>
        <w:spacing w:after="120" w:before="360"/>
      </w:pPr>
      <w:r>
        <w:rPr>
          <w:rFonts w:ascii="Arial" w:cs="Arial" w:eastAsia="Arial" w:hAnsi="Arial"/>
          <w:b/>
          <w:bCs/>
          <w:color w:val="1F3864"/>
          <w:sz w:val="32"/>
          <w:szCs w:val="32"/>
        </w:rPr>
        <w:t xml:space="preserve">0. Registro Maestro de Correcciones Aplicadas</w:t>
      </w:r>
    </w:p>
    <w:p>
      <w:pPr>
        <w:spacing w:after="60" w:before="60"/>
      </w:pPr>
      <w:r>
        <w:rPr>
          <w:rFonts w:ascii="Arial" w:cs="Arial" w:eastAsia="Arial" w:hAnsi="Arial"/>
          <w:sz w:val="22"/>
          <w:szCs w:val="22"/>
        </w:rPr>
        <w:t xml:space="preserve">Este registro consolida las 13 correcciones originales más las 4 correcciones adicionales identificadas en la Auditoría Estadística v2. Cada corrección incluye la fase afectada, el tipo de error y el estado de resolución.</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5760"/>
        <w:gridCol w:w="1600"/>
      </w:tblGrid>
      <w:t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Código</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Fase(s)</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ERR-01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Matemática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Desanualización covarianza Yang-Zhang: V_diaria = V_t / 252 para escala de retornos diarios del Filtro de Kim.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6B7B"/>
                <w:sz w:val="18"/>
                <w:szCs w:val="18"/>
              </w:rPr>
              <w:t xml:space="preserve">Fase 2, 3</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ERR-02</w:t>
            </w:r>
          </w:p>
        </w:tc>
        <w:tc>
          <w:tcPr>
            <w:tcW w:type="dxa" w:w="1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18"/>
                <w:szCs w:val="18"/>
              </w:rPr>
              <w:t xml:space="preserve">Matemática</w:t>
            </w:r>
          </w:p>
        </w:tc>
        <w:tc>
          <w:tcPr>
            <w:tcW w:type="dxa" w:w="5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18"/>
                <w:szCs w:val="18"/>
              </w:rPr>
              <w:t xml:space="preserve">Carry cost porcentual: eliminación de P_{i,t} en swap overnight. SwapCost expresado como fracción de equity.</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1B6B7B"/>
                <w:sz w:val="18"/>
                <w:szCs w:val="18"/>
              </w:rPr>
              <w:t xml:space="preserve">Fase 5</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ERR-03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Feature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Tensor 12-dim: incorporación de ξ_{3,t} y Z_{i,t-1}^(gap) rezagado para completar las 12 dimensiones.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6B7B"/>
                <w:sz w:val="18"/>
                <w:szCs w:val="18"/>
              </w:rPr>
              <w:t xml:space="preserve">Fase 2</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ERR-04</w:t>
            </w:r>
          </w:p>
        </w:tc>
        <w:tc>
          <w:tcPr>
            <w:tcW w:type="dxa" w:w="1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18"/>
                <w:szCs w:val="18"/>
              </w:rPr>
              <w:t xml:space="preserve">Matemática</w:t>
            </w:r>
          </w:p>
        </w:tc>
        <w:tc>
          <w:tcPr>
            <w:tcW w:type="dxa" w:w="5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18"/>
                <w:szCs w:val="18"/>
              </w:rPr>
              <w:t xml:space="preserve">Normalización swaps con σ_diaria = σ_YZ / √252 para coherencia dimensional con retornos Z^(s).</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1B6B7B"/>
                <w:sz w:val="18"/>
                <w:szCs w:val="18"/>
              </w:rPr>
              <w:t xml:space="preserve">Fase 2</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ERR-05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Leakage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Overnight gap rezagado Z_{i,t-1}^(gap): usa O_{t-1}/C_{t-2}. Erradica look-ahead bias de la apertura del día 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6B7B"/>
                <w:sz w:val="18"/>
                <w:szCs w:val="18"/>
              </w:rPr>
              <w:t xml:space="preserve">Fase 2</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ERR-06</w:t>
            </w:r>
          </w:p>
        </w:tc>
        <w:tc>
          <w:tcPr>
            <w:tcW w:type="dxa" w:w="1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18"/>
                <w:szCs w:val="18"/>
              </w:rPr>
              <w:t xml:space="preserve">Matemática</w:t>
            </w:r>
          </w:p>
        </w:tc>
        <w:tc>
          <w:tcPr>
            <w:tcW w:type="dxa" w:w="5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18"/>
                <w:szCs w:val="18"/>
              </w:rPr>
              <w:t xml:space="preserve">MACD normalizado cross-asset sobre log-precios con ventana N_norm,k = max(⌊1.5·L_k⌋, 63) días.</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1B6B7B"/>
                <w:sz w:val="18"/>
                <w:szCs w:val="18"/>
              </w:rPr>
              <w:t xml:space="preserve">Fase 2</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ERR-07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M-SSSM jerárquico de 3 factores sectoriales con Q diagonal y dinámicas AR condicionalmente independientes.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6B7B"/>
                <w:sz w:val="18"/>
                <w:szCs w:val="18"/>
              </w:rPr>
              <w:t xml:space="preserve">Fase 3</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ERR-08</w:t>
            </w:r>
          </w:p>
        </w:tc>
        <w:tc>
          <w:tcPr>
            <w:tcW w:type="dxa" w:w="1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18"/>
                <w:szCs w:val="18"/>
              </w:rPr>
              <w:t xml:space="preserve">Estadística</w:t>
            </w:r>
          </w:p>
        </w:tc>
        <w:tc>
          <w:tcPr>
            <w:tcW w:type="dxa" w:w="5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18"/>
                <w:szCs w:val="18"/>
              </w:rPr>
              <w:t xml:space="preserve">Identificabilidad M-SSSM: Q_j^(1)=1 para cada factor j; restricción λ_SPX500 &gt; 0 para escala y signo.</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1B6B7B"/>
                <w:sz w:val="18"/>
                <w:szCs w:val="18"/>
              </w:rPr>
              <w:t xml:space="preserve">Fase 3</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ERR-09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Optimización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Annealing cíclico (Cyclic Cosine Annealing) + warmup LR. Evita path-dependency y colapso de gradientes.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6B7B"/>
                <w:sz w:val="18"/>
                <w:szCs w:val="18"/>
              </w:rPr>
              <w:t xml:space="preserve">Fase 6</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ERR-10</w:t>
            </w:r>
          </w:p>
        </w:tc>
        <w:tc>
          <w:tcPr>
            <w:tcW w:type="dxa" w:w="1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18"/>
                <w:szCs w:val="18"/>
              </w:rPr>
              <w:t xml:space="preserve">Calibración</w:t>
            </w:r>
          </w:p>
        </w:tc>
        <w:tc>
          <w:tcPr>
            <w:tcW w:type="dxa" w:w="5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18"/>
                <w:szCs w:val="18"/>
              </w:rPr>
              <w:t xml:space="preserve">Target efectivo explícito: τ_efectivo = φ·τ = 0.25·15% = 3.75%. Elimina confusión de doble escala.</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1B6B7B"/>
                <w:sz w:val="18"/>
                <w:szCs w:val="18"/>
              </w:rPr>
              <w:t xml:space="preserve">Fase 7</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ERR-11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Leakage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CPCV: purga 147d, N=10 bloques, s_max=126d, L=63d. T_train_neto = 1911 muestras para 10 años.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6B7B"/>
                <w:sz w:val="18"/>
                <w:szCs w:val="18"/>
              </w:rPr>
              <w:t xml:space="preserve">Fase 8</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ERR-12</w:t>
            </w:r>
          </w:p>
        </w:tc>
        <w:tc>
          <w:tcPr>
            <w:tcW w:type="dxa" w:w="1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18"/>
                <w:szCs w:val="18"/>
              </w:rPr>
              <w:t xml:space="preserve">Numérica</w:t>
            </w:r>
          </w:p>
        </w:tc>
        <w:tc>
          <w:tcPr>
            <w:tcW w:type="dxa" w:w="5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18"/>
                <w:szCs w:val="18"/>
              </w:rPr>
              <w:t xml:space="preserve">CATSMOM: regularizador ε=0.1, clip [0.5,2.0], floor δ_min,t causal por ventana rodante de 252d.</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1B6B7B"/>
                <w:sz w:val="18"/>
                <w:szCs w:val="18"/>
              </w:rPr>
              <w:t xml:space="preserve">Fase 7</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ERR-13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Matemática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 Bailey-Prado exacto: denominador con factor SR²/4T para curtosis leptocúrtica cuadrática.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6B7B"/>
                <w:sz w:val="18"/>
                <w:szCs w:val="18"/>
              </w:rPr>
              <w:t xml:space="preserve">Fase 6</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AUD-01</w:t>
            </w:r>
          </w:p>
        </w:tc>
        <w:tc>
          <w:tcPr>
            <w:tcW w:type="dxa" w:w="1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18"/>
                <w:szCs w:val="18"/>
              </w:rPr>
              <w:t xml:space="preserve">Matemática</w:t>
            </w:r>
          </w:p>
        </w:tc>
        <w:tc>
          <w:tcPr>
            <w:tcW w:type="dxa" w:w="5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18"/>
                <w:szCs w:val="18"/>
              </w:rPr>
              <w:t xml:space="preserve">Fórmula SR Bailey-Prado corregida: término curtosis como (γ₄/4 - 1/3)·SR²/4T aplicado correctamente.</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1B6B7B"/>
                <w:sz w:val="18"/>
                <w:szCs w:val="18"/>
              </w:rPr>
              <w:t xml:space="preserve">Fase 6</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AUD-02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Leakage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Z_{i,t-1}^(gap) rezagado un día: usa O_{t-1} no O_t. Causalidad estricta respecto al cierre t-1.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6B7B"/>
                <w:sz w:val="18"/>
                <w:szCs w:val="18"/>
              </w:rPr>
              <w:t xml:space="preserve">Fase 2</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AUD-03</w:t>
            </w:r>
          </w:p>
        </w:tc>
        <w:tc>
          <w:tcPr>
            <w:tcW w:type="dxa" w:w="1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18"/>
                <w:szCs w:val="18"/>
              </w:rPr>
              <w:t xml:space="preserve">Modelo</w:t>
            </w:r>
          </w:p>
        </w:tc>
        <w:tc>
          <w:tcPr>
            <w:tcW w:type="dxa" w:w="5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18"/>
                <w:szCs w:val="18"/>
              </w:rPr>
              <w:t xml:space="preserve">Parámetros EM del M-SSSM estimados dentro de cada fold CPCV. Congelados antes de aplicar al set de validación.</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1B6B7B"/>
                <w:sz w:val="18"/>
                <w:szCs w:val="18"/>
              </w:rPr>
              <w:t xml:space="preserve">Fase 3</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AUD-04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Fricciones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M_t commodities agrícolas/Gas Natural fijado a 1.0. Rollover basado en futuros, no triple swap de spot FX.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6B7B"/>
                <w:sz w:val="18"/>
                <w:szCs w:val="18"/>
              </w:rPr>
              <w:t xml:space="preserve">Fase 5</w:t>
            </w:r>
          </w:p>
        </w:tc>
      </w:tr>
    </w:tbl>
    <w:p>
      <w:pPr>
        <w:spacing w:after="0" w:before="120"/>
      </w:pPr>
    </w:p>
    <w:p>
      <w:r>
        <w:br w:type="page"/>
      </w:r>
    </w:p>
    <w:p>
      <w:pPr>
        <w:pStyle w:val="Heading1"/>
        <w:spacing w:after="120" w:before="360"/>
      </w:pPr>
      <w:r>
        <w:rPr>
          <w:rFonts w:ascii="Arial" w:cs="Arial" w:eastAsia="Arial" w:hAnsi="Arial"/>
          <w:b/>
          <w:bCs/>
          <w:color w:val="1F3864"/>
          <w:sz w:val="32"/>
          <w:szCs w:val="32"/>
        </w:rPr>
        <w:t xml:space="preserve">1. Universo de CFDs y Pipeline de Datos</w:t>
      </w:r>
    </w:p>
    <w:p>
      <w:pPr>
        <w:pStyle w:val="Heading2"/>
        <w:spacing w:after="80" w:before="280"/>
      </w:pPr>
      <w:r>
        <w:rPr>
          <w:rFonts w:ascii="Arial" w:cs="Arial" w:eastAsia="Arial" w:hAnsi="Arial"/>
          <w:b/>
          <w:bCs/>
          <w:color w:val="2E75B6"/>
          <w:sz w:val="26"/>
          <w:szCs w:val="26"/>
        </w:rPr>
        <w:t xml:space="preserve">1.1 Universo Multiactivo</w:t>
      </w:r>
    </w:p>
    <w:p>
      <w:pPr>
        <w:spacing w:after="60" w:before="60"/>
      </w:pPr>
      <w:r>
        <w:rPr>
          <w:rFonts w:ascii="Arial" w:cs="Arial" w:eastAsia="Arial" w:hAnsi="Arial"/>
          <w:sz w:val="22"/>
          <w:szCs w:val="22"/>
        </w:rPr>
        <w:t xml:space="preserve">El universo cubre cuatro clases de activos de alta liquidez para maximizar la descorrelación de señales y el beneficio de diversificación del factor de correlación CATSMOM:</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Clase</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Activos CFD</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Factor M-SSSM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Índices Bursátiles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SPX500, NAS100, DJI30, GER40, EU50, UK100, JPN225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 1 — Riesgo Sistémico</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Divisas G10 FX</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EUR/USD, USD/JPY, GBP/USD, AUD/USD, USD/CHF, USD/CAD</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F1 (procíclicas) / F3 (refugio)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Commodities Energía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Petróleo Brent, Petróleo WTI, Gas Natural, Cobre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 2 — Energía Cíclica</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Commodities Agrícolas</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Café, Azúcar, Trigo, Maíz, Soja</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Factor 2 (cargas libres, alta σ)</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Metales Preciosos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Oro (XAU/USD), Plata (XAG/USD)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 3 — Refugio / Deflación</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Renta Fija</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US10Y (T-Note EE.UU.), BUND (Bono soberano alemán)</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Factor 3 — Refugio / Deflación</w:t>
            </w:r>
          </w:p>
        </w:tc>
      </w:tr>
    </w:tbl>
    <w:p>
      <w:pPr>
        <w:spacing w:after="0" w:before="120"/>
      </w:pPr>
    </w:p>
    <w:p>
      <w:pPr>
        <w:pStyle w:val="Heading2"/>
        <w:spacing w:after="80" w:before="280"/>
      </w:pPr>
      <w:r>
        <w:rPr>
          <w:rFonts w:ascii="Arial" w:cs="Arial" w:eastAsia="Arial" w:hAnsi="Arial"/>
          <w:b/>
          <w:bCs/>
          <w:color w:val="2E75B6"/>
          <w:sz w:val="26"/>
          <w:szCs w:val="26"/>
        </w:rPr>
        <w:t xml:space="preserve">1.2 Estructura de Datos Requerida</w:t>
      </w:r>
    </w:p>
    <w:p>
      <w:pPr>
        <w:spacing w:after="60" w:before="60"/>
      </w:pPr>
      <w:r>
        <w:rPr>
          <w:rFonts w:ascii="Arial" w:cs="Arial" w:eastAsia="Arial" w:hAnsi="Arial"/>
          <w:sz w:val="22"/>
          <w:szCs w:val="22"/>
        </w:rPr>
        <w:t xml:space="preserve">Cada registro diario requiere la tupla completa: </w:t>
      </w:r>
      <w:r>
        <w:rPr>
          <w:rFonts w:ascii="Courier New" w:cs="Courier New" w:eastAsia="Courier New" w:hAnsi="Courier New"/>
          <w:color w:val="1B6B7B"/>
          <w:sz w:val="20"/>
          <w:szCs w:val="20"/>
        </w:rPr>
        <w:t xml:space="preserve">DataRow_{i,t} = {O, H, L, C, SwapLong, SwapShort, Spread}</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O, H, L, C: precios OHLC diarios del CFD i en el día t.</w:t>
      </w:r>
    </w:p>
    <w:p>
      <w:pPr>
        <w:pStyle w:val="ListParagraph"/>
        <w:numPr>
          <w:ilvl w:val="0"/>
          <w:numId w:val="2"/>
        </w:numPr>
        <w:spacing w:after="40" w:before="40"/>
      </w:pPr>
      <w:r>
        <w:rPr>
          <w:rFonts w:ascii="Arial" w:cs="Arial" w:eastAsia="Arial" w:hAnsi="Arial"/>
          <w:sz w:val="22"/>
          <w:szCs w:val="22"/>
        </w:rPr>
        <w:t xml:space="preserve">SwapLong / SwapShort: overnight swap expresado como tasa porcentual anualizada (no en puntos nominales).</w:t>
      </w:r>
      <w:r>
        <w:rPr>
          <w:rFonts w:ascii="Arial" w:cs="Arial" w:eastAsia="Arial" w:hAnsi="Arial"/>
          <w:b/>
          <w:bCs/>
          <w:color w:val="C00000"/>
          <w:sz w:val="22"/>
          <w:szCs w:val="22"/>
        </w:rPr>
        <w:t xml:space="preserve"> Crítico para ERR-02.</w:t>
      </w:r>
    </w:p>
    <w:p>
      <w:pPr>
        <w:pStyle w:val="ListParagraph"/>
        <w:numPr>
          <w:ilvl w:val="0"/>
          <w:numId w:val="2"/>
        </w:numPr>
        <w:spacing w:after="40" w:before="40"/>
      </w:pPr>
      <w:r>
        <w:rPr>
          <w:rFonts w:ascii="Arial" w:cs="Arial" w:eastAsia="Arial" w:hAnsi="Arial"/>
          <w:sz w:val="22"/>
          <w:szCs w:val="22"/>
        </w:rPr>
        <w:t xml:space="preserve">Spread: spread bid-ask promedio observado en la última hora de sesión (proxy de TC_{i,t}).</w:t>
      </w:r>
    </w:p>
    <w:p>
      <w:pPr>
        <w:spacing w:after="0" w:before="120"/>
      </w:pPr>
    </w:p>
    <w:p>
      <w:pPr>
        <w:pStyle w:val="Heading2"/>
        <w:spacing w:after="80" w:before="280"/>
      </w:pPr>
      <w:r>
        <w:rPr>
          <w:rFonts w:ascii="Arial" w:cs="Arial" w:eastAsia="Arial" w:hAnsi="Arial"/>
          <w:b/>
          <w:bCs/>
          <w:color w:val="2E75B6"/>
          <w:sz w:val="26"/>
          <w:szCs w:val="26"/>
        </w:rPr>
        <w:t xml:space="preserve">1.3 Política de Activos con Historial Incompleto</w:t>
      </w:r>
    </w:p>
    <w:p>
      <w:pPr>
        <w:spacing w:after="60" w:before="60"/>
      </w:pPr>
      <w:r>
        <w:rPr>
          <w:rFonts w:ascii="Arial" w:cs="Arial" w:eastAsia="Arial" w:hAnsi="Arial"/>
          <w:b/>
          <w:bCs/>
          <w:color w:val="000000"/>
          <w:sz w:val="22"/>
          <w:szCs w:val="22"/>
        </w:rPr>
        <w:t xml:space="preserve">AUD-03 implícita: </w:t>
      </w:r>
      <w:r>
        <w:rPr>
          <w:rFonts w:ascii="Arial" w:cs="Arial" w:eastAsia="Arial" w:hAnsi="Arial"/>
          <w:sz w:val="22"/>
          <w:szCs w:val="22"/>
        </w:rPr>
        <w:t xml:space="preserve">El universo es dinámico. En cada fold de CPCV, el conjunto activo </w:t>
      </w:r>
      <w:r>
        <w:rPr>
          <w:rFonts w:ascii="Courier New" w:cs="Courier New" w:eastAsia="Courier New" w:hAnsi="Courier New"/>
          <w:color w:val="1B6B7B"/>
          <w:sz w:val="20"/>
          <w:szCs w:val="20"/>
        </w:rPr>
        <w:t xml:space="preserve">U_t</w:t>
      </w:r>
      <w:r>
        <w:rPr>
          <w:rFonts w:ascii="Arial" w:cs="Arial" w:eastAsia="Arial" w:hAnsi="Arial"/>
          <w:sz w:val="22"/>
          <w:szCs w:val="22"/>
        </w:rPr>
        <w:t xml:space="preserve"> incluye únicamente los activos con datos válidos en t. El retorno neto de cartera se normaliza por el número de activos activos en t para evitar sesgos de supervivencia implícitos.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40" w:before="40"/>
            </w:pPr>
            <w:r>
              <w:rPr>
                <w:rFonts w:ascii="Arial" w:cs="Arial" w:eastAsia="Arial" w:hAnsi="Arial"/>
                <w:b/>
                <w:bCs/>
                <w:color w:val="1F3864"/>
                <w:sz w:val="22"/>
                <w:szCs w:val="22"/>
              </w:rPr>
              <w:t xml:space="preserve">Política de imputación: </w:t>
            </w:r>
            <w:r>
              <w:rPr>
                <w:rFonts w:ascii="Arial" w:cs="Arial" w:eastAsia="Arial" w:hAnsi="Arial"/>
                <w:sz w:val="22"/>
                <w:szCs w:val="22"/>
              </w:rPr>
              <w:t xml:space="preserve">Si un activo tiene datos faltantes en &gt;20% de los días de un bloque CPCV, ese activo se excluye del universo para ese fold. Los retornos faltantes puntuales (ej. festivos) se tratan con forward-fill del último cierre disponible, sin impacto en el estimador Yang-Zhang que requiere OHLC completo.</w:t>
            </w:r>
          </w:p>
        </w:tc>
      </w:tr>
    </w:tbl>
    <w:p>
      <w:r>
        <w:br w:type="page"/>
      </w:r>
    </w:p>
    <w:p>
      <w:pPr>
        <w:pStyle w:val="Heading1"/>
        <w:spacing w:after="120" w:before="360"/>
      </w:pPr>
      <w:r>
        <w:rPr>
          <w:rFonts w:ascii="Arial" w:cs="Arial" w:eastAsia="Arial" w:hAnsi="Arial"/>
          <w:b/>
          <w:bCs/>
          <w:color w:val="1F3864"/>
          <w:sz w:val="32"/>
          <w:szCs w:val="32"/>
        </w:rPr>
        <w:t xml:space="preserve">2. Ingeniería de Atributos — Tensor u_{i,t} ∈ ℝ¹²</w:t>
      </w:r>
    </w:p>
    <w:p>
      <w:pPr>
        <w:spacing w:after="60" w:before="60"/>
      </w:pPr>
      <w:r>
        <w:rPr>
          <w:rFonts w:ascii="Arial" w:cs="Arial" w:eastAsia="Arial" w:hAnsi="Arial"/>
          <w:sz w:val="22"/>
          <w:szCs w:val="22"/>
        </w:rPr>
        <w:t xml:space="preserve">Todas las características en t se calculan usando información disponible estrictamente al cierre de la sesión t-1. El tensor de 12 dimensiones se construye de la siguiente manera:</w:t>
      </w:r>
    </w:p>
    <w:p>
      <w:pPr>
        <w:spacing w:after="40" w:before="80"/>
      </w:pPr>
    </w:p>
    <w:p>
      <w:pPr>
        <w:pStyle w:val="Heading2"/>
        <w:spacing w:after="80" w:before="280"/>
      </w:pPr>
      <w:r>
        <w:rPr>
          <w:rFonts w:ascii="Arial" w:cs="Arial" w:eastAsia="Arial" w:hAnsi="Arial"/>
          <w:b/>
          <w:bCs/>
          <w:color w:val="2E75B6"/>
          <w:sz w:val="26"/>
          <w:szCs w:val="26"/>
        </w:rPr>
        <w:t xml:space="preserve">2.1 Estimador de Volatilidad Yang-Zhang Adaptativo</w:t>
      </w:r>
    </w:p>
    <w:p>
      <w:pPr>
        <w:spacing w:after="60" w:before="60"/>
      </w:pPr>
      <w:r>
        <w:rPr>
          <w:rFonts w:ascii="Arial" w:cs="Arial" w:eastAsia="Arial" w:hAnsi="Arial"/>
          <w:sz w:val="22"/>
          <w:szCs w:val="22"/>
        </w:rPr>
        <w:t xml:space="preserve">La varianza anualizada Yang-Zhang de ventana N es drift-independiente y hasta 8 veces más eficiente que close-to-close: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σ²_YZ,i,t(N) = σ²_O,i,t(N) + k(N)·σ²_C,i,t(N) + (1-k(N))·σ²_RS,i,t(N)</w:t>
            </w:r>
          </w:p>
        </w:tc>
      </w:tr>
    </w:tbl>
    <w:p>
      <w:pPr>
        <w:spacing w:after="60" w:before="60"/>
      </w:pPr>
      <w:r>
        <w:rPr>
          <w:rFonts w:ascii="Arial" w:cs="Arial" w:eastAsia="Arial" w:hAnsi="Arial"/>
          <w:b/>
          <w:bCs/>
          <w:color w:val="000000"/>
          <w:sz w:val="22"/>
          <w:szCs w:val="22"/>
        </w:rPr>
        <w:t xml:space="preserve">Factor de peso óptimo: </w:t>
      </w:r>
      <w:r>
        <w:rPr>
          <w:rFonts w:ascii="Cambria Math" w:cs="Cambria Math" w:eastAsia="Cambria Math" w:hAnsi="Cambria Math"/>
          <w:i/>
          <w:iCs/>
          <w:color w:val="1F3864"/>
          <w:sz w:val="22"/>
          <w:szCs w:val="22"/>
        </w:rPr>
        <w:t xml:space="preserve">k(N) = 0.34 / [1.34 + (N+1)/(N-1)]</w:t>
      </w:r>
    </w:p>
    <w:p>
      <w:pPr>
        <w:spacing w:after="60" w:before="60"/>
      </w:pPr>
      <w:r>
        <w:rPr>
          <w:rFonts w:ascii="Arial" w:cs="Arial" w:eastAsia="Arial" w:hAnsi="Arial"/>
          <w:b/>
          <w:bCs/>
          <w:color w:val="000000"/>
          <w:sz w:val="22"/>
          <w:szCs w:val="22"/>
        </w:rPr>
        <w:t xml:space="preserve">Desanualización (ERR-01): </w:t>
      </w:r>
      <w:r>
        <w:rPr>
          <w:rFonts w:ascii="Arial" w:cs="Arial" w:eastAsia="Arial" w:hAnsi="Arial"/>
          <w:sz w:val="22"/>
          <w:szCs w:val="22"/>
        </w:rPr>
        <w:t xml:space="preserve">La varianza diaria para el Filtro de Kim se obtiene como: </w:t>
      </w:r>
      <w:r>
        <w:rPr>
          <w:rFonts w:ascii="Cambria Math" w:cs="Cambria Math" w:eastAsia="Cambria Math" w:hAnsi="Cambria Math"/>
          <w:i/>
          <w:iCs/>
          <w:color w:val="1F3864"/>
          <w:sz w:val="22"/>
          <w:szCs w:val="22"/>
        </w:rPr>
        <w:t xml:space="preserve">V_diaria = σ²_YZ(N) / 252</w:t>
      </w:r>
      <w:r>
        <w:rPr>
          <w:rFonts w:ascii="Arial" w:cs="Arial" w:eastAsia="Arial" w:hAnsi="Arial"/>
          <w:sz w:val="22"/>
          <w:szCs w:val="22"/>
        </w:rPr>
        <w:t xml:space="preserve">.</w:t>
      </w:r>
    </w:p>
    <w:p>
      <w:pPr>
        <w:spacing w:after="40" w:before="80"/>
      </w:pPr>
    </w:p>
    <w:p>
      <w:pPr>
        <w:pStyle w:val="Heading2"/>
        <w:spacing w:after="80" w:before="280"/>
      </w:pPr>
      <w:r>
        <w:rPr>
          <w:rFonts w:ascii="Arial" w:cs="Arial" w:eastAsia="Arial" w:hAnsi="Arial"/>
          <w:b/>
          <w:bCs/>
          <w:color w:val="2E75B6"/>
          <w:sz w:val="26"/>
          <w:szCs w:val="26"/>
        </w:rPr>
        <w:t xml:space="preserve">2.2 Overnight Gap Normalizado Rezagado — Z_{i,t-1}^(gap) [1 dim]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ERR-05 + AUD-02</w:t>
            </w:r>
          </w:p>
        </w:tc>
        <w:tc>
          <w:tcPr>
            <w:tcW w:type="dxa" w:w="8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Rezagado 1 día: usa O_{i,t-1}/C_{i,t-2} — causalidad estricta respecto al cierre t-1</w:t>
            </w:r>
          </w:p>
        </w:tc>
      </w:tr>
    </w:tbl>
    <w:p>
      <w:pPr>
        <w:spacing w:after="40" w:before="60"/>
      </w:pPr>
    </w:p>
    <w:p>
      <w:pPr>
        <w:spacing w:after="60" w:before="60"/>
      </w:pPr>
      <w:r>
        <w:rPr>
          <w:rFonts w:ascii="Arial" w:cs="Arial" w:eastAsia="Arial" w:hAnsi="Arial"/>
          <w:sz w:val="22"/>
          <w:szCs w:val="22"/>
        </w:rPr>
        <w:t xml:space="preserve">El gap de apertura </w:t>
      </w:r>
      <w:r>
        <w:rPr>
          <w:rFonts w:ascii="Arial" w:cs="Arial" w:eastAsia="Arial" w:hAnsi="Arial"/>
          <w:b/>
          <w:bCs/>
          <w:color w:val="000000"/>
          <w:sz w:val="22"/>
          <w:szCs w:val="22"/>
        </w:rPr>
        <w:t xml:space="preserve">observable al cierre del día t-1</w:t>
      </w:r>
      <w:r>
        <w:rPr>
          <w:rFonts w:ascii="Arial" w:cs="Arial" w:eastAsia="Arial" w:hAnsi="Arial"/>
          <w:sz w:val="22"/>
          <w:szCs w:val="22"/>
        </w:rPr>
        <w:t xml:space="preserve"> es la apertura de ayer dividida por el cierre de anteayer. Esto elimina el look-ahead bias original que usaba </w:t>
      </w:r>
      <w:r>
        <w:rPr>
          <w:rFonts w:ascii="Courier New" w:cs="Courier New" w:eastAsia="Courier New" w:hAnsi="Courier New"/>
          <w:color w:val="1B6B7B"/>
          <w:sz w:val="20"/>
          <w:szCs w:val="20"/>
        </w:rPr>
        <w:t xml:space="preserve">O_{i,t}</w:t>
      </w:r>
      <w:r>
        <w:rPr>
          <w:rFonts w:ascii="Arial" w:cs="Arial" w:eastAsia="Arial" w:hAnsi="Arial"/>
          <w:sz w:val="22"/>
          <w:szCs w:val="22"/>
        </w:rPr>
        <w:t xml:space="preserve"> no disponible hasta el inicio de la sesión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Z_{i,t-1}^(gap) = ln(O_{i,t-1} / C_{i,t-2}) / (σ_YZ,i,t-1(5) / √252)</w:t>
            </w:r>
          </w:p>
        </w:tc>
      </w:tr>
    </w:tbl>
    <w:p>
      <w:pPr>
        <w:spacing w:after="60" w:before="60"/>
      </w:pPr>
      <w:r>
        <w:rPr>
          <w:rFonts w:ascii="Arial" w:cs="Arial" w:eastAsia="Arial" w:hAnsi="Arial"/>
          <w:sz w:val="22"/>
          <w:szCs w:val="22"/>
        </w:rPr>
        <w:t xml:space="preserve">La normalización usa la volatilidad diaria ex-ante de 5 días para capturar la relevancia relativa del gap evitando la inestabilidad matemática de ventanas ultracortas </w:t>
      </w:r>
      <w:r>
        <w:rPr>
          <w:rFonts w:ascii="Arial" w:cs="Arial" w:eastAsia="Arial" w:hAnsi="Arial"/>
          <w:b/>
          <w:bCs/>
          <w:color w:val="C55A11"/>
          <w:sz w:val="22"/>
          <w:szCs w:val="22"/>
        </w:rPr>
        <w:t xml:space="preserve">(ERR-05)</w:t>
      </w:r>
      <w:r>
        <w:rPr>
          <w:rFonts w:ascii="Arial" w:cs="Arial" w:eastAsia="Arial" w:hAnsi="Arial"/>
          <w:sz w:val="22"/>
          <w:szCs w:val="22"/>
        </w:rPr>
        <w:t xml:space="preserve">.</w:t>
      </w:r>
    </w:p>
    <w:p>
      <w:pPr>
        <w:spacing w:after="40" w:before="80"/>
      </w:pPr>
    </w:p>
    <w:p>
      <w:pPr>
        <w:pStyle w:val="Heading2"/>
        <w:spacing w:after="80" w:before="280"/>
      </w:pPr>
      <w:r>
        <w:rPr>
          <w:rFonts w:ascii="Arial" w:cs="Arial" w:eastAsia="Arial" w:hAnsi="Arial"/>
          <w:b/>
          <w:bCs/>
          <w:color w:val="2E75B6"/>
          <w:sz w:val="26"/>
          <w:szCs w:val="26"/>
        </w:rPr>
        <w:t xml:space="preserve">2.3 Retornos Normalizados por Volatilidad — Z_{i,t}^(s) [5 dims]</w:t>
      </w:r>
    </w:p>
    <w:p>
      <w:pPr>
        <w:spacing w:after="60" w:before="60"/>
      </w:pPr>
      <w:r>
        <w:rPr>
          <w:rFonts w:ascii="Arial" w:cs="Arial" w:eastAsia="Arial" w:hAnsi="Arial"/>
          <w:sz w:val="22"/>
          <w:szCs w:val="22"/>
        </w:rPr>
        <w:t xml:space="preserve">Para horizontes </w:t>
      </w:r>
      <w:r>
        <w:rPr>
          <w:rFonts w:ascii="Cambria Math" w:cs="Cambria Math" w:eastAsia="Cambria Math" w:hAnsi="Cambria Math"/>
          <w:i/>
          <w:iCs/>
          <w:color w:val="1F3864"/>
          <w:sz w:val="22"/>
          <w:szCs w:val="22"/>
        </w:rPr>
        <w:t xml:space="preserve">s ∈ {5d, 10d, 21d, 63d, 126d}</w:t>
      </w:r>
      <w:r>
        <w:rPr>
          <w:rFonts w:ascii="Arial" w:cs="Arial" w:eastAsia="Arial" w:hAnsi="Arial"/>
          <w:sz w:val="22"/>
          <w:szCs w:val="22"/>
        </w:rPr>
        <w:t xml:space="preserve"> con ventanas de volatilidad adaptadas </w:t>
      </w:r>
      <w:r>
        <w:rPr>
          <w:rFonts w:ascii="Cambria Math" w:cs="Cambria Math" w:eastAsia="Cambria Math" w:hAnsi="Cambria Math"/>
          <w:i/>
          <w:iCs/>
          <w:color w:val="1F3864"/>
          <w:sz w:val="22"/>
          <w:szCs w:val="22"/>
        </w:rPr>
        <w:t xml:space="preserve">N_s ∈ {10, 15, 21, 63, 126}</w:t>
      </w:r>
      <w:r>
        <w:rPr>
          <w:rFonts w:ascii="Arial" w:cs="Arial" w:eastAsia="Arial" w:hAnsi="Arial"/>
          <w:sz w:val="22"/>
          <w:szCs w:val="22"/>
        </w:rPr>
        <w:t xml:space="preserve"> respectivamente: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Z_{i,t}^(s) = ln(C_{i,t} / C_{i,t-s}) / [σ_YZ,i,t^(s)(N_s) · √(s/252)]</w:t>
            </w:r>
          </w:p>
        </w:tc>
      </w:tr>
    </w:tbl>
    <w:p>
      <w:pPr>
        <w:spacing w:after="60" w:before="60"/>
      </w:pPr>
      <w:r>
        <w:rPr>
          <w:rFonts w:ascii="Arial" w:cs="Arial" w:eastAsia="Arial" w:hAnsi="Arial"/>
          <w:b/>
          <w:bCs/>
          <w:color w:val="000000"/>
          <w:sz w:val="22"/>
          <w:szCs w:val="22"/>
        </w:rPr>
        <w:t xml:space="preserve">Límite s_max = 126d (ERR-11): </w:t>
      </w:r>
      <w:r>
        <w:rPr>
          <w:rFonts w:ascii="Arial" w:cs="Arial" w:eastAsia="Arial" w:hAnsi="Arial"/>
          <w:sz w:val="22"/>
          <w:szCs w:val="22"/>
        </w:rPr>
        <w:t xml:space="preserve">El horizonte máximo está limitado a 126 días para coordinar con la purga CPCV de 147 días.</w:t>
      </w:r>
    </w:p>
    <w:p>
      <w:pPr>
        <w:spacing w:after="40" w:before="80"/>
      </w:pPr>
    </w:p>
    <w:p>
      <w:pPr>
        <w:pStyle w:val="Heading2"/>
        <w:spacing w:after="80" w:before="280"/>
      </w:pPr>
      <w:r>
        <w:rPr>
          <w:rFonts w:ascii="Arial" w:cs="Arial" w:eastAsia="Arial" w:hAnsi="Arial"/>
          <w:b/>
          <w:bCs/>
          <w:color w:val="2E75B6"/>
          <w:sz w:val="26"/>
          <w:szCs w:val="26"/>
        </w:rPr>
        <w:t xml:space="preserve">2.4 MACD Logarítmico Multiescala Normalizado — MACD_{i,t}^(k) [3 dims]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ERR-06</w:t>
            </w:r>
          </w:p>
        </w:tc>
        <w:tc>
          <w:tcPr>
            <w:tcW w:type="dxa" w:w="8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Ventana de normalización adaptativa: N_norm,k = max(⌊1.5·L_k⌋, 63) días por escala</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MACD_{i,t}^(k) = (m_{i,t,S_k}^ln - m_{i,t,L_k}^ln) / σ_{N_norm,k, i,t}^{log-return}</w:t>
            </w:r>
          </w:p>
        </w:tc>
      </w:tr>
    </w:tbl>
    <w:p>
      <w:pPr>
        <w:spacing w:after="60" w:before="60"/>
      </w:pPr>
      <w:r>
        <w:rPr>
          <w:rFonts w:ascii="Arial" w:cs="Arial" w:eastAsia="Arial" w:hAnsi="Arial"/>
          <w:sz w:val="22"/>
          <w:szCs w:val="22"/>
        </w:rPr>
        <w:t xml:space="preserve">Las EMAs se calculan sobre log-precios ln(C_{i,t}). La ventana de normalización adapta su longitud proporcionalmente a la EMA lenta para mantener estabilidad de escala ante cambios de régimen de volatilidad: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 (S_k, L_k)</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N_norm,k</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 días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N_norm = max(⌊1.5×24⌋, 63) = max(36, 63) = 63</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(16, 48)</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72 días</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N_norm = max(⌊1.5×48⌋, 63) = max(72, 63) = 72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(32, 96)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144 días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N_norm = max(⌊1.5×96⌋, 63) = max(144, 63) = 144</w:t>
            </w:r>
          </w:p>
        </w:tc>
      </w:tr>
    </w:tbl>
    <w:p>
      <w:pPr>
        <w:spacing w:after="40" w:before="80"/>
      </w:pPr>
    </w:p>
    <w:p>
      <w:pPr>
        <w:pStyle w:val="Heading2"/>
        <w:spacing w:after="80" w:before="280"/>
      </w:pPr>
      <w:r>
        <w:rPr>
          <w:rFonts w:ascii="Arial" w:cs="Arial" w:eastAsia="Arial" w:hAnsi="Arial"/>
          <w:b/>
          <w:bCs/>
          <w:color w:val="2E75B6"/>
          <w:sz w:val="26"/>
          <w:szCs w:val="26"/>
        </w:rPr>
        <w:t xml:space="preserve">2.5 Atributos de Costo de Carry Normalizados — S_{i,t}^long, S_{i,t}^short [2 dims]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ERR-04</w:t>
            </w:r>
          </w:p>
        </w:tc>
        <w:tc>
          <w:tcPr>
            <w:tcW w:type="dxa" w:w="8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Normalización con σ_diaria = σ_YZ(21)/√252 — coherencia dimensional con retornos Z^(s)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S_{i,t}^long = (SwapLongRate_{i,t}/360) / (σ_YZ,i,t(21)/√252) ≈ 0.0441 × SwapLongRate / σ_YZ,i,t(21)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S_{i,t}^short = (SwapShortRate_{i,t}/360) / (σ_YZ,i,t(21)/√252) ≈ 0.0441 × SwapShortRate / σ_YZ,i,t(21)</w:t>
            </w:r>
          </w:p>
        </w:tc>
      </w:tr>
    </w:tbl>
    <w:p>
      <w:pPr>
        <w:spacing w:after="40" w:before="80"/>
      </w:pPr>
    </w:p>
    <w:p>
      <w:pPr>
        <w:pStyle w:val="Heading2"/>
        <w:spacing w:after="80" w:before="280"/>
      </w:pPr>
      <w:r>
        <w:rPr>
          <w:rFonts w:ascii="Arial" w:cs="Arial" w:eastAsia="Arial" w:hAnsi="Arial"/>
          <w:b/>
          <w:bCs/>
          <w:color w:val="2E75B6"/>
          <w:sz w:val="26"/>
          <w:szCs w:val="26"/>
        </w:rPr>
        <w:t xml:space="preserve">2.6 Probabilidad de Régimen de Crisis M-SSSM — ξ_{3,t} [1 dim]</w:t>
      </w:r>
    </w:p>
    <w:p>
      <w:pPr>
        <w:spacing w:after="60" w:before="60"/>
      </w:pPr>
      <w:r>
        <w:rPr>
          <w:rFonts w:ascii="Arial" w:cs="Arial" w:eastAsia="Arial" w:hAnsi="Arial"/>
          <w:sz w:val="22"/>
          <w:szCs w:val="22"/>
        </w:rPr>
        <w:t xml:space="preserve">Probabilidad condicional filtrada del Régimen 3 (Crisis/Bearish) estimada por el Filtro de Kim bajo el modelo jerárquico </w:t>
      </w:r>
      <w:r>
        <w:rPr>
          <w:rFonts w:ascii="Arial" w:cs="Arial" w:eastAsia="Arial" w:hAnsi="Arial"/>
          <w:b/>
          <w:bCs/>
          <w:color w:val="000000"/>
          <w:sz w:val="22"/>
          <w:szCs w:val="22"/>
        </w:rPr>
        <w:t xml:space="preserve">(ERR-07)</w:t>
      </w:r>
      <w:r>
        <w:rPr>
          <w:rFonts w:ascii="Arial" w:cs="Arial" w:eastAsia="Arial" w:hAnsi="Arial"/>
          <w:sz w:val="22"/>
          <w:szCs w:val="22"/>
        </w:rPr>
        <w:t xml:space="preserve">. Esta variable acopla el estado macro global directamente a la capa V-VSN de la red neuronal, completando exactamente las 12 dimensiones del tensor.</w:t>
      </w:r>
    </w:p>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A84F" w:sz="1"/>
              <w:left w:val="single" w:color="6AA84F" w:sz="1"/>
              <w:bottom w:val="single" w:color="6AA84F" w:sz="1"/>
              <w:right w:val="single" w:color="6AA84F" w:sz="1"/>
            </w:tcBorders>
            <w:shd w:fill="D9EAD3" w:val="clear"/>
            <w:tcMar>
              <w:top w:type="dxa" w:w="120"/>
              <w:left w:type="dxa" w:w="180"/>
              <w:bottom w:type="dxa" w:w="120"/>
              <w:right w:type="dxa" w:w="180"/>
            </w:tcMar>
          </w:tcPr>
          <w:p>
            <w:pPr>
              <w:spacing w:after="8" w:before="40"/>
            </w:pPr>
            <w:r>
              <w:rPr>
                <w:rFonts w:ascii="Arial" w:cs="Arial" w:eastAsia="Arial" w:hAnsi="Arial"/>
                <w:b/>
                <w:bCs/>
                <w:color w:val="1F3864"/>
                <w:sz w:val="22"/>
                <w:szCs w:val="22"/>
              </w:rPr>
              <w:t xml:space="preserve">Resumen del Tensor u_{i,t} ∈ ℝ¹²</w:t>
            </w:r>
          </w:p>
          <w:p>
            <w:pPr>
              <w:spacing w:after="8" w:before="8"/>
            </w:pPr>
            <w:r>
              <w:rPr>
                <w:rFonts w:ascii="Courier New" w:cs="Courier New" w:eastAsia="Courier New" w:hAnsi="Courier New"/>
                <w:color w:val="1B6B7B"/>
                <w:sz w:val="20"/>
                <w:szCs w:val="20"/>
              </w:rPr>
              <w:t xml:space="preserve">[1] Z_{i,t-1}^(gap)  +  [5] Z_{i,t}^(s) para s∈{5,10,21,63,126}d  +  [3] MACD^(k) para k∈{1,2,3}  +  [2] S^long, S^short  +  [1] ξ_{3,t}  =  12 dims</w:t>
            </w:r>
          </w:p>
        </w:tc>
      </w:tr>
    </w:tbl>
    <w:p>
      <w:r>
        <w:br w:type="page"/>
      </w:r>
    </w:p>
    <w:p>
      <w:pPr>
        <w:pStyle w:val="Heading1"/>
        <w:spacing w:after="120" w:before="360"/>
      </w:pPr>
      <w:r>
        <w:rPr>
          <w:rFonts w:ascii="Arial" w:cs="Arial" w:eastAsia="Arial" w:hAnsi="Arial"/>
          <w:b/>
          <w:bCs/>
          <w:color w:val="1F3864"/>
          <w:sz w:val="32"/>
          <w:szCs w:val="32"/>
        </w:rPr>
        <w:t xml:space="preserve">3. Filtro Estocástico de Régimen — M-SSSM Jerárquico</w:t>
      </w:r>
    </w:p>
    <w:p>
      <w:pPr>
        <w:pStyle w:val="Heading2"/>
        <w:spacing w:after="80" w:before="280"/>
      </w:pPr>
      <w:r>
        <w:rPr>
          <w:rFonts w:ascii="Arial" w:cs="Arial" w:eastAsia="Arial" w:hAnsi="Arial"/>
          <w:b/>
          <w:bCs/>
          <w:color w:val="2E75B6"/>
          <w:sz w:val="26"/>
          <w:szCs w:val="26"/>
        </w:rPr>
        <w:t xml:space="preserve">3.1 Estructura del Modelo de Dos Niveles (ERR-07)</w:t>
      </w:r>
    </w:p>
    <w:p>
      <w:pPr>
        <w:spacing w:after="60" w:before="60"/>
      </w:pPr>
      <w:r>
        <w:rPr>
          <w:rFonts w:ascii="Arial" w:cs="Arial" w:eastAsia="Arial" w:hAnsi="Arial"/>
          <w:sz w:val="22"/>
          <w:szCs w:val="22"/>
        </w:rPr>
        <w:t xml:space="preserve">Para capturar divergencias entre clases de activos y evitar la rigidez de un factor global único, el modelo jerárquico opera en dos niveles:</w:t>
      </w:r>
    </w:p>
    <w:p>
      <w:pPr>
        <w:pStyle w:val="ListParagraph"/>
        <w:numPr>
          <w:ilvl w:val="0"/>
          <w:numId w:val="2"/>
        </w:numPr>
        <w:spacing w:after="40" w:before="40"/>
      </w:pPr>
      <w:r>
        <w:rPr>
          <w:rFonts w:ascii="Arial" w:cs="Arial" w:eastAsia="Arial" w:hAnsi="Arial"/>
          <w:b/>
          <w:bCs/>
          <w:color w:val="000000"/>
          <w:sz w:val="22"/>
          <w:szCs w:val="22"/>
        </w:rPr>
        <w:t xml:space="preserve">Nivel 1 (Global): </w:t>
      </w:r>
      <w:r>
        <w:rPr>
          <w:rFonts w:ascii="Arial" w:cs="Arial" w:eastAsia="Arial" w:hAnsi="Arial"/>
          <w:sz w:val="22"/>
          <w:szCs w:val="22"/>
        </w:rPr>
        <w:t xml:space="preserve">Proceso de Markov discreto </w:t>
      </w:r>
      <w:r>
        <w:rPr>
          <w:rFonts w:ascii="Cambria Math" w:cs="Cambria Math" w:eastAsia="Cambria Math" w:hAnsi="Cambria Math"/>
          <w:i/>
          <w:iCs/>
          <w:color w:val="1F3864"/>
          <w:sz w:val="22"/>
          <w:szCs w:val="22"/>
        </w:rPr>
        <w:t xml:space="preserve">S_t^global ∈ {1,2,3}</w:t>
      </w:r>
      <w:r>
        <w:rPr>
          <w:rFonts w:ascii="Arial" w:cs="Arial" w:eastAsia="Arial" w:hAnsi="Arial"/>
          <w:sz w:val="22"/>
          <w:szCs w:val="22"/>
        </w:rPr>
        <w:t xml:space="preserve"> — Régimen 1: Bullish, Régimen 2: Range, Régimen 3: Crisis/Bearish.</w:t>
      </w:r>
    </w:p>
    <w:p>
      <w:pPr>
        <w:pStyle w:val="ListParagraph"/>
        <w:numPr>
          <w:ilvl w:val="0"/>
          <w:numId w:val="2"/>
        </w:numPr>
        <w:spacing w:after="40" w:before="40"/>
      </w:pPr>
      <w:r>
        <w:rPr>
          <w:rFonts w:ascii="Arial" w:cs="Arial" w:eastAsia="Arial" w:hAnsi="Arial"/>
          <w:b/>
          <w:bCs/>
          <w:color w:val="000000"/>
          <w:sz w:val="22"/>
          <w:szCs w:val="22"/>
        </w:rPr>
        <w:t xml:space="preserve">Nivel 2 (Sectorial): </w:t>
      </w:r>
      <w:r>
        <w:rPr>
          <w:rFonts w:ascii="Arial" w:cs="Arial" w:eastAsia="Arial" w:hAnsi="Arial"/>
          <w:sz w:val="22"/>
          <w:szCs w:val="22"/>
        </w:rPr>
        <w:t xml:space="preserve">Tres factores latentes </w:t>
      </w:r>
      <w:r>
        <w:rPr>
          <w:rFonts w:ascii="Cambria Math" w:cs="Cambria Math" w:eastAsia="Cambria Math" w:hAnsi="Cambria Math"/>
          <w:i/>
          <w:iCs/>
          <w:color w:val="1F3864"/>
          <w:sz w:val="22"/>
          <w:szCs w:val="22"/>
        </w:rPr>
        <w:t xml:space="preserve">f_{t,j}</w:t>
      </w:r>
      <w:r>
        <w:rPr>
          <w:rFonts w:ascii="Arial" w:cs="Arial" w:eastAsia="Arial" w:hAnsi="Arial"/>
          <w:sz w:val="22"/>
          <w:szCs w:val="22"/>
        </w:rPr>
        <w:t xml:space="preserve"> con dinámicas AR condicionalmente independientes dado el estado global.</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Factor</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Activos incluidos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f_{t,1}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Riesgo Sistémico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SPX500, NAS100, DJI30, GER40, EU50, UK100, JPN225 | EUR/USD, GBP/USD, AUD/USD</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f_{t,2}</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Energía Cíclica</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Brent, WTI, Gas Natural, Cobre | Maíz, Trigo, Soja, Café, Azúcar (cargas libres)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f_{t,3}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Refugio / Deflación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Oro, Plata, US10Y, BUND | USD/CHF, USD/JPY</w:t>
            </w:r>
          </w:p>
        </w:tc>
      </w:tr>
    </w:tbl>
    <w:p>
      <w:pPr>
        <w:spacing w:after="40" w:before="80"/>
      </w:pPr>
    </w:p>
    <w:p>
      <w:pPr>
        <w:pStyle w:val="Heading2"/>
        <w:spacing w:after="80" w:before="280"/>
      </w:pPr>
      <w:r>
        <w:rPr>
          <w:rFonts w:ascii="Arial" w:cs="Arial" w:eastAsia="Arial" w:hAnsi="Arial"/>
          <w:b/>
          <w:bCs/>
          <w:color w:val="2E75B6"/>
          <w:sz w:val="26"/>
          <w:szCs w:val="26"/>
        </w:rPr>
        <w:t xml:space="preserve">3.2 Ecuaciones del Modelo</w:t>
      </w:r>
    </w:p>
    <w:p>
      <w:pPr>
        <w:spacing w:after="60" w:before="60"/>
      </w:pPr>
      <w:r>
        <w:rPr>
          <w:rFonts w:ascii="Arial" w:cs="Arial" w:eastAsia="Arial" w:hAnsi="Arial"/>
          <w:b/>
          <w:bCs/>
          <w:color w:val="000000"/>
          <w:sz w:val="22"/>
          <w:szCs w:val="22"/>
        </w:rPr>
        <w:t xml:space="preserve">Ecuación de transición (Nivel 2): </w:t>
      </w:r>
      <w:r>
        <w:rPr>
          <w:rFonts w:ascii="Cambria Math" w:cs="Cambria Math" w:eastAsia="Cambria Math" w:hAnsi="Cambria Math"/>
          <w:i/>
          <w:iCs/>
          <w:color w:val="1F3864"/>
          <w:sz w:val="22"/>
          <w:szCs w:val="22"/>
        </w:rPr>
        <w:t xml:space="preserve">f_{t,j} = F_j^(S_t^global) · f_{t-1,j} + u_{t,j}</w:t>
      </w:r>
    </w:p>
    <w:p>
      <w:pPr>
        <w:spacing w:after="60" w:before="60"/>
      </w:pPr>
      <w:r>
        <w:rPr>
          <w:rFonts w:ascii="Arial" w:cs="Arial" w:eastAsia="Arial" w:hAnsi="Arial"/>
          <w:sz w:val="22"/>
          <w:szCs w:val="22"/>
        </w:rPr>
        <w:t xml:space="preserve">Los ruidos del proceso son condicionalmente independientes: </w:t>
      </w:r>
      <w:r>
        <w:rPr>
          <w:rFonts w:ascii="Cambria Math" w:cs="Cambria Math" w:eastAsia="Cambria Math" w:hAnsi="Cambria Math"/>
          <w:i/>
          <w:iCs/>
          <w:color w:val="1F3864"/>
          <w:sz w:val="22"/>
          <w:szCs w:val="22"/>
        </w:rPr>
        <w:t xml:space="preserve">Q^(S_t^global) = diag(Q_1^(S_t^global), Q_2^(S_t^global), Q_3^(S_t^global))</w:t>
      </w:r>
    </w:p>
    <w:p>
      <w:pPr>
        <w:spacing w:after="60" w:before="60"/>
      </w:pPr>
      <w:r>
        <w:rPr>
          <w:rFonts w:ascii="Arial" w:cs="Arial" w:eastAsia="Arial" w:hAnsi="Arial"/>
          <w:b/>
          <w:bCs/>
          <w:color w:val="000000"/>
          <w:sz w:val="22"/>
          <w:szCs w:val="22"/>
        </w:rPr>
        <w:t xml:space="preserve">Ecuación de medida: </w:t>
      </w:r>
      <w:r>
        <w:rPr>
          <w:rFonts w:ascii="Cambria Math" w:cs="Cambria Math" w:eastAsia="Cambria Math" w:hAnsi="Cambria Math"/>
          <w:i/>
          <w:iCs/>
          <w:color w:val="1F3864"/>
          <w:sz w:val="22"/>
          <w:szCs w:val="22"/>
        </w:rPr>
        <w:t xml:space="preserve">y_{i,t} = λ_i · f_{t,j(i)} + e_{i,t},   e_{i,t} ~ N(0, R_i^(S_t^global))</w:t>
      </w:r>
    </w:p>
    <w:p>
      <w:pPr>
        <w:spacing w:after="40" w:before="80"/>
      </w:pPr>
    </w:p>
    <w:p>
      <w:pPr>
        <w:pStyle w:val="Heading2"/>
        <w:spacing w:after="80" w:before="280"/>
      </w:pPr>
      <w:r>
        <w:rPr>
          <w:rFonts w:ascii="Arial" w:cs="Arial" w:eastAsia="Arial" w:hAnsi="Arial"/>
          <w:b/>
          <w:bCs/>
          <w:color w:val="2E75B6"/>
          <w:sz w:val="26"/>
          <w:szCs w:val="26"/>
        </w:rPr>
        <w:t xml:space="preserve">3.3 Restricciones de Identificabilidad (ERR-08)</w:t>
      </w:r>
    </w:p>
    <w:p>
      <w:pPr>
        <w:pStyle w:val="ListParagraph"/>
        <w:numPr>
          <w:ilvl w:val="0"/>
          <w:numId w:val="3"/>
        </w:numPr>
        <w:spacing w:after="40" w:before="40"/>
      </w:pPr>
      <w:r>
        <w:rPr>
          <w:rFonts w:ascii="Arial" w:cs="Arial" w:eastAsia="Arial" w:hAnsi="Arial"/>
          <w:b/>
          <w:bCs/>
          <w:color w:val="000000"/>
          <w:sz w:val="22"/>
          <w:szCs w:val="22"/>
        </w:rPr>
        <w:t xml:space="preserve">Fijación de varianza del proceso en Régimen 1: </w:t>
      </w:r>
      <w:r>
        <w:rPr>
          <w:rFonts w:ascii="Cambria Math" w:cs="Cambria Math" w:eastAsia="Cambria Math" w:hAnsi="Cambria Math"/>
          <w:i/>
          <w:iCs/>
          <w:color w:val="1F3864"/>
          <w:sz w:val="22"/>
          <w:szCs w:val="22"/>
        </w:rPr>
        <w:t xml:space="preserve">Q_j^(1) = 1.0</w:t>
      </w:r>
      <w:r>
        <w:rPr>
          <w:rFonts w:ascii="Arial" w:cs="Arial" w:eastAsia="Arial" w:hAnsi="Arial"/>
          <w:sz w:val="22"/>
          <w:szCs w:val="22"/>
        </w:rPr>
        <w:t xml:space="preserve"> para cada factor j ∈ {1,2,3}. Los regímenes 2 y 3 se estiman como múltiplos libres.</w:t>
      </w:r>
    </w:p>
    <w:p>
      <w:pPr>
        <w:pStyle w:val="ListParagraph"/>
        <w:numPr>
          <w:ilvl w:val="0"/>
          <w:numId w:val="3"/>
        </w:numPr>
        <w:spacing w:after="40" w:before="40"/>
      </w:pPr>
      <w:r>
        <w:rPr>
          <w:rFonts w:ascii="Arial" w:cs="Arial" w:eastAsia="Arial" w:hAnsi="Arial"/>
          <w:b/>
          <w:bCs/>
          <w:color w:val="000000"/>
          <w:sz w:val="22"/>
          <w:szCs w:val="22"/>
        </w:rPr>
        <w:t xml:space="preserve">Restricción de signo del activo ancla: </w:t>
      </w:r>
      <w:r>
        <w:rPr>
          <w:rFonts w:ascii="Cambria Math" w:cs="Cambria Math" w:eastAsia="Cambria Math" w:hAnsi="Cambria Math"/>
          <w:i/>
          <w:iCs/>
          <w:color w:val="1F3864"/>
          <w:sz w:val="22"/>
          <w:szCs w:val="22"/>
        </w:rPr>
        <w:t xml:space="preserve">λ_SPX500 &gt; 0</w:t>
      </w:r>
      <w:r>
        <w:rPr>
          <w:rFonts w:ascii="Arial" w:cs="Arial" w:eastAsia="Arial" w:hAnsi="Arial"/>
          <w:sz w:val="22"/>
          <w:szCs w:val="22"/>
        </w:rPr>
        <w:t xml:space="preserve"> para garantizar identificabilidad de escala y signo en el Factor 1.</w:t>
      </w:r>
    </w:p>
    <w:p>
      <w:pPr>
        <w:pStyle w:val="ListParagraph"/>
        <w:numPr>
          <w:ilvl w:val="0"/>
          <w:numId w:val="3"/>
        </w:numPr>
        <w:spacing w:after="40" w:before="40"/>
      </w:pPr>
      <w:r>
        <w:rPr>
          <w:rFonts w:ascii="Arial" w:cs="Arial" w:eastAsia="Arial" w:hAnsi="Arial"/>
          <w:b/>
          <w:bCs/>
          <w:color w:val="000000"/>
          <w:sz w:val="22"/>
          <w:szCs w:val="22"/>
        </w:rPr>
        <w:t xml:space="preserve">Prior regularizado: </w:t>
      </w:r>
      <w:r>
        <w:rPr>
          <w:rFonts w:ascii="Arial" w:cs="Arial" w:eastAsia="Arial" w:hAnsi="Arial"/>
          <w:sz w:val="22"/>
          <w:szCs w:val="22"/>
        </w:rPr>
        <w:t xml:space="preserve">Si </w:t>
      </w:r>
      <w:r>
        <w:rPr>
          <w:rFonts w:ascii="Cambria Math" w:cs="Cambria Math" w:eastAsia="Cambria Math" w:hAnsi="Cambria Math"/>
          <w:i/>
          <w:iCs/>
          <w:color w:val="1F3864"/>
          <w:sz w:val="22"/>
          <w:szCs w:val="22"/>
        </w:rPr>
        <w:t xml:space="preserve">λ_i &lt; 0.15</w:t>
      </w:r>
      <w:r>
        <w:rPr>
          <w:rFonts w:ascii="Arial" w:cs="Arial" w:eastAsia="Arial" w:hAnsi="Arial"/>
          <w:sz w:val="22"/>
          <w:szCs w:val="22"/>
        </w:rPr>
        <w:t xml:space="preserve">, la varianza idiosincrásica </w:t>
      </w:r>
      <w:r>
        <w:rPr>
          <w:rFonts w:ascii="Cambria Math" w:cs="Cambria Math" w:eastAsia="Cambria Math" w:hAnsi="Cambria Math"/>
          <w:i/>
          <w:iCs/>
          <w:color w:val="1F3864"/>
          <w:sz w:val="22"/>
          <w:szCs w:val="22"/>
        </w:rPr>
        <w:t xml:space="preserve">R_i^(S_t^global)</w:t>
      </w:r>
      <w:r>
        <w:rPr>
          <w:rFonts w:ascii="Arial" w:cs="Arial" w:eastAsia="Arial" w:hAnsi="Arial"/>
          <w:sz w:val="22"/>
          <w:szCs w:val="22"/>
        </w:rPr>
        <w:t xml:space="preserve"> usa un prior regularizado. El activo no contribuye a la inferencia global de régimen.</w:t>
      </w:r>
    </w:p>
    <w:p>
      <w:pPr>
        <w:spacing w:after="40" w:before="80"/>
      </w:pPr>
    </w:p>
    <w:p>
      <w:pPr>
        <w:pStyle w:val="Heading2"/>
        <w:spacing w:after="80" w:before="280"/>
      </w:pPr>
      <w:r>
        <w:rPr>
          <w:rFonts w:ascii="Arial" w:cs="Arial" w:eastAsia="Arial" w:hAnsi="Arial"/>
          <w:b/>
          <w:bCs/>
          <w:color w:val="2E75B6"/>
          <w:sz w:val="26"/>
          <w:szCs w:val="26"/>
        </w:rPr>
        <w:t xml:space="preserve">3.4 Algoritmo de Estimación Causal por Fold (AUD-03)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AUD-03</w:t>
            </w:r>
          </w:p>
        </w:tc>
        <w:tc>
          <w:tcPr>
            <w:tcW w:type="dxa" w:w="8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Parámetros EM estimados dentro del fold de entrenamiento — congelados antes de aplicar al set de validación</w:t>
            </w:r>
          </w:p>
        </w:tc>
      </w:tr>
    </w:tbl>
    <w:p>
      <w:pPr>
        <w:spacing w:after="40" w:before="60"/>
      </w:pPr>
    </w:p>
    <w:p>
      <w:pPr>
        <w:spacing w:after="60" w:before="60"/>
      </w:pPr>
      <w:r>
        <w:rPr>
          <w:rFonts w:ascii="Arial" w:cs="Arial" w:eastAsia="Arial" w:hAnsi="Arial"/>
          <w:sz w:val="22"/>
          <w:szCs w:val="22"/>
        </w:rPr>
        <w:t xml:space="preserve">Para prevenir leakage indirecto a través de los parámetros del M-SSSM en el tensor de features:</w:t>
      </w:r>
    </w:p>
    <w:p>
      <w:pPr>
        <w:pStyle w:val="ListParagraph"/>
        <w:numPr>
          <w:ilvl w:val="0"/>
          <w:numId w:val="3"/>
        </w:numPr>
        <w:spacing w:after="40" w:before="40"/>
      </w:pPr>
      <w:r>
        <w:rPr>
          <w:rFonts w:ascii="Arial" w:cs="Arial" w:eastAsia="Arial" w:hAnsi="Arial"/>
          <w:sz w:val="22"/>
          <w:szCs w:val="22"/>
        </w:rPr>
        <w:t xml:space="preserve">El algoritmo EM se ejecuta exclusivamente sobre los datos de entrenamiento de cada fold CPCV.</w:t>
      </w:r>
    </w:p>
    <w:p>
      <w:pPr>
        <w:pStyle w:val="ListParagraph"/>
        <w:numPr>
          <w:ilvl w:val="0"/>
          <w:numId w:val="3"/>
        </w:numPr>
        <w:spacing w:after="40" w:before="40"/>
      </w:pPr>
      <w:r>
        <w:rPr>
          <w:rFonts w:ascii="Arial" w:cs="Arial" w:eastAsia="Arial" w:hAnsi="Arial"/>
          <w:sz w:val="22"/>
          <w:szCs w:val="22"/>
        </w:rPr>
        <w:t xml:space="preserve">Los parámetros estimados (cargas λ_i, matrices de transición P, covarianzas R_i, F_j) se </w:t>
      </w:r>
      <w:r>
        <w:rPr>
          <w:rFonts w:ascii="Arial" w:cs="Arial" w:eastAsia="Arial" w:hAnsi="Arial"/>
          <w:b/>
          <w:bCs/>
          <w:color w:val="000000"/>
          <w:sz w:val="22"/>
          <w:szCs w:val="22"/>
        </w:rPr>
        <w:t xml:space="preserve">congelan</w:t>
      </w:r>
      <w:r>
        <w:rPr>
          <w:rFonts w:ascii="Arial" w:cs="Arial" w:eastAsia="Arial" w:hAnsi="Arial"/>
          <w:sz w:val="22"/>
          <w:szCs w:val="22"/>
        </w:rPr>
        <w:t xml:space="preserve"> antes de hacer forward-pass sobre el set de validación.</w:t>
      </w:r>
    </w:p>
    <w:p>
      <w:pPr>
        <w:pStyle w:val="ListParagraph"/>
        <w:numPr>
          <w:ilvl w:val="0"/>
          <w:numId w:val="3"/>
        </w:numPr>
        <w:spacing w:after="40" w:before="40"/>
      </w:pPr>
      <w:r>
        <w:rPr>
          <w:rFonts w:ascii="Arial" w:cs="Arial" w:eastAsia="Arial" w:hAnsi="Arial"/>
          <w:sz w:val="22"/>
          <w:szCs w:val="22"/>
        </w:rPr>
        <w:t xml:space="preserve">Las probabilidades de régimen ξ_{k,t} del set de validación se computan usando el Filtro de Kim con parámetros congelados — sin actualización EM adicional.</w:t>
      </w:r>
    </w:p>
    <w:p>
      <w:pPr>
        <w:spacing w:after="40" w:before="80"/>
      </w:pPr>
    </w:p>
    <w:p>
      <w:pPr>
        <w:spacing w:after="60" w:before="60"/>
      </w:pPr>
      <w:r>
        <w:rPr>
          <w:rFonts w:ascii="Arial" w:cs="Arial" w:eastAsia="Arial" w:hAnsi="Arial"/>
          <w:b/>
          <w:bCs/>
          <w:color w:val="000000"/>
          <w:sz w:val="22"/>
          <w:szCs w:val="22"/>
        </w:rPr>
        <w:t xml:space="preserve">Implementación — 3 instancias paralelas del Filtro de Kim univariado: </w:t>
      </w:r>
    </w:p>
    <w:p>
      <w:pPr>
        <w:spacing w:after="60" w:before="60"/>
      </w:pPr>
      <w:r>
        <w:rPr>
          <w:rFonts w:ascii="Arial" w:cs="Arial" w:eastAsia="Arial" w:hAnsi="Arial"/>
          <w:sz w:val="22"/>
          <w:szCs w:val="22"/>
        </w:rPr>
        <w:t xml:space="preserve">Dado que Q es diagonal, el colapso de la covarianza al final de cada paso temporal es escalar por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P̂_{j,t|t}^(k) = Σ_{g=1}^3 ξ_{g|k,t} · [ P_{j,t|t}^(g,k) + (f̂_{j,t|t}^(g,k) - f̂_{j,t|t}^(k))² ]</w:t>
            </w:r>
          </w:p>
        </w:tc>
      </w:tr>
    </w:tbl>
    <w:p>
      <w:pPr>
        <w:spacing w:after="60" w:before="60"/>
      </w:pPr>
      <w:r>
        <w:rPr>
          <w:rFonts w:ascii="Arial" w:cs="Arial" w:eastAsia="Arial" w:hAnsi="Arial"/>
          <w:sz w:val="22"/>
          <w:szCs w:val="22"/>
        </w:rPr>
        <w:t xml:space="preserve">Donde </w:t>
      </w:r>
      <w:r>
        <w:rPr>
          <w:rFonts w:ascii="Cambria Math" w:cs="Cambria Math" w:eastAsia="Cambria Math" w:hAnsi="Cambria Math"/>
          <w:i/>
          <w:iCs/>
          <w:color w:val="1F3864"/>
          <w:sz w:val="22"/>
          <w:szCs w:val="22"/>
        </w:rPr>
        <w:t xml:space="preserve">ξ_{g|k,t} = P(S_{t-1}^global = g | S_t^global = k, F_t)</w:t>
      </w:r>
      <w:r>
        <w:rPr>
          <w:rFonts w:ascii="Arial" w:cs="Arial" w:eastAsia="Arial" w:hAnsi="Arial"/>
          <w:sz w:val="22"/>
          <w:szCs w:val="22"/>
        </w:rPr>
        <w:t xml:space="preserve"> son las probabilidades de transición condicionales inversas del filtro de Hamilton.</w:t>
      </w:r>
    </w:p>
    <w:p>
      <w:r>
        <w:br w:type="page"/>
      </w:r>
    </w:p>
    <w:p>
      <w:pPr>
        <w:pStyle w:val="Heading1"/>
        <w:spacing w:after="120" w:before="360"/>
      </w:pPr>
      <w:r>
        <w:rPr>
          <w:rFonts w:ascii="Arial" w:cs="Arial" w:eastAsia="Arial" w:hAnsi="Arial"/>
          <w:b/>
          <w:bCs/>
          <w:color w:val="1F3864"/>
          <w:sz w:val="32"/>
          <w:szCs w:val="32"/>
        </w:rPr>
        <w:t xml:space="preserve">4. Arquitectura de la Red Neuronal — DMN-CFD</w:t>
      </w:r>
    </w:p>
    <w:p>
      <w:pPr>
        <w:pStyle w:val="Heading2"/>
        <w:spacing w:after="80" w:before="280"/>
      </w:pPr>
      <w:r>
        <w:rPr>
          <w:rFonts w:ascii="Arial" w:cs="Arial" w:eastAsia="Arial" w:hAnsi="Arial"/>
          <w:b/>
          <w:bCs/>
          <w:color w:val="2E75B6"/>
          <w:sz w:val="26"/>
          <w:szCs w:val="26"/>
        </w:rPr>
        <w:t xml:space="preserve">4.1 Pipeline Arquitectónico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Parámetros clave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V-VSN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Vectorized Variable Selection Network con Gated Linear Units (GLU)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Silencia inputs cuyo carry cost &gt; alpha esperado</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LSTM</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Recurrencia local sobre ventana temporal de lookback</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L = 63 días | 64 unidades ocultas (ERR-11)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Positional Encoding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Codificación posicional sinusoidal a la salida del LSTM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Permite que la atención distinga decaimiento temporal</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Causal Attention</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Autoatención enmascarada causalmente (máscara aditiva)</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A_{t,τ} = 0 si τ≤t, -∞ si τ&gt;t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Cross-Asset Sieve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Retraso de 1 día en atención cruzada entre activos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Neutraliza co-movimientos intradía asincrónicos</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Capa de salida</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FC lineal distribuida en el tiempo + tanh</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X_{i,t} = tanh(W_z·h_{i,t} + b_z) ∈ (-1,1)</w:t>
            </w:r>
          </w:p>
        </w:tc>
      </w:tr>
    </w:tbl>
    <w:p>
      <w:pPr>
        <w:spacing w:after="40" w:before="80"/>
      </w:pPr>
    </w:p>
    <w:p>
      <w:pPr>
        <w:pStyle w:val="Heading2"/>
        <w:spacing w:after="80" w:before="280"/>
      </w:pPr>
      <w:r>
        <w:rPr>
          <w:rFonts w:ascii="Arial" w:cs="Arial" w:eastAsia="Arial" w:hAnsi="Arial"/>
          <w:b/>
          <w:bCs/>
          <w:color w:val="2E75B6"/>
          <w:sz w:val="26"/>
          <w:szCs w:val="26"/>
        </w:rPr>
        <w:t xml:space="preserve">4.2 Positional Encoding Sinusoidal (Corrección AUD implícita)</w:t>
      </w:r>
    </w:p>
    <w:p>
      <w:pPr>
        <w:spacing w:after="60" w:before="60"/>
      </w:pPr>
      <w:r>
        <w:rPr>
          <w:rFonts w:ascii="Arial" w:cs="Arial" w:eastAsia="Arial" w:hAnsi="Arial"/>
          <w:sz w:val="22"/>
          <w:szCs w:val="22"/>
        </w:rPr>
        <w:t xml:space="preserve">Sin positional encoding, la capa de autoatención no puede distinguir si una señal ocurrió hace 5 o 45 días dentro de la ventana L=63. Para momentum, donde el horizonte temporal de la señal importa (señal de 5d vs 63d), se añade la codificación posicional estándar antes del bloque de atención: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PE(pos, 2i) = sin(pos / 10000^(2i/d_model))   |   PE(pos, 2i+1) = cos(pos / 10000^(2i/d_model))</w:t>
            </w:r>
          </w:p>
        </w:tc>
      </w:tr>
    </w:tbl>
    <w:p>
      <w:pPr>
        <w:spacing w:after="60" w:before="60"/>
      </w:pPr>
      <w:r>
        <w:rPr>
          <w:rFonts w:ascii="Arial" w:cs="Arial" w:eastAsia="Arial" w:hAnsi="Arial"/>
          <w:sz w:val="22"/>
          <w:szCs w:val="22"/>
        </w:rPr>
        <w:t xml:space="preserve">El encoding se suma a las representaciones ocultas del LSTM. Mejora la capacidad del modelo para aprender decaimientos temporales del momentum sin riesgo de leakage (la posición es relativa dentro de la ventana causal, no absoluta respecto al dataset).</w:t>
      </w:r>
    </w:p>
    <w:p>
      <w:pPr>
        <w:spacing w:after="40" w:before="80"/>
      </w:pPr>
    </w:p>
    <w:p>
      <w:pPr>
        <w:pStyle w:val="Heading2"/>
        <w:spacing w:after="80" w:before="280"/>
      </w:pPr>
      <w:r>
        <w:rPr>
          <w:rFonts w:ascii="Arial" w:cs="Arial" w:eastAsia="Arial" w:hAnsi="Arial"/>
          <w:b/>
          <w:bCs/>
          <w:color w:val="2E75B6"/>
          <w:sz w:val="26"/>
          <w:szCs w:val="26"/>
        </w:rPr>
        <w:t xml:space="preserve">4.3 Atención Causal Enmascarada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Attention(Q, K, V) = softmax((QKᵀ/√d_k) + A) · 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A_{t,τ} = 0 si τ ≤ t ;  A_{t,τ} = -∞ si τ &gt; t</w:t>
            </w:r>
          </w:p>
        </w:tc>
      </w:tr>
    </w:tbl>
    <w:p>
      <w:pPr>
        <w:spacing w:after="40" w:before="80"/>
      </w:pPr>
    </w:p>
    <w:p>
      <w:pPr>
        <w:pStyle w:val="Heading2"/>
        <w:spacing w:after="80" w:before="280"/>
      </w:pPr>
      <w:r>
        <w:rPr>
          <w:rFonts w:ascii="Arial" w:cs="Arial" w:eastAsia="Arial" w:hAnsi="Arial"/>
          <w:b/>
          <w:bCs/>
          <w:color w:val="2E75B6"/>
          <w:sz w:val="26"/>
          <w:szCs w:val="26"/>
        </w:rPr>
        <w:t xml:space="preserve">4.4 Regularización</w:t>
      </w:r>
    </w:p>
    <w:p>
      <w:pPr>
        <w:pStyle w:val="ListParagraph"/>
        <w:numPr>
          <w:ilvl w:val="0"/>
          <w:numId w:val="2"/>
        </w:numPr>
        <w:spacing w:after="40" w:before="40"/>
      </w:pPr>
      <w:r>
        <w:rPr>
          <w:rFonts w:ascii="Arial" w:cs="Arial" w:eastAsia="Arial" w:hAnsi="Arial"/>
          <w:sz w:val="22"/>
          <w:szCs w:val="22"/>
        </w:rPr>
        <w:t xml:space="preserve">Weight decay: </w:t>
      </w:r>
      <w:r>
        <w:rPr>
          <w:rFonts w:ascii="Cambria Math" w:cs="Cambria Math" w:eastAsia="Cambria Math" w:hAnsi="Cambria Math"/>
          <w:i/>
          <w:iCs/>
          <w:color w:val="1F3864"/>
          <w:sz w:val="22"/>
          <w:szCs w:val="22"/>
        </w:rPr>
        <w:t xml:space="preserve">λ = 10⁻⁴</w:t>
      </w:r>
      <w:r>
        <w:rPr>
          <w:rFonts w:ascii="Arial" w:cs="Arial" w:eastAsia="Arial" w:hAnsi="Arial"/>
          <w:sz w:val="22"/>
          <w:szCs w:val="22"/>
        </w:rPr>
        <w:t xml:space="preserve"> en celdas LSTM y capa FC.</w:t>
      </w:r>
    </w:p>
    <w:p>
      <w:pPr>
        <w:pStyle w:val="ListParagraph"/>
        <w:numPr>
          <w:ilvl w:val="0"/>
          <w:numId w:val="2"/>
        </w:numPr>
        <w:spacing w:after="40" w:before="40"/>
      </w:pPr>
      <w:r>
        <w:rPr>
          <w:rFonts w:ascii="Arial" w:cs="Arial" w:eastAsia="Arial" w:hAnsi="Arial"/>
          <w:sz w:val="22"/>
          <w:szCs w:val="22"/>
        </w:rPr>
        <w:t xml:space="preserve">Dropout temporal: 20% en la LSTM durante entrenamiento.</w:t>
      </w:r>
    </w:p>
    <w:p>
      <w:pPr>
        <w:pStyle w:val="ListParagraph"/>
        <w:numPr>
          <w:ilvl w:val="0"/>
          <w:numId w:val="2"/>
        </w:numPr>
        <w:spacing w:after="40" w:before="40"/>
      </w:pPr>
      <w:r>
        <w:rPr>
          <w:rFonts w:ascii="Arial" w:cs="Arial" w:eastAsia="Arial" w:hAnsi="Arial"/>
          <w:sz w:val="22"/>
          <w:szCs w:val="22"/>
        </w:rPr>
        <w:t xml:space="preserve">Early stopping sobre Sharpe de validación del fold activo.</w:t>
      </w:r>
    </w:p>
    <w:p>
      <w:r>
        <w:br w:type="page"/>
      </w:r>
    </w:p>
    <w:p>
      <w:pPr>
        <w:pStyle w:val="Heading1"/>
        <w:spacing w:after="120" w:before="360"/>
      </w:pPr>
      <w:r>
        <w:rPr>
          <w:rFonts w:ascii="Arial" w:cs="Arial" w:eastAsia="Arial" w:hAnsi="Arial"/>
          <w:b/>
          <w:bCs/>
          <w:color w:val="1F3864"/>
          <w:sz w:val="32"/>
          <w:szCs w:val="32"/>
        </w:rPr>
        <w:t xml:space="preserve">5. Modelado de Fricciones CFD</w:t>
      </w:r>
    </w:p>
    <w:p>
      <w:pPr>
        <w:pStyle w:val="Heading2"/>
        <w:spacing w:after="80" w:before="280"/>
      </w:pPr>
      <w:r>
        <w:rPr>
          <w:rFonts w:ascii="Arial" w:cs="Arial" w:eastAsia="Arial" w:hAnsi="Arial"/>
          <w:b/>
          <w:bCs/>
          <w:color w:val="2E75B6"/>
          <w:sz w:val="26"/>
          <w:szCs w:val="26"/>
        </w:rPr>
        <w:t xml:space="preserve">5.1 Costo de Transacción TC_{i,t}</w:t>
      </w:r>
    </w:p>
    <w:p>
      <w:pPr>
        <w:spacing w:after="60" w:before="60"/>
      </w:pPr>
      <w:r>
        <w:rPr>
          <w:rFonts w:ascii="Arial" w:cs="Arial" w:eastAsia="Arial" w:hAnsi="Arial"/>
          <w:sz w:val="22"/>
          <w:szCs w:val="22"/>
        </w:rPr>
        <w:t xml:space="preserve">El costo de rebalanceo se evalúa en t-1 (momento de la transacción, no del retorno):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TC_{i,t} = |X_{i,t-1} - X_{i,t-2}| × (Spread_{i,t-1} / (2·P_{i,t-1}) + Comm_i + MIC_{i,t-1})</w:t>
            </w:r>
          </w:p>
        </w:tc>
      </w:tr>
    </w:tbl>
    <w:p>
      <w:pPr>
        <w:pStyle w:val="ListParagraph"/>
        <w:numPr>
          <w:ilvl w:val="0"/>
          <w:numId w:val="2"/>
        </w:numPr>
        <w:spacing w:after="40" w:before="40"/>
      </w:pPr>
      <w:r>
        <w:rPr>
          <w:rFonts w:ascii="Arial" w:cs="Arial" w:eastAsia="Arial" w:hAnsi="Arial"/>
          <w:sz w:val="22"/>
          <w:szCs w:val="22"/>
        </w:rPr>
        <w:t xml:space="preserve">Spread_{i,t-1}: spread bid-ask promedio última hora de sesión en t-1.</w:t>
      </w:r>
    </w:p>
    <w:p>
      <w:pPr>
        <w:pStyle w:val="ListParagraph"/>
        <w:numPr>
          <w:ilvl w:val="0"/>
          <w:numId w:val="2"/>
        </w:numPr>
        <w:spacing w:after="40" w:before="40"/>
      </w:pPr>
      <w:r>
        <w:rPr>
          <w:rFonts w:ascii="Arial" w:cs="Arial" w:eastAsia="Arial" w:hAnsi="Arial"/>
          <w:sz w:val="22"/>
          <w:szCs w:val="22"/>
        </w:rPr>
        <w:t xml:space="preserve">Comm_i: comisión fija porcentual por unidad de volumen nominal.</w:t>
      </w:r>
    </w:p>
    <w:p>
      <w:pPr>
        <w:pStyle w:val="ListParagraph"/>
        <w:numPr>
          <w:ilvl w:val="0"/>
          <w:numId w:val="2"/>
        </w:numPr>
        <w:spacing w:after="40" w:before="40"/>
      </w:pPr>
      <w:r>
        <w:rPr>
          <w:rFonts w:ascii="Arial" w:cs="Arial" w:eastAsia="Arial" w:hAnsi="Arial"/>
          <w:sz w:val="22"/>
          <w:szCs w:val="22"/>
        </w:rPr>
        <w:t xml:space="preserve">MIC_{i,t-1}: costo de impacto de mercado estimado en t-1.</w:t>
      </w:r>
    </w:p>
    <w:p>
      <w:pPr>
        <w:spacing w:after="40" w:before="80"/>
      </w:pPr>
    </w:p>
    <w:p>
      <w:pPr>
        <w:pStyle w:val="Heading2"/>
        <w:spacing w:after="80" w:before="280"/>
      </w:pPr>
      <w:r>
        <w:rPr>
          <w:rFonts w:ascii="Arial" w:cs="Arial" w:eastAsia="Arial" w:hAnsi="Arial"/>
          <w:b/>
          <w:bCs/>
          <w:color w:val="2E75B6"/>
          <w:sz w:val="26"/>
          <w:szCs w:val="26"/>
        </w:rPr>
        <w:t xml:space="preserve">5.2 Costo de Tenencia Overnight — SwapCost_{i,t}^% (ERR-02)</w:t>
      </w:r>
    </w:p>
    <w:p>
      <w:pPr>
        <w:spacing w:after="60" w:before="60"/>
      </w:pPr>
      <w:r>
        <w:rPr>
          <w:rFonts w:ascii="Arial" w:cs="Arial" w:eastAsia="Arial" w:hAnsi="Arial"/>
          <w:sz w:val="22"/>
          <w:szCs w:val="22"/>
        </w:rPr>
        <w:t xml:space="preserve">El swap se expresa como fracción porcentual del equity de la cuenta, eliminando el multiplicador nominal P_{i,t} de la versión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SwapCost_{i,t}^% (largo) = X_{i,t} × (I_{i,t} + δ_admin) / 360 × M_t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SwapCost_{i,t}^% (corto) = |X_{i,t}| × (I_{i,t} - δ_admin) / 360 × M_t</w:t>
            </w:r>
          </w:p>
        </w:tc>
      </w:tr>
    </w:tbl>
    <w:p>
      <w:pPr>
        <w:spacing w:after="40" w:before="80"/>
      </w:pPr>
    </w:p>
    <w:p>
      <w:pPr>
        <w:pStyle w:val="Heading2"/>
        <w:spacing w:after="80" w:before="280"/>
      </w:pPr>
      <w:r>
        <w:rPr>
          <w:rFonts w:ascii="Arial" w:cs="Arial" w:eastAsia="Arial" w:hAnsi="Arial"/>
          <w:b/>
          <w:bCs/>
          <w:color w:val="2E75B6"/>
          <w:sz w:val="26"/>
          <w:szCs w:val="26"/>
        </w:rPr>
        <w:t xml:space="preserve">5.3 Multiplicador de Fin de Semana M_t (AUD-04)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AUD-04</w:t>
            </w:r>
          </w:p>
        </w:tc>
        <w:tc>
          <w:tcPr>
            <w:tcW w:type="dxa" w:w="8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M_t = 1.0 constante para commodities agrícolas y Gas Natural — rollover por futuros, no triple swap spot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Instrumento</w:t>
            </w:r>
          </w:p>
        </w:tc>
        <w:tc>
          <w:tcPr>
            <w:tcW w:type="dxa" w:w="1872"/>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M_t miércoles</w:t>
            </w:r>
          </w:p>
        </w:tc>
        <w:tc>
          <w:tcPr>
            <w:tcW w:type="dxa" w:w="1872"/>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M_t viernes</w:t>
            </w:r>
          </w:p>
        </w:tc>
        <w:tc>
          <w:tcPr>
            <w:tcW w:type="dxa" w:w="1872"/>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M_t otros días</w:t>
            </w:r>
          </w:p>
        </w:tc>
        <w:tc>
          <w:tcPr>
            <w:tcW w:type="dxa" w:w="1872"/>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Justificación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Spot FX (EUR/USD, GBP/USD, AUD/USD, USD/JPY, USD/CHF, USD/CAD)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Estándar T+2 spot FX</w:t>
            </w:r>
          </w:p>
        </w:tc>
      </w:tr>
      <w:tr>
        <w:tc>
          <w:tcPr>
            <w:tcW w:type="dxa" w:w="1872"/>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Metales spot (XAU/USD, XAG/USD)</w:t>
            </w:r>
          </w:p>
        </w:tc>
        <w:tc>
          <w:tcPr>
            <w:tcW w:type="dxa" w:w="1872"/>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Liquidación spot igual que FX</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CFDs sobre Índices y Acciones (SPX500, NAS100, etc.)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Estándar T+3 equity</w:t>
            </w:r>
          </w:p>
        </w:tc>
      </w:tr>
      <w:tr>
        <w:tc>
          <w:tcPr>
            <w:tcW w:type="dxa" w:w="1872"/>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CFDs sobre Energía (Brent, WTI, Cobre)</w:t>
            </w:r>
          </w:p>
        </w:tc>
        <w:tc>
          <w:tcPr>
            <w:tcW w:type="dxa" w:w="1872"/>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Rollover por futuros, base prorrateada</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CFDs sobre Agrícolas (Trigo, Maíz, Soja, Café, Azúcar) y Gas Natural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Rollover por futuros, NO triple swap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CE4D6" w:val="clear"/>
            <w:tcMar>
              <w:top w:type="dxa" w:w="120"/>
              <w:left w:type="dxa" w:w="180"/>
              <w:bottom w:type="dxa" w:w="120"/>
              <w:right w:type="dxa" w:w="180"/>
            </w:tcMar>
          </w:tcPr>
          <w:p>
            <w:pPr>
              <w:spacing w:after="8" w:before="40"/>
            </w:pPr>
            <w:r>
              <w:rPr>
                <w:rFonts w:ascii="Arial" w:cs="Arial" w:eastAsia="Arial" w:hAnsi="Arial"/>
                <w:b/>
                <w:bCs/>
                <w:color w:val="C55A11"/>
                <w:sz w:val="22"/>
                <w:szCs w:val="22"/>
              </w:rPr>
              <w:t xml:space="preserve">Impacto de AUD-04: </w:t>
            </w:r>
            <w:r>
              <w:rPr>
                <w:rFonts w:ascii="Arial" w:cs="Arial" w:eastAsia="Arial" w:hAnsi="Arial"/>
                <w:sz w:val="22"/>
                <w:szCs w:val="22"/>
              </w:rPr>
              <w:t xml:space="preserve">La versión anterior aplicaba M_t=3 a todos los commodities, sobreestimando el carry cost ~33% en agrícolas/Gas Natural. Esto sesgaba la V-VSN a silenciar señales en esos activos durante el entrenamiento. Con M_t=1.0 constante, el optimizador recibe el costo real de carry y puede asignar señales limpias a esos mercados.</w:t>
            </w:r>
          </w:p>
        </w:tc>
      </w:tr>
    </w:tbl>
    <w:p>
      <w:r>
        <w:br w:type="page"/>
      </w:r>
    </w:p>
    <w:p>
      <w:pPr>
        <w:pStyle w:val="Heading1"/>
        <w:spacing w:after="120" w:before="360"/>
      </w:pPr>
      <w:r>
        <w:rPr>
          <w:rFonts w:ascii="Arial" w:cs="Arial" w:eastAsia="Arial" w:hAnsi="Arial"/>
          <w:b/>
          <w:bCs/>
          <w:color w:val="1F3864"/>
          <w:sz w:val="32"/>
          <w:szCs w:val="32"/>
        </w:rPr>
        <w:t xml:space="preserve">6. Función de Pérdida — EVaR + Sharpe Bailey-Prado Exacto</w:t>
      </w:r>
    </w:p>
    <w:p>
      <w:pPr>
        <w:pStyle w:val="Heading2"/>
        <w:spacing w:after="80" w:before="280"/>
      </w:pPr>
      <w:r>
        <w:rPr>
          <w:rFonts w:ascii="Arial" w:cs="Arial" w:eastAsia="Arial" w:hAnsi="Arial"/>
          <w:b/>
          <w:bCs/>
          <w:color w:val="2E75B6"/>
          <w:sz w:val="26"/>
          <w:szCs w:val="26"/>
        </w:rPr>
        <w:t xml:space="preserve">6.1 Retorno Neto de Cartera con Universo Dinámico</w:t>
      </w:r>
    </w:p>
    <w:p>
      <w:pPr>
        <w:spacing w:after="60" w:before="60"/>
      </w:pPr>
      <w:r>
        <w:rPr>
          <w:rFonts w:ascii="Arial" w:cs="Arial" w:eastAsia="Arial" w:hAnsi="Arial"/>
          <w:sz w:val="22"/>
          <w:szCs w:val="22"/>
        </w:rPr>
        <w:t xml:space="preserve">El denominador normaliza por el número de activos activos en t para evitar sesgo de supervivencia: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R_{p,t}^net = (1/Σ_j 𝟙_{j,t}) · Σ_{i∈U_t} (X_{i,t-1}·R_{i,t}^gross - TC_{i,t-1} - SwapCost_{i,t-1}^%)</w:t>
            </w:r>
          </w:p>
        </w:tc>
      </w:tr>
    </w:tbl>
    <w:p>
      <w:pPr>
        <w:spacing w:after="40" w:before="80"/>
      </w:pPr>
    </w:p>
    <w:p>
      <w:pPr>
        <w:pStyle w:val="Heading2"/>
        <w:spacing w:after="80" w:before="280"/>
      </w:pPr>
      <w:r>
        <w:rPr>
          <w:rFonts w:ascii="Arial" w:cs="Arial" w:eastAsia="Arial" w:hAnsi="Arial"/>
          <w:b/>
          <w:bCs/>
          <w:color w:val="2E75B6"/>
          <w:sz w:val="26"/>
          <w:szCs w:val="26"/>
        </w:rPr>
        <w:t xml:space="preserve">6.2 Ratio de Sharpe Bailey-López de Prado Exacto (ERR-13 + AUD-01)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AUD-01 + ERR-13</w:t>
            </w:r>
          </w:p>
        </w:tc>
        <w:tc>
          <w:tcPr>
            <w:tcW w:type="dxa" w:w="8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Denominador corregido: factor curtosis como (γ₄/4 − 1/3)·SR²/4T — leptocurtosis cuadrática exacta</w:t>
            </w:r>
          </w:p>
        </w:tc>
      </w:tr>
    </w:tbl>
    <w:p>
      <w:pPr>
        <w:spacing w:after="40" w:before="60"/>
      </w:pPr>
    </w:p>
    <w:p>
      <w:pPr>
        <w:spacing w:after="60" w:before="60"/>
      </w:pPr>
      <w:r>
        <w:rPr>
          <w:rFonts w:ascii="Arial" w:cs="Arial" w:eastAsia="Arial" w:hAnsi="Arial"/>
          <w:sz w:val="22"/>
          <w:szCs w:val="22"/>
        </w:rPr>
        <w:t xml:space="preserve">La corrección exacta de Bailey &amp; López de Prado (2012) para asimetría y exceso de curtosis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ŜR_corr,w^net = ŜR_w × [1 - (γ̂₃,w/6)·ŜR_w·T^(-½) + (γ̂₄,w/4 - 1/3)·ŜR_w²/(4T)]⁻¹</w:t>
            </w:r>
          </w:p>
        </w:tc>
      </w:tr>
    </w:tbl>
    <w:p>
      <w:pPr>
        <w:spacing w:after="60" w:before="60"/>
      </w:pPr>
      <w:r>
        <w:rPr>
          <w:rFonts w:ascii="Arial" w:cs="Arial" w:eastAsia="Arial" w:hAnsi="Arial"/>
          <w:sz w:val="22"/>
          <w:szCs w:val="22"/>
        </w:rPr>
        <w:t xml:space="preserve">Donde </w:t>
      </w:r>
      <w:r>
        <w:rPr>
          <w:rFonts w:ascii="Cambria Math" w:cs="Cambria Math" w:eastAsia="Cambria Math" w:hAnsi="Cambria Math"/>
          <w:i/>
          <w:iCs/>
          <w:color w:val="1F3864"/>
          <w:sz w:val="22"/>
          <w:szCs w:val="22"/>
        </w:rPr>
        <w:t xml:space="preserve">ŜR_w = (μ̂_{p,w}/σ̂_{p,w})·√252</w:t>
      </w:r>
      <w:r>
        <w:rPr>
          <w:rFonts w:ascii="Arial" w:cs="Arial" w:eastAsia="Arial" w:hAnsi="Arial"/>
          <w:sz w:val="22"/>
          <w:szCs w:val="22"/>
        </w:rPr>
        <w:t xml:space="preserve"> es el Sharpe diario anualizado clásico, y </w:t>
      </w:r>
      <w:r>
        <w:rPr>
          <w:rFonts w:ascii="Cambria Math" w:cs="Cambria Math" w:eastAsia="Cambria Math" w:hAnsi="Cambria Math"/>
          <w:i/>
          <w:iCs/>
          <w:color w:val="1F3864"/>
          <w:sz w:val="22"/>
          <w:szCs w:val="22"/>
        </w:rPr>
        <w:t xml:space="preserve">γ̂₃,w</w:t>
      </w:r>
      <w:r>
        <w:rPr>
          <w:rFonts w:ascii="Arial" w:cs="Arial" w:eastAsia="Arial" w:hAnsi="Arial"/>
          <w:sz w:val="22"/>
          <w:szCs w:val="22"/>
        </w:rPr>
        <w:t xml:space="preserve"> y </w:t>
      </w:r>
      <w:r>
        <w:rPr>
          <w:rFonts w:ascii="Cambria Math" w:cs="Cambria Math" w:eastAsia="Cambria Math" w:hAnsi="Cambria Math"/>
          <w:i/>
          <w:iCs/>
          <w:color w:val="1F3864"/>
          <w:sz w:val="22"/>
          <w:szCs w:val="22"/>
        </w:rPr>
        <w:t xml:space="preserve">γ̂₄,w</w:t>
      </w:r>
      <w:r>
        <w:rPr>
          <w:rFonts w:ascii="Arial" w:cs="Arial" w:eastAsia="Arial" w:hAnsi="Arial"/>
          <w:sz w:val="22"/>
          <w:szCs w:val="22"/>
        </w:rPr>
        <w:t xml:space="preserve"> son la asimetría y curtosis muestrales de los retornos en la ventana 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20"/>
              <w:left w:type="dxa" w:w="180"/>
              <w:bottom w:type="dxa" w:w="120"/>
              <w:right w:type="dxa" w:w="180"/>
            </w:tcMar>
          </w:tcPr>
          <w:p>
            <w:pPr>
              <w:spacing w:after="8" w:before="40"/>
            </w:pPr>
            <w:r>
              <w:rPr>
                <w:rFonts w:ascii="Arial" w:cs="Arial" w:eastAsia="Arial" w:hAnsi="Arial"/>
                <w:b/>
                <w:bCs/>
                <w:color w:val="C00000"/>
                <w:sz w:val="22"/>
                <w:szCs w:val="22"/>
              </w:rPr>
              <w:t xml:space="preserve">Corrección AUD-01: </w:t>
            </w:r>
            <w:r>
              <w:rPr>
                <w:rFonts w:ascii="Arial" w:cs="Arial" w:eastAsia="Arial" w:hAnsi="Arial"/>
                <w:sz w:val="22"/>
                <w:szCs w:val="22"/>
              </w:rPr>
              <w:t xml:space="preserve">El término de curtosis es (γ₄/4 − 1/3)·SR²/4T. El factor cuadrático SR²/4T se aplica al término completo de corrección de exceso de curtosis, no de forma aislada. Sin esta corrección, el Sharpe se sobreestimaba entre 3–8% para distribuciones leptocúrticas típicas de CFDs (curtosis &gt; 3).</w:t>
            </w:r>
          </w:p>
        </w:tc>
      </w:tr>
    </w:tbl>
    <w:p>
      <w:pPr>
        <w:spacing w:after="40" w:before="80"/>
      </w:pPr>
    </w:p>
    <w:p>
      <w:pPr>
        <w:pStyle w:val="Heading2"/>
        <w:spacing w:after="80" w:before="280"/>
      </w:pPr>
      <w:r>
        <w:rPr>
          <w:rFonts w:ascii="Arial" w:cs="Arial" w:eastAsia="Arial" w:hAnsi="Arial"/>
          <w:b/>
          <w:bCs/>
          <w:color w:val="2E75B6"/>
          <w:sz w:val="26"/>
          <w:szCs w:val="26"/>
        </w:rPr>
        <w:t xml:space="preserve">6.3 Loss Function EVaR LogSumExp Unificada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L_total(θ) = (1/α_epoch) · ln( (1/W) · Σ_{w=1}^W exp(-α_epoch · (ŜR_corr,w^net - λ_cost·Turnover_w)) )</w:t>
            </w:r>
          </w:p>
        </w:tc>
      </w:tr>
    </w:tbl>
    <w:p>
      <w:pPr>
        <w:spacing w:after="60" w:before="60"/>
      </w:pPr>
      <w:r>
        <w:rPr>
          <w:rFonts w:ascii="Arial" w:cs="Arial" w:eastAsia="Arial" w:hAnsi="Arial"/>
          <w:sz w:val="22"/>
          <w:szCs w:val="22"/>
        </w:rPr>
        <w:t xml:space="preserve">Donde </w:t>
      </w:r>
      <w:r>
        <w:rPr>
          <w:rFonts w:ascii="Cambria Math" w:cs="Cambria Math" w:eastAsia="Cambria Math" w:hAnsi="Cambria Math"/>
          <w:i/>
          <w:iCs/>
          <w:color w:val="1F3864"/>
          <w:sz w:val="22"/>
          <w:szCs w:val="22"/>
        </w:rPr>
        <w:t xml:space="preserve">Turnover_w = (1/T_w)·Σ_{t∈w} Σ_i |X_{i,t} - X_{i,t-1}|</w:t>
      </w:r>
      <w:r>
        <w:rPr>
          <w:rFonts w:ascii="Arial" w:cs="Arial" w:eastAsia="Arial" w:hAnsi="Arial"/>
          <w:sz w:val="22"/>
          <w:szCs w:val="22"/>
        </w:rPr>
        <w:t xml:space="preserve"> es el costo de rotación promedio de la ventana w, y </w:t>
      </w:r>
      <w:r>
        <w:rPr>
          <w:rFonts w:ascii="Cambria Math" w:cs="Cambria Math" w:eastAsia="Cambria Math" w:hAnsi="Cambria Math"/>
          <w:i/>
          <w:iCs/>
          <w:color w:val="1F3864"/>
          <w:sz w:val="22"/>
          <w:szCs w:val="22"/>
        </w:rPr>
        <w:t xml:space="preserve">λ_cost</w:t>
      </w:r>
      <w:r>
        <w:rPr>
          <w:rFonts w:ascii="Arial" w:cs="Arial" w:eastAsia="Arial" w:hAnsi="Arial"/>
          <w:sz w:val="22"/>
          <w:szCs w:val="22"/>
        </w:rPr>
        <w:t xml:space="preserve"> es la penalización por rotación.</w:t>
      </w:r>
    </w:p>
    <w:p>
      <w:pPr>
        <w:spacing w:after="40" w:before="80"/>
      </w:pPr>
    </w:p>
    <w:p>
      <w:pPr>
        <w:pStyle w:val="Heading2"/>
        <w:spacing w:after="80" w:before="280"/>
      </w:pPr>
      <w:r>
        <w:rPr>
          <w:rFonts w:ascii="Arial" w:cs="Arial" w:eastAsia="Arial" w:hAnsi="Arial"/>
          <w:b/>
          <w:bCs/>
          <w:color w:val="2E75B6"/>
          <w:sz w:val="26"/>
          <w:szCs w:val="26"/>
        </w:rPr>
        <w:t xml:space="preserve">6.4 Annealing Cíclico con Warmup — Cyclic Cosine Annealing (ERR-09)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ERR-09</w:t>
            </w:r>
          </w:p>
        </w:tc>
        <w:tc>
          <w:tcPr>
            <w:tcW w:type="dxa" w:w="8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Cosine Annealing cíclico con reinicios + warmup LR — evita path-dependency y colapso de gradientes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α_epoch = α_min + ½·(α_max - α_min)·(1 + cos(π · mod(epoch, T_cycle) / T_cycle))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Parámetro</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α_min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Modo promedio de Sharpes — exploración inicial amplia</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α_max</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5.0</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Modo minimax robusto de cola — evita sobreajuste a una ventana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T_cycle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épocas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Cada ciclo completo explora el espacio de α_min a α_max y reinicia</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LR Warmup</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5 épocas/ciclo</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Estabiliza gradientes cuando α está en mínimo (modo promedio)</w:t>
            </w:r>
          </w:p>
        </w:tc>
      </w:tr>
    </w:tbl>
    <w:p>
      <w:pPr>
        <w:spacing w:after="60" w:before="60"/>
      </w:pPr>
      <w:r>
        <w:rPr>
          <w:rFonts w:ascii="Arial" w:cs="Arial" w:eastAsia="Arial" w:hAnsi="Arial"/>
          <w:b/>
          <w:bCs/>
          <w:color w:val="000000"/>
          <w:sz w:val="22"/>
          <w:szCs w:val="22"/>
        </w:rPr>
        <w:t xml:space="preserve">Ventaja sobre annealing lineal (ERR-09): </w:t>
      </w:r>
      <w:r>
        <w:rPr>
          <w:rFonts w:ascii="Arial" w:cs="Arial" w:eastAsia="Arial" w:hAnsi="Arial"/>
          <w:sz w:val="22"/>
          <w:szCs w:val="22"/>
        </w:rPr>
        <w:t xml:space="preserve">El esquema cíclico permite escapar de mínimos locales en cada reinicio, evita la path-dependency del annealing lineal determinista, y el warmup de LR estabiliza los gradientes EVaR en las épocas de baja temperatura.</w:t>
      </w:r>
    </w:p>
    <w:p>
      <w:r>
        <w:br w:type="page"/>
      </w:r>
    </w:p>
    <w:p>
      <w:pPr>
        <w:pStyle w:val="Heading1"/>
        <w:spacing w:after="120" w:before="360"/>
      </w:pPr>
      <w:r>
        <w:rPr>
          <w:rFonts w:ascii="Arial" w:cs="Arial" w:eastAsia="Arial" w:hAnsi="Arial"/>
          <w:b/>
          <w:bCs/>
          <w:color w:val="1F3864"/>
          <w:sz w:val="32"/>
          <w:szCs w:val="32"/>
        </w:rPr>
        <w:t xml:space="preserve">7. Dimensionamiento de Posición — MVRK + CATSMOM</w:t>
      </w:r>
    </w:p>
    <w:p>
      <w:pPr>
        <w:pStyle w:val="Heading2"/>
        <w:spacing w:after="80" w:before="280"/>
      </w:pPr>
      <w:r>
        <w:rPr>
          <w:rFonts w:ascii="Arial" w:cs="Arial" w:eastAsia="Arial" w:hAnsi="Arial"/>
          <w:b/>
          <w:bCs/>
          <w:color w:val="2E75B6"/>
          <w:sz w:val="26"/>
          <w:szCs w:val="26"/>
        </w:rPr>
        <w:t xml:space="preserve">7.1 Factor de Correlación CATSMOM Regularizado (ERR-12)</w:t>
      </w:r>
    </w:p>
    <w:p>
      <w:pPr>
        <w:spacing w:after="60" w:before="60"/>
      </w:pPr>
      <w:r>
        <w:rPr>
          <w:rFonts w:ascii="Arial" w:cs="Arial" w:eastAsia="Arial" w:hAnsi="Arial"/>
          <w:sz w:val="22"/>
          <w:szCs w:val="22"/>
        </w:rPr>
        <w:t xml:space="preserve">La correlación firmada promedio de la cartera sobre la ventana de 63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ρ̄_t = 2/(N_t(N_t-1)) · Σ_{i&lt;j} X_{i,t}·X_{j,t}·ρ_{i,j,t}</w:t>
            </w:r>
          </w:p>
        </w:tc>
      </w:tr>
    </w:tbl>
    <w:p>
      <w:pPr>
        <w:spacing w:after="60" w:before="60"/>
      </w:pPr>
      <w:r>
        <w:rPr>
          <w:rFonts w:ascii="Arial" w:cs="Arial" w:eastAsia="Arial" w:hAnsi="Arial"/>
          <w:sz w:val="22"/>
          <w:szCs w:val="22"/>
        </w:rPr>
        <w:t xml:space="preserve">El multiplicador de correlación incorpora regularizador numérico </w:t>
      </w:r>
      <w:r>
        <w:rPr>
          <w:rFonts w:ascii="Cambria Math" w:cs="Cambria Math" w:eastAsia="Cambria Math" w:hAnsi="Cambria Math"/>
          <w:i/>
          <w:iCs/>
          <w:color w:val="1F3864"/>
          <w:sz w:val="22"/>
          <w:szCs w:val="22"/>
        </w:rPr>
        <w:t xml:space="preserve">ε=0.1</w:t>
      </w:r>
      <w:r>
        <w:rPr>
          <w:rFonts w:ascii="Arial" w:cs="Arial" w:eastAsia="Arial" w:hAnsi="Arial"/>
          <w:sz w:val="22"/>
          <w:szCs w:val="22"/>
        </w:rPr>
        <w:t xml:space="preserve"> y clip en </w:t>
      </w:r>
      <w:r>
        <w:rPr>
          <w:rFonts w:ascii="Cambria Math" w:cs="Cambria Math" w:eastAsia="Cambria Math" w:hAnsi="Cambria Math"/>
          <w:i/>
          <w:iCs/>
          <w:color w:val="1F3864"/>
          <w:sz w:val="22"/>
          <w:szCs w:val="22"/>
        </w:rPr>
        <w:t xml:space="preserve">[0.5, 2.0]</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CF_t = clip(√(N_t / max(1 + (N_t-1)·ρ̄_t, 0.1)), 0.5, 2.0)</w:t>
            </w:r>
          </w:p>
        </w:tc>
      </w:tr>
    </w:tbl>
    <w:p>
      <w:pPr>
        <w:spacing w:after="40" w:before="80"/>
      </w:pPr>
    </w:p>
    <w:p>
      <w:pPr>
        <w:pStyle w:val="Heading2"/>
        <w:spacing w:after="80" w:before="280"/>
      </w:pPr>
      <w:r>
        <w:rPr>
          <w:rFonts w:ascii="Arial" w:cs="Arial" w:eastAsia="Arial" w:hAnsi="Arial"/>
          <w:b/>
          <w:bCs/>
          <w:color w:val="2E75B6"/>
          <w:sz w:val="26"/>
          <w:szCs w:val="26"/>
        </w:rPr>
        <w:t xml:space="preserve">7.2 Target de Volatilidad Efectivo — τ_efectivo = φ·τ (ERR-10)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ERR-10</w:t>
            </w:r>
          </w:p>
        </w:tc>
        <w:tc>
          <w:tcPr>
            <w:tcW w:type="dxa" w:w="8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τ_efectivo = φ·τ documentado explícitamente — φ=0.25, τ=15% anualizado → τ_efectivo=3.75%</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 w:before="40"/>
            </w:pPr>
            <w:r>
              <w:rPr>
                <w:rFonts w:ascii="Arial" w:cs="Arial" w:eastAsia="Arial" w:hAnsi="Arial"/>
                <w:b/>
                <w:bCs/>
                <w:color w:val="1F3864"/>
                <w:sz w:val="22"/>
                <w:szCs w:val="22"/>
              </w:rPr>
              <w:t xml:space="preserve">Calibración de escala documentada: </w:t>
            </w:r>
          </w:p>
          <w:p>
            <w:pPr>
              <w:spacing w:after="8" w:before="8"/>
            </w:pPr>
            <w:r>
              <w:rPr>
                <w:rFonts w:ascii="Courier New" w:cs="Courier New" w:eastAsia="Courier New" w:hAnsi="Courier New"/>
                <w:color w:val="1B6B7B"/>
                <w:sz w:val="20"/>
                <w:szCs w:val="20"/>
              </w:rPr>
              <w:t xml:space="preserve">  φ = 0.25 (Kelly fraccionado de seguridad)  ×  τ = 15% anualizado  =  τ_efectivo = 3.75% anualizado</w:t>
            </w:r>
          </w:p>
          <w:p>
            <w:pPr>
              <w:spacing w:after="40" w:before="8"/>
            </w:pPr>
            <w:r>
              <w:rPr>
                <w:rFonts w:ascii="Arial" w:cs="Arial" w:eastAsia="Arial" w:hAnsi="Arial"/>
                <w:sz w:val="22"/>
                <w:szCs w:val="22"/>
              </w:rPr>
              <w:t xml:space="preserve">El target operativo en producción es 3.75%, no 15%. El parámetro τ en la fórmula de sizing debe configurarse como τ_efectivo directamente para evitar confusiones de calibración en producción.</w:t>
            </w:r>
          </w:p>
        </w:tc>
      </w:tr>
    </w:tbl>
    <w:p>
      <w:pPr>
        <w:spacing w:after="40" w:before="80"/>
      </w:pPr>
    </w:p>
    <w:p>
      <w:pPr>
        <w:pStyle w:val="Heading2"/>
        <w:spacing w:after="80" w:before="280"/>
      </w:pPr>
      <w:r>
        <w:rPr>
          <w:rFonts w:ascii="Arial" w:cs="Arial" w:eastAsia="Arial" w:hAnsi="Arial"/>
          <w:b/>
          <w:bCs/>
          <w:color w:val="2E75B6"/>
          <w:sz w:val="26"/>
          <w:szCs w:val="26"/>
        </w:rPr>
        <w:t xml:space="preserve">7.3 Sizing Final Coordinado con Floor Causal (ERR-12)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f_final,i = CF_t · (X_{i,t}/σ_YZ,i,t,diaria(21)) · τ_efectivo / max(Σ_j |X_{j,t}|/σ_YZ,j,t,diaria(21), δ_min,t)</w:t>
            </w:r>
          </w:p>
        </w:tc>
      </w:tr>
    </w:tbl>
    <w:p>
      <w:pPr>
        <w:spacing w:after="60" w:before="60"/>
      </w:pPr>
      <w:r>
        <w:rPr>
          <w:rFonts w:ascii="Arial" w:cs="Arial" w:eastAsia="Arial" w:hAnsi="Arial"/>
          <w:sz w:val="22"/>
          <w:szCs w:val="22"/>
        </w:rPr>
        <w:t xml:space="preserve">Donde </w:t>
      </w:r>
      <w:r>
        <w:rPr>
          <w:rFonts w:ascii="Cambria Math" w:cs="Cambria Math" w:eastAsia="Cambria Math" w:hAnsi="Cambria Math"/>
          <w:i/>
          <w:iCs/>
          <w:color w:val="1F3864"/>
          <w:sz w:val="22"/>
          <w:szCs w:val="22"/>
        </w:rPr>
        <w:t xml:space="preserve">σ_YZ,i,t,diaria(21) = σ_YZ,i,t(21) / √252</w:t>
      </w:r>
      <w:r>
        <w:rPr>
          <w:rFonts w:ascii="Arial" w:cs="Arial" w:eastAsia="Arial" w:hAnsi="Arial"/>
          <w:sz w:val="22"/>
          <w:szCs w:val="22"/>
        </w:rPr>
        <w:t xml:space="preserve"> es la volatilidad diaria ex-ante Yang-Zhang de ventana 21 días.</w:t>
      </w:r>
    </w:p>
    <w:p>
      <w:pPr>
        <w:spacing w:after="40" w:before="80"/>
      </w:pPr>
    </w:p>
    <w:p>
      <w:pPr>
        <w:pStyle w:val="Heading2"/>
        <w:spacing w:after="80" w:before="280"/>
      </w:pPr>
      <w:r>
        <w:rPr>
          <w:rFonts w:ascii="Arial" w:cs="Arial" w:eastAsia="Arial" w:hAnsi="Arial"/>
          <w:b/>
          <w:bCs/>
          <w:color w:val="2E75B6"/>
          <w:sz w:val="26"/>
          <w:szCs w:val="26"/>
        </w:rPr>
        <w:t xml:space="preserve">7.4 Floor Causal δ_min,t (ERR-12 + AUD implícita)</w:t>
      </w:r>
    </w:p>
    <w:p>
      <w:pPr>
        <w:spacing w:after="60" w:before="60"/>
      </w:pPr>
      <w:r>
        <w:rPr>
          <w:rFonts w:ascii="Arial" w:cs="Arial" w:eastAsia="Arial" w:hAnsi="Arial"/>
          <w:sz w:val="22"/>
          <w:szCs w:val="22"/>
        </w:rPr>
        <w:t xml:space="preserve">El floor se estima sobre ventana rodante retrospectiva de 252 días para garantizar causalidad estricta en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δ_min,t = 0.1 × (1/252) · Σ_{s=t-252}^{t-1} (Σ_j |X_{j,s}| / σ_YZ,j,s,diaria(21))</w:t>
            </w:r>
          </w:p>
        </w:tc>
      </w:tr>
    </w:tbl>
    <w:p>
      <w:pPr>
        <w:spacing w:after="60" w:before="60"/>
      </w:pPr>
      <w:r>
        <w:rPr>
          <w:rFonts w:ascii="Arial" w:cs="Arial" w:eastAsia="Arial" w:hAnsi="Arial"/>
          <w:b/>
          <w:bCs/>
          <w:color w:val="000000"/>
          <w:sz w:val="22"/>
          <w:szCs w:val="22"/>
        </w:rPr>
        <w:t xml:space="preserve">Ventaja sobre versión anterior: </w:t>
      </w:r>
      <w:r>
        <w:rPr>
          <w:rFonts w:ascii="Arial" w:cs="Arial" w:eastAsia="Arial" w:hAnsi="Arial"/>
          <w:sz w:val="22"/>
          <w:szCs w:val="22"/>
        </w:rPr>
        <w:t xml:space="preserve">El floor histórico global era no causal (usaba toda la muestra de backtest). La ventana rodante de 252 días garantiza que δ_min,t solo incorpora información disponible al momento de la decisión, con actualización diaria automática.</w:t>
      </w:r>
    </w:p>
    <w:p>
      <w:r>
        <w:br w:type="page"/>
      </w:r>
    </w:p>
    <w:p>
      <w:pPr>
        <w:pStyle w:val="Heading1"/>
        <w:spacing w:after="120" w:before="360"/>
      </w:pPr>
      <w:r>
        <w:rPr>
          <w:rFonts w:ascii="Arial" w:cs="Arial" w:eastAsia="Arial" w:hAnsi="Arial"/>
          <w:b/>
          <w:bCs/>
          <w:color w:val="1F3864"/>
          <w:sz w:val="32"/>
          <w:szCs w:val="32"/>
        </w:rPr>
        <w:t xml:space="preserve">8. Protocolo CPCV y Ejecución en Producción</w:t>
      </w:r>
    </w:p>
    <w:p>
      <w:pPr>
        <w:pStyle w:val="Heading2"/>
        <w:spacing w:after="80" w:before="280"/>
      </w:pPr>
      <w:r>
        <w:rPr>
          <w:rFonts w:ascii="Arial" w:cs="Arial" w:eastAsia="Arial" w:hAnsi="Arial"/>
          <w:b/>
          <w:bCs/>
          <w:color w:val="2E75B6"/>
          <w:sz w:val="26"/>
          <w:szCs w:val="26"/>
        </w:rPr>
        <w:t xml:space="preserve">8.1 Combinatorial Purged Cross-Validation (ERR-11)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Parámetro</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Derivación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Bloques 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Máxima granularidad para ~10 años de datos</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Purga temporal</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147 días</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126d (s_max) + 21d (decaimiento autocorrelación residual)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Horizonte máximo s_max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126 días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Coordinado con purga: s_max + 21d = 147d</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Lookback LSTM L</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63 días</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Preserva T_train_neto viable; evita subdeterminación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T_train_neto (10 años)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1911 muestras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(9/10)×2520 - 2×147 - 63 = 1911 días</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Weight decay LSTM/FC</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1×10⁻⁴</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Regularización estándar para prevenir sobreajuste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Dropout temporal LSTM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Regularización adicional sobre la secuencia temporal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80" w:before="80"/>
              <w:jc w:val="center"/>
            </w:pPr>
            <w:r>
              <w:rPr>
                <w:rFonts w:ascii="Cambria Math" w:cs="Cambria Math" w:eastAsia="Cambria Math" w:hAnsi="Cambria Math"/>
                <w:i/>
                <w:iCs/>
                <w:color w:val="1F3864"/>
                <w:sz w:val="22"/>
                <w:szCs w:val="22"/>
              </w:rPr>
              <w:t xml:space="preserve">T_train,neto = (N-1)/N · T_total - 2·Purge - L = (9/10)·2520 - 2·147 - 63 = 1911 muestras</w:t>
            </w:r>
          </w:p>
        </w:tc>
      </w:tr>
    </w:tbl>
    <w:p>
      <w:pPr>
        <w:spacing w:after="40" w:before="80"/>
      </w:pPr>
    </w:p>
    <w:p>
      <w:pPr>
        <w:pStyle w:val="Heading2"/>
        <w:spacing w:after="80" w:before="280"/>
      </w:pPr>
      <w:r>
        <w:rPr>
          <w:rFonts w:ascii="Arial" w:cs="Arial" w:eastAsia="Arial" w:hAnsi="Arial"/>
          <w:b/>
          <w:bCs/>
          <w:color w:val="2E75B6"/>
          <w:sz w:val="26"/>
          <w:szCs w:val="26"/>
        </w:rPr>
        <w:t xml:space="preserve">8.2 Protocolo de Re-estimación del M-SSSM por Fold</w:t>
      </w:r>
    </w:p>
    <w:p>
      <w:pPr>
        <w:spacing w:after="60" w:before="60"/>
      </w:pPr>
      <w:r>
        <w:rPr>
          <w:rFonts w:ascii="Arial" w:cs="Arial" w:eastAsia="Arial" w:hAnsi="Arial"/>
          <w:sz w:val="22"/>
          <w:szCs w:val="22"/>
        </w:rPr>
        <w:t xml:space="preserve">Para garantizar causalidad estricta de las probabilidades de régimen ξ_{k,t}:</w:t>
      </w:r>
    </w:p>
    <w:p>
      <w:pPr>
        <w:pStyle w:val="ListParagraph"/>
        <w:numPr>
          <w:ilvl w:val="0"/>
          <w:numId w:val="3"/>
        </w:numPr>
        <w:spacing w:after="40" w:before="40"/>
      </w:pPr>
      <w:r>
        <w:rPr>
          <w:rFonts w:ascii="Arial" w:cs="Arial" w:eastAsia="Arial" w:hAnsi="Arial"/>
          <w:sz w:val="22"/>
          <w:szCs w:val="22"/>
        </w:rPr>
        <w:t xml:space="preserve">Ejecutar el algoritmo EM completo sobre los </w:t>
      </w:r>
      <w:r>
        <w:rPr>
          <w:rFonts w:ascii="Arial" w:cs="Arial" w:eastAsia="Arial" w:hAnsi="Arial"/>
          <w:b/>
          <w:bCs/>
          <w:color w:val="000000"/>
          <w:sz w:val="22"/>
          <w:szCs w:val="22"/>
        </w:rPr>
        <w:t xml:space="preserve">datos de entrenamiento del fold activo</w:t>
      </w:r>
      <w:r>
        <w:rPr>
          <w:rFonts w:ascii="Arial" w:cs="Arial" w:eastAsia="Arial" w:hAnsi="Arial"/>
          <w:sz w:val="22"/>
          <w:szCs w:val="22"/>
        </w:rPr>
        <w:t xml:space="preserve"> únicamente.</w:t>
      </w:r>
    </w:p>
    <w:p>
      <w:pPr>
        <w:pStyle w:val="ListParagraph"/>
        <w:numPr>
          <w:ilvl w:val="0"/>
          <w:numId w:val="3"/>
        </w:numPr>
        <w:spacing w:after="40" w:before="40"/>
      </w:pPr>
      <w:r>
        <w:rPr>
          <w:rFonts w:ascii="Arial" w:cs="Arial" w:eastAsia="Arial" w:hAnsi="Arial"/>
          <w:sz w:val="22"/>
          <w:szCs w:val="22"/>
        </w:rPr>
        <w:t xml:space="preserve">Guardar (congelar) los parámetros óptimos: </w:t>
      </w:r>
      <w:r>
        <w:rPr>
          <w:rFonts w:ascii="Cambria Math" w:cs="Cambria Math" w:eastAsia="Cambria Math" w:hAnsi="Cambria Math"/>
          <w:i/>
          <w:iCs/>
          <w:color w:val="1F3864"/>
          <w:sz w:val="22"/>
          <w:szCs w:val="22"/>
        </w:rPr>
        <w:t xml:space="preserve">θ* = {P, λ_i, F_j, Q_j, R_i}</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Correr el Filtro de Kim forward-only sobre el </w:t>
      </w:r>
      <w:r>
        <w:rPr>
          <w:rFonts w:ascii="Arial" w:cs="Arial" w:eastAsia="Arial" w:hAnsi="Arial"/>
          <w:b/>
          <w:bCs/>
          <w:color w:val="000000"/>
          <w:sz w:val="22"/>
          <w:szCs w:val="22"/>
        </w:rPr>
        <w:t xml:space="preserve">set de validación</w:t>
      </w:r>
      <w:r>
        <w:rPr>
          <w:rFonts w:ascii="Arial" w:cs="Arial" w:eastAsia="Arial" w:hAnsi="Arial"/>
          <w:sz w:val="22"/>
          <w:szCs w:val="22"/>
        </w:rPr>
        <w:t xml:space="preserve"> con θ* congelado.</w:t>
      </w:r>
    </w:p>
    <w:p>
      <w:pPr>
        <w:pStyle w:val="ListParagraph"/>
        <w:numPr>
          <w:ilvl w:val="0"/>
          <w:numId w:val="3"/>
        </w:numPr>
        <w:spacing w:after="40" w:before="40"/>
      </w:pPr>
      <w:r>
        <w:rPr>
          <w:rFonts w:ascii="Arial" w:cs="Arial" w:eastAsia="Arial" w:hAnsi="Arial"/>
          <w:sz w:val="22"/>
          <w:szCs w:val="22"/>
        </w:rPr>
        <w:t xml:space="preserve">Las ξ_{3,t} del set de validación se construyen sin ninguna actualización EM adicional.</w:t>
      </w:r>
    </w:p>
    <w:p>
      <w:pPr>
        <w:pStyle w:val="ListParagraph"/>
        <w:numPr>
          <w:ilvl w:val="0"/>
          <w:numId w:val="3"/>
        </w:numPr>
        <w:spacing w:after="40" w:before="40"/>
      </w:pPr>
      <w:r>
        <w:rPr>
          <w:rFonts w:ascii="Arial" w:cs="Arial" w:eastAsia="Arial" w:hAnsi="Arial"/>
          <w:sz w:val="22"/>
          <w:szCs w:val="22"/>
        </w:rPr>
        <w:t xml:space="preserve">En producción (post-entrenamiento): re-estimar θ* periódicamente (mensual) sobre ventana rodante de 504 días (2 años) para capturar cambios estructurales en las cargas factoriales.</w:t>
      </w:r>
    </w:p>
    <w:p>
      <w:pPr>
        <w:spacing w:after="40" w:before="80"/>
      </w:pPr>
    </w:p>
    <w:p>
      <w:pPr>
        <w:pStyle w:val="Heading2"/>
        <w:spacing w:after="80" w:before="280"/>
      </w:pPr>
      <w:r>
        <w:rPr>
          <w:rFonts w:ascii="Arial" w:cs="Arial" w:eastAsia="Arial" w:hAnsi="Arial"/>
          <w:b/>
          <w:bCs/>
          <w:color w:val="2E75B6"/>
          <w:sz w:val="26"/>
          <w:szCs w:val="26"/>
        </w:rPr>
        <w:t xml:space="preserve">8.3 Flujo Diario de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Hora (EST)</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4:55 PM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Descarga OHLC, SwapRates actuales y Spreads del broker vía API</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4:56 PM</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Feature Engineering</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Yang-Zhang adaptativo | MACD log | Z_{t-1}^(gap) rezagado | Normalización swaps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4:57 PM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Inferencia M-SSSM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Filtro de Kim sectorial con parámetros congelados → ξ_{3,t}</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4:58 PM</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Inferencia DMN</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Forward-pass: V-VSN → LSTM → PositionalEnc → Attention → X_{i,t}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4:59 PM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Sizing &amp; Risk Control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CF_t (CATSMOM) | f_final,i (Vol Target τ_efectivo) | Verificación Margin &lt; 35%</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4:59:30 PM</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Ruteo de Órdenes</w:t>
            </w:r>
          </w:p>
        </w:tc>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Órdenes límite via Socket API (MT5/FIX) 30 segundos antes del cierre</w:t>
            </w:r>
          </w:p>
        </w:tc>
      </w:tr>
    </w:tbl>
    <w:p>
      <w:pPr>
        <w:spacing w:after="40" w:before="80"/>
      </w:pPr>
    </w:p>
    <w:p>
      <w:pPr>
        <w:pStyle w:val="Heading2"/>
        <w:spacing w:after="80" w:before="280"/>
      </w:pPr>
      <w:r>
        <w:rPr>
          <w:rFonts w:ascii="Arial" w:cs="Arial" w:eastAsia="Arial" w:hAnsi="Arial"/>
          <w:b/>
          <w:bCs/>
          <w:color w:val="2E75B6"/>
          <w:sz w:val="26"/>
          <w:szCs w:val="26"/>
        </w:rPr>
        <w:t xml:space="preserve">8.4 Control de Riesgos en Producción</w:t>
      </w:r>
    </w:p>
    <w:p>
      <w:pPr>
        <w:pStyle w:val="ListParagraph"/>
        <w:numPr>
          <w:ilvl w:val="0"/>
          <w:numId w:val="2"/>
        </w:numPr>
        <w:spacing w:after="40" w:before="40"/>
      </w:pPr>
      <w:r>
        <w:rPr>
          <w:rFonts w:ascii="Arial" w:cs="Arial" w:eastAsia="Arial" w:hAnsi="Arial"/>
          <w:b/>
          <w:bCs/>
          <w:color w:val="000000"/>
          <w:sz w:val="22"/>
          <w:szCs w:val="22"/>
        </w:rPr>
        <w:t xml:space="preserve">Barrera de margen: </w:t>
      </w:r>
      <w:r>
        <w:rPr>
          <w:rFonts w:ascii="Arial" w:cs="Arial" w:eastAsia="Arial" w:hAnsi="Arial"/>
          <w:sz w:val="22"/>
          <w:szCs w:val="22"/>
        </w:rPr>
        <w:t xml:space="preserve">Suspensión de nuevas posiciones si margen consumido ex-ante &gt; 35% del equity neto.</w:t>
      </w:r>
    </w:p>
    <w:p>
      <w:pPr>
        <w:pStyle w:val="ListParagraph"/>
        <w:numPr>
          <w:ilvl w:val="0"/>
          <w:numId w:val="2"/>
        </w:numPr>
        <w:spacing w:after="40" w:before="40"/>
      </w:pPr>
      <w:r>
        <w:rPr>
          <w:rFonts w:ascii="Arial" w:cs="Arial" w:eastAsia="Arial" w:hAnsi="Arial"/>
          <w:b/>
          <w:bCs/>
          <w:color w:val="000000"/>
          <w:sz w:val="22"/>
          <w:szCs w:val="22"/>
        </w:rPr>
        <w:t xml:space="preserve">Calibración de γ por clase de activo: </w:t>
      </w:r>
      <w:r>
        <w:rPr>
          <w:rFonts w:ascii="Arial" w:cs="Arial" w:eastAsia="Arial" w:hAnsi="Arial"/>
          <w:sz w:val="22"/>
          <w:szCs w:val="22"/>
        </w:rPr>
        <w:t xml:space="preserve">Transaction Cost Scaler calibrado individualmente mediante CPCV para evitar sesgo de carry.</w:t>
      </w:r>
    </w:p>
    <w:p>
      <w:pPr>
        <w:pStyle w:val="ListParagraph"/>
        <w:numPr>
          <w:ilvl w:val="0"/>
          <w:numId w:val="2"/>
        </w:numPr>
        <w:spacing w:after="40" w:before="40"/>
      </w:pPr>
      <w:r>
        <w:rPr>
          <w:rFonts w:ascii="Arial" w:cs="Arial" w:eastAsia="Arial" w:hAnsi="Arial"/>
          <w:b/>
          <w:bCs/>
          <w:color w:val="000000"/>
          <w:sz w:val="22"/>
          <w:szCs w:val="22"/>
        </w:rPr>
        <w:t xml:space="preserve">Spreads dinámicos en backtest: </w:t>
      </w:r>
      <w:r>
        <w:rPr>
          <w:rFonts w:ascii="Arial" w:cs="Arial" w:eastAsia="Arial" w:hAnsi="Arial"/>
          <w:sz w:val="22"/>
          <w:szCs w:val="22"/>
        </w:rPr>
        <w:t xml:space="preserve">Spreads ensanchados en fases de baja liquidez + modelo de slippage variable + tasas de fill parcial.</w:t>
      </w:r>
    </w:p>
    <w:p>
      <w:pPr>
        <w:pStyle w:val="ListParagraph"/>
        <w:numPr>
          <w:ilvl w:val="0"/>
          <w:numId w:val="2"/>
        </w:numPr>
        <w:spacing w:after="40" w:before="40"/>
      </w:pPr>
      <w:r>
        <w:rPr>
          <w:rFonts w:ascii="Arial" w:cs="Arial" w:eastAsia="Arial" w:hAnsi="Arial"/>
          <w:b/>
          <w:bCs/>
          <w:color w:val="000000"/>
          <w:sz w:val="22"/>
          <w:szCs w:val="22"/>
        </w:rPr>
        <w:t xml:space="preserve">Circuito de emergencia: </w:t>
      </w:r>
      <w:r>
        <w:rPr>
          <w:rFonts w:ascii="Arial" w:cs="Arial" w:eastAsia="Arial" w:hAnsi="Arial"/>
          <w:sz w:val="22"/>
          <w:szCs w:val="22"/>
        </w:rPr>
        <w:t xml:space="preserve">Si la correlación promedio de cartera ρ̄_t &gt; 0.85 (indicador de pánico sistémico), CF_t se fuerza a 0.5 independientemente del cálculo CATSMOM.</w:t>
      </w:r>
    </w:p>
    <w:p>
      <w:pPr>
        <w:spacing w:after="40" w:before="80"/>
      </w:pPr>
    </w:p>
    <w:p>
      <w:pPr>
        <w:pStyle w:val="Heading2"/>
        <w:spacing w:after="80" w:before="280"/>
      </w:pPr>
      <w:r>
        <w:rPr>
          <w:rFonts w:ascii="Arial" w:cs="Arial" w:eastAsia="Arial" w:hAnsi="Arial"/>
          <w:b/>
          <w:bCs/>
          <w:color w:val="2E75B6"/>
          <w:sz w:val="26"/>
          <w:szCs w:val="26"/>
        </w:rPr>
        <w:t xml:space="preserve">8.5 Acumulación de Gradientes en Dos Pasadas (DeePM)</w:t>
      </w:r>
    </w:p>
    <w:p>
      <w:pPr>
        <w:spacing w:after="60" w:before="60"/>
      </w:pPr>
      <w:r>
        <w:rPr>
          <w:rFonts w:ascii="Arial" w:cs="Arial" w:eastAsia="Arial" w:hAnsi="Arial"/>
          <w:sz w:val="22"/>
          <w:szCs w:val="22"/>
        </w:rPr>
        <w:t xml:space="preserve">Para superar las limitaciones de VRAM (NVIDIA RTX 4090, 24 GB) al procesar matrices de covarianza del universo completo:</w:t>
      </w:r>
    </w:p>
    <w:p>
      <w:pPr>
        <w:pStyle w:val="ListParagraph"/>
        <w:numPr>
          <w:ilvl w:val="0"/>
          <w:numId w:val="3"/>
        </w:numPr>
        <w:spacing w:after="40" w:before="40"/>
      </w:pPr>
      <w:r>
        <w:rPr>
          <w:rFonts w:ascii="Arial" w:cs="Arial" w:eastAsia="Arial" w:hAnsi="Arial"/>
          <w:sz w:val="22"/>
          <w:szCs w:val="22"/>
        </w:rPr>
        <w:t xml:space="preserve">Pasada 1 (Forward local): acumular gradientes localmente por pasos temporales secuenciales dentro del batch temporal.</w:t>
      </w:r>
    </w:p>
    <w:p>
      <w:pPr>
        <w:pStyle w:val="ListParagraph"/>
        <w:numPr>
          <w:ilvl w:val="0"/>
          <w:numId w:val="3"/>
        </w:numPr>
        <w:spacing w:after="40" w:before="40"/>
      </w:pPr>
      <w:r>
        <w:rPr>
          <w:rFonts w:ascii="Arial" w:cs="Arial" w:eastAsia="Arial" w:hAnsi="Arial"/>
          <w:sz w:val="22"/>
          <w:szCs w:val="22"/>
        </w:rPr>
        <w:t xml:space="preserve">Pasada 2 (Backward global): actualizar los pesos globales de la red una vez completada la ventana temporal del batch.</w:t>
      </w:r>
    </w:p>
    <w:p>
      <w:pPr>
        <w:spacing w:after="60" w:before="60"/>
      </w:pPr>
      <w:r>
        <w:rPr>
          <w:rFonts w:ascii="Arial" w:cs="Arial" w:eastAsia="Arial" w:hAnsi="Arial"/>
          <w:sz w:val="22"/>
          <w:szCs w:val="22"/>
        </w:rPr>
        <w:t xml:space="preserve">Este esquema permite procesar la ventana LSTM completa de L=63 días sobre los 21 activos simultáneamente sin fragmentar la secuencia.</w:t>
      </w:r>
    </w:p>
    <w:p>
      <w:r>
        <w:br w:type="page"/>
      </w:r>
    </w:p>
    <w:p>
      <w:pPr>
        <w:pStyle w:val="Heading1"/>
        <w:spacing w:after="120" w:before="360"/>
      </w:pPr>
      <w:r>
        <w:rPr>
          <w:rFonts w:ascii="Arial" w:cs="Arial" w:eastAsia="Arial" w:hAnsi="Arial"/>
          <w:b/>
          <w:bCs/>
          <w:color w:val="1F3864"/>
          <w:sz w:val="32"/>
          <w:szCs w:val="32"/>
        </w:rPr>
        <w:t xml:space="preserve">9. Resumen Ejecutivo — Estado del Sistema</w:t>
      </w:r>
    </w:p>
    <w:p>
      <w:pPr>
        <w:spacing w:after="60" w:before="60"/>
      </w:pPr>
      <w:r>
        <w:rPr>
          <w:rFonts w:ascii="Arial" w:cs="Arial" w:eastAsia="Arial" w:hAnsi="Arial"/>
          <w:sz w:val="22"/>
          <w:szCs w:val="22"/>
        </w:rPr>
        <w:t xml:space="preserve">El sistema DMN-CFD v3.0 ha sido revisado con una auditoría estadística de nivel institucional. El estado actual por categoría es: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Categoría</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Resumen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Consistencia matemática</w:t>
            </w:r>
          </w:p>
        </w:tc>
        <w:tc>
          <w:tcPr>
            <w:tcW w:type="dxa" w:w="1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 RESUELTO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ERR-01/02/04/05/06/10/13 + AUD-01. Fórmulas dimensionalmente consistentes. SR Bailey-Prado exacto implementado.</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F3864"/>
                <w:sz w:val="20"/>
                <w:szCs w:val="20"/>
              </w:rPr>
              <w:t xml:space="preserve">Data leakage / look-ahead</w:t>
            </w:r>
          </w:p>
        </w:tc>
        <w:tc>
          <w:tcPr>
            <w:tcW w:type="dxa" w:w="1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 RESUELTO</w:t>
            </w:r>
          </w:p>
        </w:tc>
        <w:tc>
          <w:tcPr>
            <w:tcW w:type="dxa" w:w="5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18"/>
                <w:szCs w:val="18"/>
              </w:rPr>
              <w:t xml:space="preserve">ERR-05 + AUD-02/03. Gap rezagado t-1. EM M-SSSM causal por fold. TC evaluado en t-1.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Robustez del backtesting</w:t>
            </w:r>
          </w:p>
        </w:tc>
        <w:tc>
          <w:tcPr>
            <w:tcW w:type="dxa" w:w="1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 RESUELTO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ERR-09/11 + Annealing cíclico. CPCV 147d purga, 10 bloques. Universo dinámico U_t.</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F3864"/>
                <w:sz w:val="20"/>
                <w:szCs w:val="20"/>
              </w:rPr>
              <w:t xml:space="preserve">Modelado de fricciones</w:t>
            </w:r>
          </w:p>
        </w:tc>
        <w:tc>
          <w:tcPr>
            <w:tcW w:type="dxa" w:w="1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 RESUELTO</w:t>
            </w:r>
          </w:p>
        </w:tc>
        <w:tc>
          <w:tcPr>
            <w:tcW w:type="dxa" w:w="5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18"/>
                <w:szCs w:val="18"/>
              </w:rPr>
              <w:t xml:space="preserve">AUD-04. M_t=1.0 constante para agrícolas/Gas Natural. Swap carry exacto por instrumento.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Identificabilidad M-SSSM</w:t>
            </w:r>
          </w:p>
        </w:tc>
        <w:tc>
          <w:tcPr>
            <w:tcW w:type="dxa" w:w="1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 RESUELTO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ERR-07/08. 3 factores sectoriales. Q diagonal. Q_j^(1)=1. λ_SPX500&gt;0.</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F3864"/>
                <w:sz w:val="20"/>
                <w:szCs w:val="20"/>
              </w:rPr>
              <w:t xml:space="preserve">Dimensionamiento posición</w:t>
            </w:r>
          </w:p>
        </w:tc>
        <w:tc>
          <w:tcPr>
            <w:tcW w:type="dxa" w:w="1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 RESUELTO</w:t>
            </w:r>
          </w:p>
        </w:tc>
        <w:tc>
          <w:tcPr>
            <w:tcW w:type="dxa" w:w="5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18"/>
                <w:szCs w:val="18"/>
              </w:rPr>
              <w:t xml:space="preserve">ERR-10/12. τ_efectivo=φ·τ=3.75% documentado. δ_min,t causal (ventana 252d). CF_t clip [0.5,2.0].</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A84F" w:sz="1"/>
              <w:left w:val="single" w:color="6AA84F" w:sz="1"/>
              <w:bottom w:val="single" w:color="6AA84F" w:sz="1"/>
              <w:right w:val="single" w:color="6AA84F" w:sz="1"/>
            </w:tcBorders>
            <w:shd w:fill="D9EAD3" w:val="clear"/>
            <w:tcMar>
              <w:top w:type="dxa" w:w="120"/>
              <w:left w:type="dxa" w:w="180"/>
              <w:bottom w:type="dxa" w:w="120"/>
              <w:right w:type="dxa" w:w="180"/>
            </w:tcMar>
          </w:tcPr>
          <w:p>
            <w:pPr>
              <w:spacing w:after="8" w:before="40"/>
            </w:pPr>
            <w:r>
              <w:rPr>
                <w:rFonts w:ascii="Arial" w:cs="Arial" w:eastAsia="Arial" w:hAnsi="Arial"/>
                <w:b/>
                <w:bCs/>
                <w:color w:val="1F3864"/>
                <w:sz w:val="22"/>
                <w:szCs w:val="22"/>
              </w:rPr>
              <w:t xml:space="preserve">Próximos pasos recomendados</w:t>
            </w:r>
          </w:p>
          <w:p>
            <w:pPr>
              <w:spacing w:after="8" w:before="8"/>
            </w:pPr>
            <w:r>
              <w:rPr>
                <w:rFonts w:ascii="Arial" w:cs="Arial" w:eastAsia="Arial" w:hAnsi="Arial"/>
                <w:sz w:val="22"/>
                <w:szCs w:val="22"/>
              </w:rPr>
              <w:t xml:space="preserve">1. Implementar el pipeline de Feature Engineering (Fase 2) con verificación causal de Z_{t-1}^(gap).</w:t>
            </w:r>
          </w:p>
          <w:p>
            <w:pPr>
              <w:spacing w:after="8" w:before="4"/>
            </w:pPr>
            <w:r>
              <w:rPr>
                <w:rFonts w:ascii="Arial" w:cs="Arial" w:eastAsia="Arial" w:hAnsi="Arial"/>
                <w:sz w:val="22"/>
                <w:szCs w:val="22"/>
              </w:rPr>
              <w:t xml:space="preserve">2. Implementar el EM del M-SSSM con protocolo de congelamiento de parámetros por fold.</w:t>
            </w:r>
          </w:p>
          <w:p>
            <w:pPr>
              <w:spacing w:after="8" w:before="4"/>
            </w:pPr>
            <w:r>
              <w:rPr>
                <w:rFonts w:ascii="Arial" w:cs="Arial" w:eastAsia="Arial" w:hAnsi="Arial"/>
                <w:sz w:val="22"/>
                <w:szCs w:val="22"/>
              </w:rPr>
              <w:t xml:space="preserve">3. Implementar la función de pérdida EVaR con SR Bailey-Prado exacto y Cosine Annealing cíclico.</w:t>
            </w:r>
          </w:p>
          <w:p>
            <w:pPr>
              <w:spacing w:after="8" w:before="4"/>
            </w:pPr>
            <w:r>
              <w:rPr>
                <w:rFonts w:ascii="Arial" w:cs="Arial" w:eastAsia="Arial" w:hAnsi="Arial"/>
                <w:sz w:val="22"/>
                <w:szCs w:val="22"/>
              </w:rPr>
              <w:t xml:space="preserve">4. Calibrar τ_efectivo=3.75% en el sizing y δ_min,t sobre ventana rodante antes del primer backtest.</w:t>
            </w:r>
          </w:p>
          <w:p>
            <w:pPr>
              <w:spacing w:after="40" w:before="4"/>
            </w:pPr>
            <w:r>
              <w:rPr>
                <w:rFonts w:ascii="Arial" w:cs="Arial" w:eastAsia="Arial" w:hAnsi="Arial"/>
                <w:sz w:val="22"/>
                <w:szCs w:val="22"/>
              </w:rPr>
              <w:t xml:space="preserve">5. Ejecutar CPCV completo y reportar SR corregido, Turnover, y distribución de ξ_{3,t} por período.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60"/>
    </w:pPr>
    <w:r>
      <w:rPr>
        <w:rFonts w:ascii="Arial" w:cs="Arial" w:eastAsia="Arial" w:hAnsi="Arial"/>
        <w:color w:val="595959"/>
        <w:sz w:val="18"/>
        <w:szCs w:val="18"/>
      </w:rPr>
      <w:t xml:space="preserve">© Sistema DMN-CFD — 17 correcciones aplicadas | Auditoría Estadística v2</w:t>
    </w:r>
    <w:r>
      <w:rPr>
        <w:rFonts w:ascii="Arial" w:cs="Arial" w:eastAsia="Arial" w:hAnsi="Arial"/>
        <w:color w:val="595959"/>
        <w:sz w:val="18"/>
        <w:szCs w:val="18"/>
      </w:rPr>
      <w:t xml:space="preserve">	Edición Auditada v3.0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60" w:before="0"/>
    </w:pPr>
    <w:r>
      <w:rPr>
        <w:rFonts w:ascii="Arial" w:cs="Arial" w:eastAsia="Arial" w:hAnsi="Arial"/>
        <w:color w:val="595959"/>
        <w:sz w:val="18"/>
        <w:szCs w:val="18"/>
      </w:rPr>
      <w:t xml:space="preserve">Plan de Ejecución Maestro DMN-CFD v3.0 — Edición Auditada</w:t>
    </w:r>
    <w:r>
      <w:rPr>
        <w:rFonts w:ascii="Arial" w:cs="Arial" w:eastAsia="Arial" w:hAnsi="Arial"/>
        <w:sz w:val="18"/>
        <w:szCs w:val="18"/>
      </w:rPr>
      <w:t xml:space="preserve">          </w:t>
    </w:r>
    <w:r>
      <w:rPr>
        <w:rFonts w:ascii="Arial" w:cs="Arial" w:eastAsia="Arial" w:hAnsi="Arial"/>
        <w:b/>
        <w:bCs/>
        <w:color w:val="C55A11"/>
        <w:sz w:val="18"/>
        <w:szCs w:val="18"/>
      </w:rPr>
      <w:t xml:space="preserve">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B6B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2026-06-02T23:25:17.641Z</dcterms:created>
  <dcterms:modified xsi:type="dcterms:W3CDTF">2026-06-02T23:25:17.641Z</dcterms:modified>
</cp:coreProperties>
</file>

<file path=docProps/custom.xml><?xml version="1.0" encoding="utf-8"?>
<Properties xmlns="http://schemas.openxmlformats.org/officeDocument/2006/custom-properties" xmlns:vt="http://schemas.openxmlformats.org/officeDocument/2006/docPropsVTypes"/>
</file>