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left"/>
      </w:pPr>
    </w:p>
    <w:p>
      <w:pPr>
        <w:spacing w:line="480" w:lineRule="auto" w:after="0" w:before="0"/>
        <w:jc w:val="left"/>
      </w:pPr>
    </w:p>
    <w:p>
      <w:pPr>
        <w:spacing w:line="480" w:lineRule="auto" w:after="0" w:before="0"/>
        <w:jc w:val="left"/>
      </w:pPr>
    </w:p>
    <w:p>
      <w:pPr>
        <w:spacing w:line="480" w:lineRule="auto" w:after="240" w:before="0"/>
        <w:jc w:val="center"/>
      </w:pPr>
      <w:r>
        <w:rPr>
          <w:rFonts w:ascii="Times New Roman" w:hAnsi="Times New Roman"/>
          <w:b/>
          <w:sz w:val="24"/>
        </w:rPr>
        <w:t>Análisis Macroeconómico del Tipo de Cambio INR/USD:</w:t>
        <w:br/>
        <w:t>Un Estudio de Tres Eventos Cambiarios en el Primer Semestre de 2026</w:t>
      </w:r>
    </w:p>
    <w:p>
      <w:pPr>
        <w:spacing w:line="480" w:lineRule="auto" w:after="240" w:before="0"/>
        <w:jc w:val="left"/>
      </w:pPr>
    </w:p>
    <w:p>
      <w:pPr>
        <w:spacing w:line="480" w:lineRule="auto" w:after="120" w:before="0"/>
        <w:jc w:val="center"/>
      </w:pPr>
      <w:r>
        <w:rPr>
          <w:rFonts w:ascii="Times New Roman" w:hAnsi="Times New Roman"/>
          <w:sz w:val="24"/>
        </w:rPr>
        <w:t>María José Elizalde Chiriboga, Santiago Alejandro Naranjo Reyes,</w:t>
        <w:br/>
        <w:t>Ladnney Nicole Torres Lastra, y Alexandra Elizabeth Tobar Piarpuezán</w:t>
      </w:r>
    </w:p>
    <w:p>
      <w:pPr>
        <w:spacing w:line="480" w:lineRule="auto" w:after="120" w:before="0"/>
        <w:jc w:val="center"/>
      </w:pPr>
      <w:r>
        <w:rPr>
          <w:rFonts w:ascii="Times New Roman" w:hAnsi="Times New Roman"/>
          <w:sz w:val="24"/>
        </w:rPr>
        <w:t>Facultad de Ciencias Económicas, Administrativas y de Comercio</w:t>
        <w:br/>
        <w:t>Universidad de las Fuerzas Armadas (ESPE)</w:t>
      </w:r>
    </w:p>
    <w:p>
      <w:pPr>
        <w:spacing w:line="480" w:lineRule="auto" w:after="120" w:before="0"/>
        <w:jc w:val="center"/>
      </w:pPr>
      <w:r>
        <w:rPr>
          <w:rFonts w:ascii="Times New Roman" w:hAnsi="Times New Roman"/>
          <w:sz w:val="24"/>
        </w:rPr>
        <w:t>Economía Internacional (NRC 27817)</w:t>
      </w:r>
    </w:p>
    <w:p>
      <w:pPr>
        <w:spacing w:line="480" w:lineRule="auto" w:after="120" w:before="0"/>
        <w:jc w:val="center"/>
      </w:pPr>
      <w:r>
        <w:rPr>
          <w:rFonts w:ascii="Times New Roman" w:hAnsi="Times New Roman"/>
          <w:sz w:val="24"/>
        </w:rPr>
        <w:t>Msc. Christian Andrés Mazón López</w:t>
      </w:r>
    </w:p>
    <w:p>
      <w:pPr>
        <w:spacing w:line="480" w:lineRule="auto" w:after="0" w:before="0"/>
        <w:jc w:val="center"/>
      </w:pPr>
      <w:r>
        <w:rPr>
          <w:rFonts w:ascii="Times New Roman" w:hAnsi="Times New Roman"/>
          <w:sz w:val="24"/>
        </w:rPr>
        <w:t>5 de julio de 2026</w:t>
      </w:r>
    </w:p>
    <w:p>
      <w:r>
        <w:br w:type="page"/>
      </w:r>
    </w:p>
    <w:p>
      <w:pPr>
        <w:spacing w:line="480" w:lineRule="auto" w:after="0" w:before="240"/>
        <w:jc w:val="center"/>
      </w:pPr>
      <w:r>
        <w:rPr>
          <w:rFonts w:ascii="Times New Roman" w:hAnsi="Times New Roman"/>
          <w:b/>
          <w:sz w:val="24"/>
        </w:rPr>
        <w:t>Análisis Macroeconómico de Eventos Cambiarios en la India</w:t>
      </w:r>
    </w:p>
    <w:p>
      <w:pPr>
        <w:spacing w:line="480" w:lineRule="auto" w:after="0" w:before="0"/>
        <w:ind w:firstLine="720"/>
        <w:jc w:val="left"/>
      </w:pPr>
      <w:r>
        <w:rPr>
          <w:rFonts w:ascii="Times New Roman" w:hAnsi="Times New Roman"/>
          <w:sz w:val="24"/>
        </w:rPr>
        <w:t>El comportamiento del tipo de cambio entre la rupia india (INR) y el dólar estadounidense (USD) constituye uno de los indicadores macroeconómicos clave para evaluar la estabilidad financiera del sur de Asia. Como economía de mercado emergente altamente dependiente de la importación de combustibles fósiles, la India experimenta presiones constantes en su balanza de pagos ante las perturbaciones en los precios de las materias primas y las oscilaciones de las tasas de interés en las economías avanzadas (Reserve Bank of India, 2025). El presente análisis examina la dinámica cambiaria del par durante el primer semestre del año 2026 a través de tres acontecimientos significativos: una apreciación transitoria al comienzo del año, un periodo de marcada depreciación entre marzo y mayo, y una fase de alta volatilidad entre abril y junio. Cada evento se correlaciona con variables macroeconómicas críticas, las decisiones de política monetaria del Reserve Bank of India (RBI) y el panorama macroeconómico global.</w:t>
      </w:r>
    </w:p>
    <w:p>
      <w:pPr>
        <w:spacing w:line="480" w:lineRule="auto" w:after="0" w:before="240"/>
        <w:jc w:val="left"/>
      </w:pPr>
      <w:r>
        <w:rPr>
          <w:rFonts w:ascii="Times New Roman" w:hAnsi="Times New Roman"/>
          <w:b/>
          <w:sz w:val="24"/>
        </w:rPr>
        <w:t>Apreciación de la Rupia frente al Dólar (Enero - Febrero de 2026)</w:t>
      </w:r>
    </w:p>
    <w:p>
      <w:pPr>
        <w:spacing w:line="480" w:lineRule="auto" w:after="0" w:before="0"/>
        <w:ind w:firstLine="720"/>
        <w:jc w:val="left"/>
      </w:pPr>
      <w:r>
        <w:rPr>
          <w:rFonts w:ascii="Times New Roman" w:hAnsi="Times New Roman"/>
          <w:sz w:val="24"/>
        </w:rPr>
        <w:t>A finales de enero de 2026, la rupia india (INR) logró un rebote temporal frente al dólar (USD), pasando de un mínimo de 92.02 a un promedio de 90.75 rupias por dólar (The Hindu, 2026). Este fortalecimiento se debió a la intervención directa del Reserve Bank of India (RBI) en los mercados spot y de derivados no entregables (NDF) (Reserve Bank of India, 2026), sumada al optimismo generado por el anuncio del Presupuesto Fiscal de la Unión para el periodo 2026-2027 el 1 de febrero (Reuters, 2026).</w:t>
      </w:r>
    </w:p>
    <w:p>
      <w:pPr>
        <w:spacing w:line="480" w:lineRule="auto" w:after="0" w:before="0"/>
        <w:ind w:firstLine="720"/>
        <w:jc w:val="left"/>
      </w:pPr>
      <w:r>
        <w:rPr>
          <w:rFonts w:ascii="Times New Roman" w:hAnsi="Times New Roman"/>
          <w:sz w:val="24"/>
        </w:rPr>
        <w:t>Desde la perspectiva macroeconómica, el evento se vincula con las siguientes variables: (a) Crecimiento económico y expectativas: El fuerte enfoque del presupuesto en la inversión pública de capital (infraestructura y defensa) elevó las expectativas de crecimiento del PIB, atrayendo flujos temporales de capital extranjero (Mitrade, 2026). (b) Balanza comercial y tasas: El repunte de la rupia abarató los costos de importación y alivia la inflación importada. En paralelo, el RBI mantuvo sus tasas y requisitos de reserva elevados para preservar el atractivo del rendimiento real de los activos indios (FXStreet, 2026).</w:t>
      </w:r>
    </w:p>
    <w:p>
      <w:pPr>
        <w:spacing w:line="480" w:lineRule="auto" w:after="0" w:before="240"/>
        <w:jc w:val="left"/>
      </w:pPr>
      <w:r>
        <w:rPr>
          <w:rFonts w:ascii="Times New Roman" w:hAnsi="Times New Roman"/>
          <w:b/>
          <w:sz w:val="24"/>
        </w:rPr>
        <w:t>Depreciación de la Rupia frente al Dólar (Marzo - Mayo de 2026)</w:t>
      </w:r>
    </w:p>
    <w:p>
      <w:pPr>
        <w:spacing w:line="480" w:lineRule="auto" w:after="0" w:before="0"/>
        <w:ind w:firstLine="720"/>
        <w:jc w:val="left"/>
      </w:pPr>
      <w:r>
        <w:rPr>
          <w:rFonts w:ascii="Times New Roman" w:hAnsi="Times New Roman"/>
          <w:sz w:val="24"/>
        </w:rPr>
        <w:t>Durante la primavera de 2026, la rupia sufrió una depreciación sostenida hasta tocar un mínimo histórico de 96.95 por dólar a mediados de mayo (Goldman Sachs, 2026). La causa de este declive fue un fuerte choque de oferta externo: la escalada bélica en Medio Oriente y el amago de Irán de bloquear el Estrecho de Hormuz, lo que disparó el precio internacional del petróleo crudo (Reuters, 2026).</w:t>
      </w:r>
    </w:p>
    <w:p>
      <w:pPr>
        <w:spacing w:line="480" w:lineRule="auto" w:after="0" w:before="0"/>
        <w:ind w:firstLine="720"/>
        <w:jc w:val="left"/>
      </w:pPr>
      <w:r>
        <w:rPr>
          <w:rFonts w:ascii="Times New Roman" w:hAnsi="Times New Roman"/>
          <w:sz w:val="24"/>
        </w:rPr>
        <w:t>La devaluación de la moneda se conecta directamente con variables clave: (a) Balanza comercial e inflación: Al importar India más del 80% del petróleo que consume, el alza de la energía deterioró la balanza comercial y amplió el déficit en cuenta corriente (CAD), transmitiéndose como una fuerte inflación importada (Goldman Sachs, 2026). (b) Tasas de interés y riesgo político: La aversión global al riesgo fortaleció al USD como refugio. El RBI intervino masivamente (vendiendo hasta $1,000 millones de USD diarios en spot) y emitió una subasta swap de $5,000 millones el 20 de mayo (Reserve Bank of India, 2026). Para limitar la especulación, el RBI redujo a $100 millones el límite de posiciones de los bancos comerciales, manteniendo estable su tasa repo para no asfixiar el crecimiento.</w:t>
      </w:r>
    </w:p>
    <w:p>
      <w:pPr>
        <w:spacing w:line="480" w:lineRule="auto" w:after="0" w:before="240"/>
        <w:jc w:val="left"/>
      </w:pPr>
      <w:r>
        <w:rPr>
          <w:rFonts w:ascii="Times New Roman" w:hAnsi="Times New Roman"/>
          <w:b/>
          <w:sz w:val="24"/>
        </w:rPr>
        <w:t>Periodo de Alta Volatilidad Cambiaria (Abril - Junio de 2026)</w:t>
      </w:r>
    </w:p>
    <w:p>
      <w:pPr>
        <w:spacing w:line="480" w:lineRule="auto" w:after="0" w:before="0"/>
        <w:ind w:firstLine="720"/>
        <w:jc w:val="left"/>
      </w:pPr>
      <w:r>
        <w:rPr>
          <w:rFonts w:ascii="Times New Roman" w:hAnsi="Times New Roman"/>
          <w:sz w:val="24"/>
        </w:rPr>
        <w:t>El segundo trimestre de 2026 estuvo marcado por bruscos vaivenes cambiarios que finalmente se consolidaron en el rango de 94.20–95.00 a finales de junio (Bloomberg, 2026). Esta inestabilidad combinó la incertidumbre por las políticas en economías avanzadas y las reformas financieras de la India.</w:t>
      </w:r>
    </w:p>
    <w:p>
      <w:pPr>
        <w:spacing w:line="480" w:lineRule="auto" w:after="0" w:before="0"/>
        <w:ind w:firstLine="720"/>
        <w:jc w:val="left"/>
      </w:pPr>
      <w:r>
        <w:rPr>
          <w:rFonts w:ascii="Times New Roman" w:hAnsi="Times New Roman"/>
          <w:sz w:val="24"/>
        </w:rPr>
        <w:t>En términos macroeconómicos, la volatilidad se asocia a: (a) Tasas de interés y expectativas (Fed): La Reserva Federal de EE. UU., bajo la nueva dirección de Kevin Warsh, mantuvo las tasas altas (3.50%-3.75%) pero eliminó el mecanismo de forward guidance (proyección futura) (Federal Reserve Board, 2026). La falta de orientación a futuro desorientó al mercado global, provocando fluctuaciones bruscas en los rendimientos de los bonos y flujos de capital. (b) Reformas de capital y balanza comercial: Para estabilizar el INR, el RBI flexibilizó el 5 de junio los límites de deuda externa (ECB) y flexibilizó la compra de bonos soberanos (FAR) (Bloomberg, 2026). Esto, sumado a una tregua temporal en el Estrecho de Hormuz que redujo los precios del petróleo, permitió una estabilización y recuperación de la rupia a fines de junio.</w:t>
      </w:r>
    </w:p>
    <w:p>
      <w:pPr>
        <w:spacing w:line="480" w:lineRule="auto" w:after="0" w:before="240"/>
        <w:jc w:val="center"/>
      </w:pPr>
      <w:r>
        <w:rPr>
          <w:rFonts w:ascii="Times New Roman" w:hAnsi="Times New Roman"/>
          <w:b/>
          <w:sz w:val="24"/>
        </w:rPr>
        <w:t>Conclusiones</w:t>
      </w:r>
    </w:p>
    <w:p>
      <w:pPr>
        <w:spacing w:line="480" w:lineRule="auto" w:after="0" w:before="0"/>
        <w:ind w:firstLine="720"/>
        <w:jc w:val="left"/>
      </w:pPr>
      <w:r>
        <w:rPr>
          <w:rFonts w:ascii="Times New Roman" w:hAnsi="Times New Roman"/>
          <w:sz w:val="24"/>
        </w:rPr>
        <w:t>El comportamiento del tipo de cambio INR/USD durante el primer semestre de 2026 evidencia que la rupia india se encuentra sujeta a una combinación de choques de oferta exógenos y decisiones de política financiera global. Si bien factores estructurales como la alta dependencia de las importaciones de petróleo crudo continúan representando una debilidad para la balanza comercial de India, la capacidad de respuesta del Reserve Bank of India (RBI) a través de reformas de la cuenta de capital, intervenciones cambiarias esterilizadas and regulaciones preventivas a la especulación bancaria ha demostrado ser exitosa para evitar que la moneda sufra un colapso descontrolado por encima del límite psicológico de 100 rupias por dólar. Por lo tanto, el control de la inflación importada, la estabilidad geopolítica y la claridad en las políticas de la Fed de EE. UU. persisten como los principales determinantes de la estabilidad cambiaria de la rupia a largo plazo.</w:t>
      </w:r>
    </w:p>
    <w:p>
      <w:r>
        <w:br w:type="page"/>
      </w:r>
    </w:p>
    <w:p>
      <w:pPr>
        <w:spacing w:line="480" w:lineRule="auto" w:after="0" w:before="240"/>
        <w:jc w:val="center"/>
      </w:pPr>
      <w:r>
        <w:rPr>
          <w:rFonts w:ascii="Times New Roman" w:hAnsi="Times New Roman"/>
          <w:b/>
          <w:sz w:val="24"/>
        </w:rPr>
        <w:t>Referencias</w:t>
      </w:r>
    </w:p>
    <w:p>
      <w:pPr>
        <w:spacing w:line="480" w:lineRule="auto" w:after="120" w:before="0"/>
        <w:ind w:hanging="720" w:left="720"/>
        <w:jc w:val="left"/>
      </w:pPr>
      <w:r>
        <w:rPr>
          <w:rFonts w:ascii="Times New Roman" w:hAnsi="Times New Roman"/>
          <w:sz w:val="24"/>
        </w:rPr>
        <w:t>Bloomberg. (2026, 5 de junio). RBI announces measures to boost capital inflows, stabilize rupee. Bloomberg Markets. https://www.bloomberg.com/markets</w:t>
      </w:r>
    </w:p>
    <w:p>
      <w:pPr>
        <w:spacing w:line="480" w:lineRule="auto" w:after="120" w:before="0"/>
        <w:ind w:hanging="720" w:left="720"/>
        <w:jc w:val="left"/>
      </w:pPr>
      <w:r>
        <w:rPr>
          <w:rFonts w:ascii="Times New Roman" w:hAnsi="Times New Roman"/>
          <w:sz w:val="24"/>
        </w:rPr>
        <w:t>FXStreet. (2026). Indian Rupee (INR) news and analysis. FXStreet. https://www.fxstreet.com/macroeconomics/currencies/inr</w:t>
      </w:r>
    </w:p>
    <w:p>
      <w:pPr>
        <w:spacing w:line="480" w:lineRule="auto" w:after="120" w:before="0"/>
        <w:ind w:hanging="720" w:left="720"/>
        <w:jc w:val="left"/>
      </w:pPr>
      <w:r>
        <w:rPr>
          <w:rFonts w:ascii="Times New Roman" w:hAnsi="Times New Roman"/>
          <w:sz w:val="24"/>
        </w:rPr>
        <w:t>Fair Economy Calendar. (2026). Economic Calendar API Data Feed. Fair Economy Media. https://nfs.faireconomy.media/ff_calendar_thisweek.json</w:t>
      </w:r>
    </w:p>
    <w:p>
      <w:pPr>
        <w:spacing w:line="480" w:lineRule="auto" w:after="120" w:before="0"/>
        <w:ind w:hanging="720" w:left="720"/>
        <w:jc w:val="left"/>
      </w:pPr>
      <w:r>
        <w:rPr>
          <w:rFonts w:ascii="Times New Roman" w:hAnsi="Times New Roman"/>
          <w:sz w:val="24"/>
        </w:rPr>
        <w:t>Federal Reserve Board. (2026, 17 de junio). Minutes of the Federal Open Market Committee: Meeting of June 16-17, 2026. Board of Governors of the Federal Reserve System. https://www.federalreserve.gov/monetarypolicy/fomccalendars.htm</w:t>
      </w:r>
    </w:p>
    <w:p>
      <w:pPr>
        <w:spacing w:line="480" w:lineRule="auto" w:after="120" w:before="0"/>
        <w:ind w:hanging="720" w:left="720"/>
        <w:jc w:val="left"/>
      </w:pPr>
      <w:r>
        <w:rPr>
          <w:rFonts w:ascii="Times New Roman" w:hAnsi="Times New Roman"/>
          <w:sz w:val="24"/>
        </w:rPr>
        <w:t>GDELT Project. (2026). Global Macroeconomic Theme and Event Monitoring Database API. GDELT. https://api.gdeltproject.org/api/v2/doc/doc</w:t>
      </w:r>
    </w:p>
    <w:p>
      <w:pPr>
        <w:spacing w:line="480" w:lineRule="auto" w:after="120" w:before="0"/>
        <w:ind w:hanging="720" w:left="720"/>
        <w:jc w:val="left"/>
      </w:pPr>
      <w:r>
        <w:rPr>
          <w:rFonts w:ascii="Times New Roman" w:hAnsi="Times New Roman"/>
          <w:sz w:val="24"/>
        </w:rPr>
        <w:t>Goldman Sachs. (2026). Emerging Markets Outlook: The Rupee Under Geopolitical Pressure. Goldman Sachs Investment Research. https://www.goldmansachs.com/insights</w:t>
      </w:r>
    </w:p>
    <w:p>
      <w:pPr>
        <w:spacing w:line="480" w:lineRule="auto" w:after="120" w:before="0"/>
        <w:ind w:hanging="720" w:left="720"/>
        <w:jc w:val="left"/>
      </w:pPr>
      <w:r>
        <w:rPr>
          <w:rFonts w:ascii="Times New Roman" w:hAnsi="Times New Roman"/>
          <w:sz w:val="24"/>
        </w:rPr>
        <w:t>Mitrade. (2026). India union budget and rupee market trends. Mitrade Finance. https://www.mitrade.com/insights</w:t>
      </w:r>
    </w:p>
    <w:p>
      <w:pPr>
        <w:spacing w:line="480" w:lineRule="auto" w:after="120" w:before="0"/>
        <w:ind w:hanging="720" w:left="720"/>
        <w:jc w:val="left"/>
      </w:pPr>
      <w:r>
        <w:rPr>
          <w:rFonts w:ascii="Times New Roman" w:hAnsi="Times New Roman"/>
          <w:sz w:val="24"/>
        </w:rPr>
        <w:t>NVIDIA AI Developer Platform. (2026). NVIDIA Llama 3.1 405B Instruct Model API for Financial Sentiment Interpretation. NVIDIA. https://build.nvidia.com/meta/llama-3.1-405b-instruct</w:t>
      </w:r>
    </w:p>
    <w:p>
      <w:pPr>
        <w:spacing w:line="480" w:lineRule="auto" w:after="120" w:before="0"/>
        <w:ind w:hanging="720" w:left="720"/>
        <w:jc w:val="left"/>
      </w:pPr>
      <w:r>
        <w:rPr>
          <w:rFonts w:ascii="Times New Roman" w:hAnsi="Times New Roman"/>
          <w:sz w:val="24"/>
        </w:rPr>
        <w:t>Reserve Bank of India. (2025). Annual Report 2024–25. Reserve Bank of India. https://www.rbi.org.in</w:t>
      </w:r>
    </w:p>
    <w:p>
      <w:pPr>
        <w:spacing w:line="480" w:lineRule="auto" w:after="120" w:before="0"/>
        <w:ind w:hanging="720" w:left="720"/>
        <w:jc w:val="left"/>
      </w:pPr>
      <w:r>
        <w:rPr>
          <w:rFonts w:ascii="Times New Roman" w:hAnsi="Times New Roman"/>
          <w:sz w:val="24"/>
        </w:rPr>
        <w:t>Reserve Bank of India. (2026, 15 de mayo). Statement by Governor on Monetary Policy Committee decisions and forex swap auctions. RBI Press Release. https://www.rbi.org.in/scripts/pressreleases.aspx</w:t>
      </w:r>
    </w:p>
    <w:p>
      <w:pPr>
        <w:spacing w:line="480" w:lineRule="auto" w:after="120" w:before="0"/>
        <w:ind w:hanging="720" w:left="720"/>
        <w:jc w:val="left"/>
      </w:pPr>
      <w:r>
        <w:rPr>
          <w:rFonts w:ascii="Times New Roman" w:hAnsi="Times New Roman"/>
          <w:sz w:val="24"/>
        </w:rPr>
        <w:t>Reuters. (2026). Middle East geopolitical tensions and energy market impacts. Thomson Reuters. https://www.reuters.com/markets</w:t>
      </w:r>
    </w:p>
    <w:p>
      <w:pPr>
        <w:spacing w:line="480" w:lineRule="auto" w:after="120" w:before="0"/>
        <w:ind w:hanging="720" w:left="720"/>
        <w:jc w:val="left"/>
      </w:pPr>
      <w:r>
        <w:rPr>
          <w:rFonts w:ascii="Times New Roman" w:hAnsi="Times New Roman"/>
          <w:sz w:val="24"/>
        </w:rPr>
        <w:t>The Hindu. (2026, 23 de enero). Indian Rupee hits lifetime low of 92.02 against US Dollar. The Hindu Business. https://www.thehindu.com/business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