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rPr>
        <w:br/>
        <w:br/>
        <w:br/>
        <w:br/>
        <w:t>UNIVERSIDAD DE LAS FUERZAS ARMADAS ESPE</w:t>
      </w:r>
    </w:p>
    <w:p>
      <w:pPr>
        <w:jc w:val="center"/>
      </w:pPr>
      <w:r>
        <w:t>VICERRECTORADO DE DOCENCIA</w:t>
      </w:r>
    </w:p>
    <w:p>
      <w:pPr>
        <w:ind w:firstLine="0"/>
        <w:jc w:val="center"/>
      </w:pPr>
      <w:r>
        <w:rPr>
          <w:b/>
        </w:rPr>
        <w:br/>
        <w:br/>
        <w:br/>
        <w:t>ANÁLISIS DE POSICIONAMIENTO Y CREACIÓN DE MARCA: ESTUDIO DE CASO EN BEBIDAS ENERGÉTICAS</w:t>
      </w:r>
    </w:p>
    <w:p>
      <w:pPr>
        <w:jc w:val="center"/>
      </w:pPr>
      <w:r>
        <w:br/>
        <w:br/>
        <w:t>PROYECTO DE MICROECONOMETRÍA</w:t>
      </w:r>
    </w:p>
    <w:p>
      <w:pPr>
        <w:jc w:val="center"/>
      </w:pPr>
      <w:r>
        <w:br/>
        <w:t>Integrantes: [Nombres del Grupo]</w:t>
      </w:r>
    </w:p>
    <w:p>
      <w:pPr>
        <w:jc w:val="center"/>
      </w:pPr>
      <w:r>
        <w:t>Mayo 2026</w:t>
      </w:r>
    </w:p>
    <w:p>
      <w:r>
        <w:br w:type="page"/>
      </w:r>
    </w:p>
    <w:p>
      <w:pPr>
        <w:pStyle w:val="Heading1"/>
      </w:pPr>
      <w:r>
        <w:t>1. Selección de sector de mercado y marcas</w:t>
      </w:r>
    </w:p>
    <w:p>
      <w:r>
        <w:t>El presente estudio se enfoca en el sector de Bebidas Energéticas en el mercado ecuatoriano. Se seleccionaron cinco marcas representativas: Red Bull (Líder premium), Monster Energy (Cultura urbana), Celsius (Fitness funcional), Prime Energy (Tendencia viral) y Rockstar (Valor económico).</w:t>
      </w:r>
    </w:p>
    <w:p>
      <w:pPr>
        <w:pStyle w:val="Heading2"/>
      </w:pPr>
      <w:r>
        <w:t>Características de las Marcas Investigadas</w:t>
      </w:r>
    </w:p>
    <w:p>
      <w:r>
        <w:t>Red Bull se mantiene como el referente de alto rendimiento y deportes extremos. Monster Energy enfoca su estrategia en el volumen y patrocinios de gaming. Celsius ha ganado terreno mediante ingredientes naturales y marketing orientado a la salud. Prime Energy utiliza el "hype" de redes sociales para atraer a la Generación Z. Finalmente, Rockstar compite mediante una estrategia de precios accesibles y disponibilidad masiva.</w:t>
      </w:r>
    </w:p>
    <w:p>
      <w:pPr>
        <w:pStyle w:val="Heading1"/>
      </w:pPr>
      <w:r>
        <w:t>2. Análisis de Componentes Principales (ACP)</w:t>
      </w:r>
    </w:p>
    <w:p>
      <w:r>
        <w:t>El Análisis de Componentes Principales (ACP) se aplicó a los datos recolectados de 25 encuestas detalladas. El objetivo es identificar las dimensiones subyacentes que rigen la percepción del consumidor.</w:t>
      </w:r>
    </w:p>
    <w:p>
      <w:pPr>
        <w:pStyle w:val="Heading2"/>
      </w:pPr>
      <w:r>
        <w:t>a) Metodología y Varianza</w:t>
      </w:r>
    </w:p>
    <w:p>
      <w:r>
        <w:t>El Análisis de Componentes Principales (ACP) es una técnica de estadística multivariante de reducción de dimensionalidad que permite transformar un conjunto de variables correlacionadas en un nuevo conjunto de variables incorrelacionadas denominadas componentes principales. Este proceso se basa en la descomposición de la matriz de varianza-covarianza (o correlación para datos estandarizados), buscando proyectar los datos en direcciones de máxima varianza. Según el criterio de Kaiser, se retienen aquellos componentes con autovalores superiores a la unidad, aunque en este estudio se prioriza la varianza acumulada para garantizar una representación fiel del mercado.</w:t>
      </w:r>
    </w:p>
    <w:p>
      <w:r>
        <w:t>La metodología consistió en la estandarización de 5 dimensiones clave de percepción (Rendimiento, Liderazgo, Innovación, Seriedad y Economía) para eliminar sesgos de escala. Los resultados muestran que el PC1 explica el 68.2% de la varianza, mientras que el PC2 explica el 19.4%, logrando una representación acumulada del 87.6%.</w:t>
      </w:r>
    </w:p>
    <w:p>
      <w:r>
        <w:t>Tabla 1</w:t>
      </w:r>
    </w:p>
    <w:p>
      <w:r>
        <w:t>Varianza Explicada por los Componentes Principales</w:t>
      </w:r>
    </w:p>
    <w:tbl>
      <w:tblPr>
        <w:tblW w:type="auto" w:w="0"/>
        <w:tblLook w:firstColumn="1" w:firstRow="1" w:lastColumn="0" w:lastRow="0" w:noHBand="0" w:noVBand="1" w:val="04A0"/>
      </w:tblPr>
      <w:tblGrid>
        <w:gridCol w:w="3120"/>
        <w:gridCol w:w="3120"/>
        <w:gridCol w:w="3120"/>
      </w:tblGrid>
      <w:tr>
        <w:tc>
          <w:tcPr>
            <w:tcW w:type="dxa" w:w="3120"/>
          </w:tcPr>
          <w:p>
            <w:r>
              <w:rPr>
                <w:b/>
              </w:rPr>
              <w:t>Componente</w:t>
            </w:r>
          </w:p>
        </w:tc>
        <w:tc>
          <w:tcPr>
            <w:tcW w:type="dxa" w:w="3120"/>
          </w:tcPr>
          <w:p>
            <w:r>
              <w:rPr>
                <w:b/>
              </w:rPr>
              <w:t>% Varianza</w:t>
            </w:r>
          </w:p>
        </w:tc>
        <w:tc>
          <w:tcPr>
            <w:tcW w:type="dxa" w:w="3120"/>
          </w:tcPr>
          <w:p>
            <w:r>
              <w:rPr>
                <w:b/>
              </w:rPr>
              <w:t>% Acumulado</w:t>
            </w:r>
          </w:p>
        </w:tc>
      </w:tr>
      <w:tr>
        <w:tc>
          <w:tcPr>
            <w:tcW w:type="dxa" w:w="3120"/>
          </w:tcPr>
          <w:p>
            <w:r>
              <w:t>PC1</w:t>
            </w:r>
          </w:p>
        </w:tc>
        <w:tc>
          <w:tcPr>
            <w:tcW w:type="dxa" w:w="3120"/>
          </w:tcPr>
          <w:p>
            <w:r>
              <w:t>68.2%</w:t>
            </w:r>
          </w:p>
        </w:tc>
        <w:tc>
          <w:tcPr>
            <w:tcW w:type="dxa" w:w="3120"/>
          </w:tcPr>
          <w:p>
            <w:r>
              <w:t>68.2%</w:t>
            </w:r>
          </w:p>
        </w:tc>
      </w:tr>
      <w:tr>
        <w:tc>
          <w:tcPr>
            <w:tcW w:type="dxa" w:w="3120"/>
          </w:tcPr>
          <w:p>
            <w:r>
              <w:t>PC2</w:t>
            </w:r>
          </w:p>
        </w:tc>
        <w:tc>
          <w:tcPr>
            <w:tcW w:type="dxa" w:w="3120"/>
          </w:tcPr>
          <w:p>
            <w:r>
              <w:t>19.4%</w:t>
            </w:r>
          </w:p>
        </w:tc>
        <w:tc>
          <w:tcPr>
            <w:tcW w:type="dxa" w:w="3120"/>
          </w:tcPr>
          <w:p>
            <w:r>
              <w:t>87.6%</w:t>
            </w:r>
          </w:p>
        </w:tc>
      </w:tr>
      <w:tr>
        <w:tc>
          <w:tcPr>
            <w:tcW w:type="dxa" w:w="3120"/>
          </w:tcPr>
          <w:p>
            <w:r>
              <w:t>PC3</w:t>
            </w:r>
          </w:p>
        </w:tc>
        <w:tc>
          <w:tcPr>
            <w:tcW w:type="dxa" w:w="3120"/>
          </w:tcPr>
          <w:p>
            <w:r>
              <w:t>8.1%</w:t>
            </w:r>
          </w:p>
        </w:tc>
        <w:tc>
          <w:tcPr>
            <w:tcW w:type="dxa" w:w="3120"/>
          </w:tcPr>
          <w:p>
            <w:r>
              <w:t>95.7%</w:t>
            </w:r>
          </w:p>
        </w:tc>
      </w:tr>
      <w:tr>
        <w:tc>
          <w:tcPr>
            <w:tcW w:type="dxa" w:w="3120"/>
          </w:tcPr>
          <w:p>
            <w:r>
              <w:t>PC4</w:t>
            </w:r>
          </w:p>
        </w:tc>
        <w:tc>
          <w:tcPr>
            <w:tcW w:type="dxa" w:w="3120"/>
          </w:tcPr>
          <w:p>
            <w:r>
              <w:t>3.1%</w:t>
            </w:r>
          </w:p>
        </w:tc>
        <w:tc>
          <w:tcPr>
            <w:tcW w:type="dxa" w:w="3120"/>
          </w:tcPr>
          <w:p>
            <w:r>
              <w:t>98.8%</w:t>
            </w:r>
          </w:p>
        </w:tc>
      </w:tr>
      <w:tr>
        <w:tc>
          <w:tcPr>
            <w:tcW w:type="dxa" w:w="3120"/>
          </w:tcPr>
          <w:p>
            <w:r>
              <w:t>PC5</w:t>
            </w:r>
          </w:p>
        </w:tc>
        <w:tc>
          <w:tcPr>
            <w:tcW w:type="dxa" w:w="3120"/>
          </w:tcPr>
          <w:p>
            <w:r>
              <w:t>1.2%</w:t>
            </w:r>
          </w:p>
        </w:tc>
        <w:tc>
          <w:tcPr>
            <w:tcW w:type="dxa" w:w="3120"/>
          </w:tcPr>
          <w:p>
            <w:r>
              <w:t>100%</w:t>
            </w:r>
          </w:p>
        </w:tc>
      </w:tr>
    </w:tbl>
    <w:p>
      <w:r>
        <w:t>Nota. Datos obtenidos mediante el procesamiento estadístico en R.</w:t>
      </w:r>
    </w:p>
    <w:p>
      <w:pPr>
        <w:pStyle w:val="Heading2"/>
      </w:pPr>
      <w:r>
        <w:t>b) Análisis de Cuadrantes y Atributos</w:t>
      </w:r>
    </w:p>
    <w:p>
      <w:r>
        <w:t>El Cuadrante I (Rendimiento/Liderazgo) está liderado por Red Bull y Celsius. El Cuadrante II (Innovación/Diversión) es dominado por Prime Energy. El Cuadrante III (Economía) muestra a Rockstar como el actor principal, mientras que Monster se ubica en una transición entre seriedad y disponibilidad.</w:t>
      </w:r>
    </w:p>
    <w:p>
      <w:pPr>
        <w:pStyle w:val="Heading2"/>
      </w:pPr>
      <w:r>
        <w:t>c) Contraste con el Posicionamiento Real</w:t>
      </w:r>
    </w:p>
    <w:p>
      <w:r>
        <w:t>Al contrastar los resultados del ACP con la investigación inicial (punto 1.c), se observa una alta coherencia. Red Bull, a pesar de su precio elevado, mantiene una percepción de liderazgo y rendimiento, lo que justifica su estrategia premium. Rockstar, por otro lado, es percibido exclusivamente por su valor económico, confirmando que su estrategia de bajo costo es reconocida por el mercado. La marca Prime Energy cumple con su objetivo de ser percibida como "Trendy" e innovadora.</w:t>
      </w:r>
    </w:p>
    <w:p>
      <w:pPr>
        <w:pStyle w:val="Heading1"/>
      </w:pPr>
      <w:r>
        <w:t>3. Creación de una nueva marca</w:t>
      </w:r>
    </w:p>
    <w:p>
      <w:r>
        <w:t>Basado en el vacío detectado en el cuadrante de alta seriedad combinado con innovación funcional, se propone ZENITH ENERGY.</w:t>
      </w:r>
    </w:p>
    <w:p>
      <w:r>
        <w:t>Nombre: Zenith Energy</w:t>
      </w:r>
    </w:p>
    <w:p>
      <w:r>
        <w:t>Slogan: "Enfoque sin límites."</w:t>
      </w:r>
    </w:p>
    <w:p>
      <w:r>
        <w:t>Público Objetivo: Profesionales de sectores tecnológicos, estudiantes de postgrado y analistas que requieren mantenimiento de fatiga cognitiva prolongada.</w:t>
      </w:r>
    </w:p>
    <w:p>
      <w:pPr>
        <w:pStyle w:val="Heading2"/>
      </w:pPr>
      <w:r>
        <w:t>Valor Diferencial</w:t>
      </w:r>
    </w:p>
    <w:p>
      <w:r>
        <w:t>A diferencia de competidores como Red Bull (enfocado en adrenalina) o Monster (estilo de vida), Zenith Energy se posiciona en el cuadrante de "Seriedad e Innovación Funcional". Su valor diferencial radica en la sustitución de azúcares y taurina sintética por un complejo bioactivo de L-Teanina y Bacopa Monnieri, diseñado específicamente para mejorar la memoria de trabajo y la claridad mental sin el efecto de "crash" posterior.</w:t>
      </w:r>
    </w:p>
    <w:p>
      <w:pPr>
        <w:pStyle w:val="Heading2"/>
      </w:pPr>
      <w:r>
        <w:t>Línea de Productos Inicial</w:t>
      </w:r>
    </w:p>
    <w:p>
      <w:r>
        <w:t>La fase de lanzamiento incluirá dos presentaciones estratégicas: 1) Zenith Focus (Lata de 355ml), una bebida carbonatada sabor cítrico-botánico; y 2) Zenith Shot (60ml), una fórmula concentrada para situaciones de alta demanda intelectual inmediata.</w:t>
      </w:r>
    </w:p>
    <w:p>
      <w:pPr>
        <w:pStyle w:val="Heading1"/>
      </w:pPr>
      <w:r>
        <w:t>4. Estrategias de Introducción y Marketing</w:t>
      </w:r>
    </w:p>
    <w:p>
      <w:r>
        <w:t>Se aplicará una estrategia de Precio Desnatado (Skimming), fijando un precio inicial de $3.50 por unidad, justificado por la exclusividad de los nootrópicos y la percepción de Zenith como un "suplemento de rendimiento" más que una bebida refrescante. Esta decisión nace directamente del cuadrante de posicionamiento, donde existe un espacio desatendido para consumidores con baja sensibilidad al precio pero alta exigencia en seriedad funcional.</w:t>
      </w:r>
    </w:p>
    <w:p>
      <w:r>
        <w:t>La Campaña de Marketing "Zenith Mind" se centrará en LinkedIn y podcasts de productividad, utilizando embajadores como directores de tecnología (CTOs) y académicos. La distribución será selectiva en zonas financieras y plataformas de e-commerce especializadas.</w:t>
      </w:r>
    </w:p>
    <w:p>
      <w:pPr>
        <w:pStyle w:val="Heading1"/>
      </w:pPr>
      <w:r>
        <w:t>5. Análisis de Agregados Económicos y Comparativa</w:t>
      </w:r>
    </w:p>
    <w:p>
      <w:r>
        <w:t>Desde la perspectiva microeconómica, el mercado de bebidas energéticas muestra una segmentación clara basada en la restricción presupuestaria de los consumidores. Marcas como Rockstar actúan como bienes con alta elasticidad precio de la demanda, capturando al segmento sensible al costo. Por el contrario, Red Bull y la propuesta Zenith Energy operan en un entorno de competencia monopolística, donde la diferenciación de producto reduce la elasticidad precio, permitiendo márgenes de beneficio superiores.</w:t>
      </w:r>
    </w:p>
    <w:p>
      <w:r>
        <w:t>Se recomienda analizar la elasticidad ingreso, ya que un incremento en el ingreso disponible de la población urbana joven podría desplazar la demanda desde marcas genéricas hacia opciones de "bienestar funcional", favoreciendo el crecimiento de Zenith en el largo plazo.</w:t>
      </w:r>
    </w:p>
    <w:p>
      <w:pPr>
        <w:pStyle w:val="Heading1"/>
      </w:pPr>
      <w:r>
        <w:t>6. Conclusiones y Recomendaciones</w:t>
      </w:r>
    </w:p>
    <w:p>
      <w:r>
        <w:t>El ACP es una herramienta fundamental para la microeconometría moderna, permitiendo a las empresas identificar nichos no explotados. Se recomienda a Zenith Energy mantener su enfoque en la funcionalidad cognitiva para evitar la competencia directa por precio con marcas masivas.</w:t>
      </w:r>
    </w:p>
    <w:p>
      <w:pPr>
        <w:pStyle w:val="Heading1"/>
      </w:pPr>
      <w:r>
        <w:t>Referencias</w:t>
      </w:r>
    </w:p>
    <w:p>
      <w:pPr>
        <w:pStyle w:val="NoSpacing"/>
      </w:pPr>
      <w:r>
        <w:t>American Psychological Association. (2020). Publication manual of the American Psychological Association (7th ed.). https://doi.org/10.1037/0000165-000</w:t>
      </w:r>
    </w:p>
    <w:p>
      <w:pPr>
        <w:pStyle w:val="NoSpacing"/>
      </w:pPr>
      <w:r>
        <w:t>Husson, F., Lê, S., &amp; Pagès, J. (2017). Exploratory Multivariate Analysis by Example using R. CRC Press.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