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A3C5E"/>
          <w:sz w:val="48"/>
          <w:szCs w:val="48"/>
        </w:rPr>
        <w:t xml:space="preserve">PROJECT DEFINITION RECORD</w:t>
      </w:r>
    </w:p>
    <w:p>
      <w:pPr>
        <w:pBdr>
          <w:bottom w:val="single" w:color="E8A020" w:sz="12" w:space="8"/>
        </w:pBdr>
        <w:spacing w:before="0" w:after="40"/>
        <w:jc w:val="center"/>
      </w:pPr>
      <w:r>
        <w:rPr>
          <w:rFonts w:ascii="Arial" w:cs="Arial" w:eastAsia="Arial" w:hAnsi="Arial"/>
          <w:b w:val="false"/>
          <w:bCs w:val="false"/>
          <w:color w:val="2C4A6E"/>
          <w:sz w:val="32"/>
          <w:szCs w:val="32"/>
        </w:rPr>
        <w:t xml:space="preserve">Auditor de Terceros y Cumplimiento DIAN</w:t>
      </w:r>
    </w:p>
    <w:p>
      <w:pPr>
        <w:spacing w:before="100" w:after="0"/>
      </w:pPr>
      <w:r>
        <w:t xml:space="preserve"/>
      </w:r>
    </w:p>
    <w:p>
      <w:pPr>
        <w:spacing w:before="0" w:after="80"/>
        <w:jc w:val="center"/>
      </w:pPr>
      <w:r>
        <w:rPr>
          <w:rFonts w:ascii="Arial" w:cs="Arial" w:eastAsia="Arial" w:hAnsi="Arial"/>
          <w:i/>
          <w:iCs/>
          <w:color w:val="6B7280"/>
          <w:sz w:val="22"/>
          <w:szCs w:val="22"/>
        </w:rPr>
        <w:t xml:space="preserve">Prevención Automática de Proveedores Ficticios · Due Diligence Fiscal · Cumplimiento DIAN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C" w:sz="1"/>
              <w:left w:val="single" w:color="C5D8EC" w:sz="1"/>
              <w:bottom w:val="single" w:color="C5D8EC" w:sz="1"/>
              <w:right w:val="single" w:color="C5D8EC" w:sz="1"/>
            </w:tcBorders>
            <w:shd w:fill="EBF2FA" w:val="clear"/>
            <w:tcMar>
              <w:top w:type="dxa" w:w="120"/>
              <w:left w:type="dxa" w:w="160"/>
              <w:bottom w:type="dxa" w:w="120"/>
              <w:right w:type="dxa" w:w="160"/>
            </w:tcMar>
          </w:tcPr>
          <w:p>
            <w:r>
              <w:rPr>
                <w:rFonts w:ascii="Arial" w:cs="Arial" w:eastAsia="Arial" w:hAnsi="Arial"/>
                <w:b/>
                <w:bCs/>
                <w:color w:val="1A3C5E"/>
                <w:sz w:val="18"/>
                <w:szCs w:val="18"/>
              </w:rPr>
              <w:t xml:space="preserve">Versión</w:t>
            </w:r>
          </w:p>
          <w:p>
            <w:r>
              <w:rPr>
                <w:rFonts w:ascii="Arial" w:cs="Arial" w:eastAsia="Arial" w:hAnsi="Arial"/>
                <w:color w:val="1F2937"/>
                <w:sz w:val="20"/>
                <w:szCs w:val="20"/>
              </w:rPr>
              <w:t xml:space="preserve">1.0</w:t>
            </w:r>
          </w:p>
        </w:tc>
        <w:tc>
          <w:tcPr>
            <w:tcW w:type="dxa" w:w="2340"/>
            <w:tcBorders>
              <w:top w:val="single" w:color="C5D8EC" w:sz="1"/>
              <w:left w:val="single" w:color="C5D8EC" w:sz="1"/>
              <w:bottom w:val="single" w:color="C5D8EC" w:sz="1"/>
              <w:right w:val="single" w:color="C5D8EC" w:sz="1"/>
            </w:tcBorders>
            <w:shd w:fill="EBF2FA" w:val="clear"/>
            <w:tcMar>
              <w:top w:type="dxa" w:w="120"/>
              <w:left w:type="dxa" w:w="160"/>
              <w:bottom w:type="dxa" w:w="120"/>
              <w:right w:type="dxa" w:w="160"/>
            </w:tcMar>
          </w:tcPr>
          <w:p>
            <w:r>
              <w:rPr>
                <w:rFonts w:ascii="Arial" w:cs="Arial" w:eastAsia="Arial" w:hAnsi="Arial"/>
                <w:b/>
                <w:bCs/>
                <w:color w:val="1A3C5E"/>
                <w:sz w:val="18"/>
                <w:szCs w:val="18"/>
              </w:rPr>
              <w:t xml:space="preserve">Estado</w:t>
            </w:r>
          </w:p>
          <w:p>
            <w:r>
              <w:rPr>
                <w:rFonts w:ascii="Arial" w:cs="Arial" w:eastAsia="Arial" w:hAnsi="Arial"/>
                <w:color w:val="1F2937"/>
                <w:sz w:val="20"/>
                <w:szCs w:val="20"/>
              </w:rPr>
              <w:t xml:space="preserve">Borrador Ejecutivo</w:t>
            </w:r>
          </w:p>
        </w:tc>
        <w:tc>
          <w:tcPr>
            <w:tcW w:type="dxa" w:w="2340"/>
            <w:tcBorders>
              <w:top w:val="single" w:color="C5D8EC" w:sz="1"/>
              <w:left w:val="single" w:color="C5D8EC" w:sz="1"/>
              <w:bottom w:val="single" w:color="C5D8EC" w:sz="1"/>
              <w:right w:val="single" w:color="C5D8EC" w:sz="1"/>
            </w:tcBorders>
            <w:shd w:fill="EBF2FA" w:val="clear"/>
            <w:tcMar>
              <w:top w:type="dxa" w:w="120"/>
              <w:left w:type="dxa" w:w="160"/>
              <w:bottom w:type="dxa" w:w="120"/>
              <w:right w:type="dxa" w:w="160"/>
            </w:tcMar>
          </w:tcPr>
          <w:p>
            <w:r>
              <w:rPr>
                <w:rFonts w:ascii="Arial" w:cs="Arial" w:eastAsia="Arial" w:hAnsi="Arial"/>
                <w:b/>
                <w:bCs/>
                <w:color w:val="1A3C5E"/>
                <w:sz w:val="18"/>
                <w:szCs w:val="18"/>
              </w:rPr>
              <w:t xml:space="preserve">Fecha</w:t>
            </w:r>
          </w:p>
          <w:p>
            <w:r>
              <w:rPr>
                <w:rFonts w:ascii="Arial" w:cs="Arial" w:eastAsia="Arial" w:hAnsi="Arial"/>
                <w:color w:val="1F2937"/>
                <w:sz w:val="20"/>
                <w:szCs w:val="20"/>
              </w:rPr>
              <w:t xml:space="preserve">Marzo 2026</w:t>
            </w:r>
          </w:p>
        </w:tc>
        <w:tc>
          <w:tcPr>
            <w:tcW w:type="dxa" w:w="2340"/>
            <w:tcBorders>
              <w:top w:val="single" w:color="C5D8EC" w:sz="1"/>
              <w:left w:val="single" w:color="C5D8EC" w:sz="1"/>
              <w:bottom w:val="single" w:color="C5D8EC" w:sz="1"/>
              <w:right w:val="single" w:color="C5D8EC" w:sz="1"/>
            </w:tcBorders>
            <w:shd w:fill="EBF2FA" w:val="clear"/>
            <w:tcMar>
              <w:top w:type="dxa" w:w="120"/>
              <w:left w:type="dxa" w:w="160"/>
              <w:bottom w:type="dxa" w:w="120"/>
              <w:right w:type="dxa" w:w="160"/>
            </w:tcMar>
          </w:tcPr>
          <w:p>
            <w:r>
              <w:rPr>
                <w:rFonts w:ascii="Arial" w:cs="Arial" w:eastAsia="Arial" w:hAnsi="Arial"/>
                <w:b/>
                <w:bCs/>
                <w:color w:val="1A3C5E"/>
                <w:sz w:val="18"/>
                <w:szCs w:val="18"/>
              </w:rPr>
              <w:t xml:space="preserve">Autor</w:t>
            </w:r>
          </w:p>
          <w:p>
            <w:r>
              <w:rPr>
                <w:rFonts w:ascii="Arial" w:cs="Arial" w:eastAsia="Arial" w:hAnsi="Arial"/>
                <w:color w:val="1F2937"/>
                <w:sz w:val="20"/>
                <w:szCs w:val="20"/>
              </w:rPr>
              <w:t xml:space="preserve">Fundador · Micro-SaaS B2B</w:t>
            </w:r>
          </w:p>
        </w:tc>
      </w:tr>
    </w:tbl>
    <w:p>
      <w:pPr>
        <w:spacing w:before="400" w:after="0"/>
      </w:pPr>
      <w:r>
        <w:t xml:space="preserve"/>
      </w:r>
    </w:p>
    <w:p>
      <w:r>
        <w:br w:type="page"/>
      </w:r>
    </w:p>
    <w:p>
      <w:pPr>
        <w:pStyle w:val="Heading1"/>
        <w:pBdr>
          <w:bottom w:val="single" w:color="1A3C5E" w:sz="8" w:space="4"/>
        </w:pBdr>
        <w:spacing w:before="400" w:after="160"/>
      </w:pPr>
      <w:r>
        <w:rPr>
          <w:rFonts w:ascii="Arial" w:cs="Arial" w:eastAsia="Arial" w:hAnsi="Arial"/>
          <w:b/>
          <w:bCs/>
          <w:color w:val="1A3C5E"/>
          <w:sz w:val="32"/>
          <w:szCs w:val="32"/>
        </w:rPr>
        <w:t xml:space="preserve">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BF2FA" w:val="clear"/>
            <w:tcMar>
              <w:top w:type="dxa" w:w="160"/>
              <w:left w:type="dxa" w:w="200"/>
              <w:bottom w:type="dxa" w:w="160"/>
              <w:right w:type="dxa" w:w="200"/>
            </w:tcMar>
          </w:tcPr>
          <w:p>
            <w:pPr>
              <w:spacing w:before="0" w:after="40"/>
            </w:pPr>
            <w:r>
              <w:rPr>
                <w:rFonts w:ascii="Arial" w:cs="Arial" w:eastAsia="Arial" w:hAnsi="Arial"/>
                <w:b/>
                <w:bCs/>
                <w:color w:val="1A3C5E"/>
                <w:sz w:val="20"/>
                <w:szCs w:val="20"/>
              </w:rPr>
              <w:t xml:space="preserve">El problema central</w:t>
            </w:r>
          </w:p>
          <w:p>
            <w:pPr>
              <w:spacing w:before="0" w:after="0"/>
            </w:pPr>
            <w:r>
              <w:rPr>
                <w:rFonts w:ascii="Arial" w:cs="Arial" w:eastAsia="Arial" w:hAnsi="Arial"/>
                <w:color w:val="1F2937"/>
                <w:sz w:val="21"/>
                <w:szCs w:val="21"/>
              </w:rPr>
              <w:t xml:space="preserve">La DIAN actualiza periódicamente el Listado de Proveedores Ficticios. Cualquier empresa que pague una factura a un proveedor en esa lista pierde la deducción del costo y el IVA descontable, y queda expuesta a sanciones del 160% por inexactitud y posibles procesos penales. Hoy, ese control se hace manualmente, con PDFs y Excels, por contadores y auditores que tienen docenas de otras cosas que hacer.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EF3DC" w:val="clear"/>
            <w:tcMar>
              <w:top w:type="dxa" w:w="160"/>
              <w:left w:type="dxa" w:w="200"/>
              <w:bottom w:type="dxa" w:w="160"/>
              <w:right w:type="dxa" w:w="200"/>
            </w:tcMar>
          </w:tcPr>
          <w:p>
            <w:pPr>
              <w:spacing w:before="0" w:after="40"/>
            </w:pPr>
            <w:r>
              <w:rPr>
                <w:rFonts w:ascii="Arial" w:cs="Arial" w:eastAsia="Arial" w:hAnsi="Arial"/>
                <w:b/>
                <w:bCs/>
                <w:color w:val="1A3C5E"/>
                <w:sz w:val="20"/>
                <w:szCs w:val="20"/>
              </w:rPr>
              <w:t xml:space="preserve">La solución</w:t>
            </w:r>
          </w:p>
          <w:p>
            <w:pPr>
              <w:spacing w:before="0" w:after="0"/>
            </w:pPr>
            <w:r>
              <w:rPr>
                <w:rFonts w:ascii="Arial" w:cs="Arial" w:eastAsia="Arial" w:hAnsi="Arial"/>
                <w:color w:val="1F2937"/>
                <w:sz w:val="21"/>
                <w:szCs w:val="21"/>
              </w:rPr>
              <w:t xml:space="preserve">Un módulo dentro de un dashboard Micro-SaaS B2B llamado “Auditor de Terceros y Cumplimiento DIAN”. El cliente sube un Excel con NITs o conecta su software contable, y el sistema cruza esa información en segundos contra tres fuentes de datos públicos, emitiendo un reporte de riesgo accionable. Opcionalmente, un agente de IA monitorea facturas entrantes en tiempo real y alerta automáticamente.</w:t>
            </w:r>
          </w:p>
        </w:tc>
      </w:tr>
    </w:tbl>
    <w:p>
      <w:pPr>
        <w:spacing w:before="160" w:after="0"/>
      </w:pPr>
      <w:r>
        <w:t xml:space="preserve"/>
      </w:r>
    </w:p>
    <w:p>
      <w:pPr>
        <w:spacing w:before="80" w:after="80"/>
      </w:pPr>
      <w:r>
        <w:rPr>
          <w:rFonts w:ascii="Arial" w:cs="Arial" w:eastAsia="Arial" w:hAnsi="Arial"/>
          <w:b/>
          <w:bCs/>
          <w:i w:val="false"/>
          <w:iCs w:val="false"/>
          <w:color w:val="1F2937"/>
          <w:sz w:val="22"/>
          <w:szCs w:val="22"/>
        </w:rPr>
        <w:t xml:space="preserve">Por qué importa comercialmente:</w:t>
      </w:r>
    </w:p>
    <w:p>
      <w:pPr>
        <w:pStyle w:val="ListParagraph"/>
        <w:numPr>
          <w:ilvl w:val="0"/>
          <w:numId w:val="2"/>
        </w:numPr>
        <w:spacing w:before="60" w:after="60"/>
      </w:pPr>
      <w:r>
        <w:rPr>
          <w:rFonts w:ascii="Arial" w:cs="Arial" w:eastAsia="Arial" w:hAnsi="Arial"/>
          <w:color w:val="1F2937"/>
          <w:sz w:val="22"/>
          <w:szCs w:val="22"/>
        </w:rPr>
        <w:t xml:space="preserve">La propuesta de valor no es “automatización”: es “prevención de multas y protección del patrimonio empresarial”.</w:t>
      </w:r>
    </w:p>
    <w:p>
      <w:pPr>
        <w:pStyle w:val="ListParagraph"/>
        <w:numPr>
          <w:ilvl w:val="0"/>
          <w:numId w:val="2"/>
        </w:numPr>
        <w:spacing w:before="60" w:after="60"/>
      </w:pPr>
      <w:r>
        <w:rPr>
          <w:rFonts w:ascii="Arial" w:cs="Arial" w:eastAsia="Arial" w:hAnsi="Arial"/>
          <w:color w:val="1F2937"/>
          <w:sz w:val="22"/>
          <w:szCs w:val="22"/>
        </w:rPr>
        <w:t xml:space="preserve">Eso permite cobrar setup fees de $2,000–$5,000 USD + retainer mensual, en lugar de $50 USD/mes por una herramienta genérica.</w:t>
      </w:r>
    </w:p>
    <w:p>
      <w:pPr>
        <w:pStyle w:val="ListParagraph"/>
        <w:numPr>
          <w:ilvl w:val="0"/>
          <w:numId w:val="2"/>
        </w:numPr>
        <w:spacing w:before="60" w:after="60"/>
      </w:pPr>
      <w:r>
        <w:rPr>
          <w:rFonts w:ascii="Arial" w:cs="Arial" w:eastAsia="Arial" w:hAnsi="Arial"/>
          <w:color w:val="1F2937"/>
          <w:sz w:val="22"/>
          <w:szCs w:val="22"/>
        </w:rPr>
        <w:t xml:space="preserve">El cliente ideal —agencia de carga, e-commerce o empresa con muchos proveedores— ya siente el dolor y ya tiene el presupuesto para resolverlo.</w:t>
      </w:r>
    </w:p>
    <w:p>
      <w:pPr>
        <w:spacing w:before="300" w:after="0"/>
      </w:pPr>
      <w:r>
        <w:t xml:space="preserve"/>
      </w:r>
    </w:p>
    <w:p>
      <w:r>
        <w:br w:type="page"/>
      </w:r>
    </w:p>
    <w:p>
      <w:pPr>
        <w:pStyle w:val="Heading1"/>
        <w:pBdr>
          <w:bottom w:val="single" w:color="1A3C5E" w:sz="8" w:space="4"/>
        </w:pBdr>
        <w:spacing w:before="400" w:after="160"/>
      </w:pPr>
      <w:r>
        <w:rPr>
          <w:rFonts w:ascii="Arial" w:cs="Arial" w:eastAsia="Arial" w:hAnsi="Arial"/>
          <w:b/>
          <w:bCs/>
          <w:color w:val="1A3C5E"/>
          <w:sz w:val="32"/>
          <w:szCs w:val="32"/>
        </w:rPr>
        <w:t xml:space="preserve">1. Shared AI-Human Understanding</w:t>
      </w:r>
    </w:p>
    <w:p>
      <w:pPr>
        <w:spacing w:before="80" w:after="80"/>
      </w:pPr>
      <w:r>
        <w:rPr>
          <w:rFonts w:ascii="Arial" w:cs="Arial" w:eastAsia="Arial" w:hAnsi="Arial"/>
          <w:b w:val="false"/>
          <w:bCs w:val="false"/>
          <w:i w:val="false"/>
          <w:iCs w:val="false"/>
          <w:color w:val="1F2937"/>
          <w:sz w:val="22"/>
          <w:szCs w:val="22"/>
        </w:rPr>
        <w:t xml:space="preserve">Esta sección establece el contexto, los supuestos y las decisiones de fondo que tanto los asistentes de IA como los miembros del equipo deben compartir antes de construir o revisar cualquier parte del sistema. No es un glosario: es el modelo mental común del proyecto.</w:t>
      </w:r>
    </w:p>
    <w:p>
      <w:pPr>
        <w:spacing w:before="120" w:after="0"/>
      </w:pPr>
      <w:r>
        <w:t xml:space="preserve"/>
      </w:r>
    </w:p>
    <w:p>
      <w:pPr>
        <w:pStyle w:val="Heading2"/>
        <w:spacing w:before="320" w:after="120"/>
      </w:pPr>
      <w:r>
        <w:rPr>
          <w:rFonts w:ascii="Arial" w:cs="Arial" w:eastAsia="Arial" w:hAnsi="Arial"/>
          <w:b/>
          <w:bCs/>
          <w:color w:val="1A3C5E"/>
          <w:sz w:val="26"/>
          <w:szCs w:val="26"/>
        </w:rPr>
        <w:t xml:space="preserve">1.1 Contexto Regulatorio y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Ente regulador</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DIAN (Dirección de Impuestos y Aduanas Nacionales de Colombia)</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Documento crítico</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Listado de Proveedores Ficticios — publicado en CSV/Excel con actualizaciones periódicas</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Norma aplicable</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Art. 671 E.T. — sanciones por inexactitud del 160% sobre el mayor impuesto determinado</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Riesgo fiscal</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Pérdida de deducibilidad de costos + IVA descontable rechazado + posible proceso penal</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Fuente 2</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BDME (Boletín de Deudores Morosos del Estado) — Contaduría General, actualización semestral</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Fuente 3</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API de Facturadores Electrónicos DIAN — verifica habilitación legal para emitir facturas válidas</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Mercado objetivo</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Agencias de carga, importadores/exportadores, e-commerce con volumen de proveedores, PyMEs con operación contable activa</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1.2 Decisiones de Arquitectura (Architecture Decision Records)</w:t>
      </w:r>
    </w:p>
    <w:p>
      <w:pPr>
        <w:spacing w:before="80" w:after="0"/>
      </w:pPr>
      <w:r>
        <w:t xml:space="preserve"/>
      </w:r>
    </w:p>
    <w:p>
      <w:pPr>
        <w:pStyle w:val="Heading3"/>
        <w:spacing w:before="240" w:after="80"/>
      </w:pPr>
      <w:r>
        <w:rPr>
          <w:rFonts w:ascii="Arial" w:cs="Arial" w:eastAsia="Arial" w:hAnsi="Arial"/>
          <w:b/>
          <w:bCs/>
          <w:color w:val="2C4A6E"/>
          <w:sz w:val="22"/>
          <w:szCs w:val="22"/>
        </w:rPr>
        <w:t xml:space="preserve">ADR-01: Ingestas por descarga programada, no scraping en tiempo real</w:t>
      </w:r>
    </w:p>
    <w:p>
      <w:pPr>
        <w:spacing w:before="80" w:after="80"/>
      </w:pPr>
      <w:r>
        <w:rPr>
          <w:rFonts w:ascii="Arial" w:cs="Arial" w:eastAsia="Arial" w:hAnsi="Arial"/>
          <w:b w:val="false"/>
          <w:bCs w:val="false"/>
          <w:i w:val="false"/>
          <w:iCs w:val="false"/>
          <w:color w:val="1F2937"/>
          <w:sz w:val="22"/>
          <w:szCs w:val="22"/>
        </w:rPr>
        <w:t xml:space="preserve">Razón: Los archivos de la DIAN y el BDME son públicos, estáticos y se actualizan periódicamente (no en tiempo real). Hacer scraping en tiempo real añade complejidad sin beneficio.</w:t>
      </w:r>
    </w:p>
    <w:p>
      <w:pPr>
        <w:spacing w:before="80" w:after="80"/>
      </w:pPr>
      <w:r>
        <w:rPr>
          <w:rFonts w:ascii="Arial" w:cs="Arial" w:eastAsia="Arial" w:hAnsi="Arial"/>
          <w:b w:val="false"/>
          <w:bCs w:val="false"/>
          <w:i w:val="false"/>
          <w:iCs w:val="false"/>
          <w:color w:val="1F2937"/>
          <w:sz w:val="22"/>
          <w:szCs w:val="22"/>
        </w:rPr>
        <w:t xml:space="preserve">Decisión: Script Python (pandas) que descarga, limpia y consolida los archivos en una base de datos interna al ritmo de la fuente (semanal para DIAN, semestral para BDME).</w:t>
      </w:r>
    </w:p>
    <w:p>
      <w:pPr>
        <w:spacing w:before="80" w:after="80"/>
      </w:pPr>
      <w:r>
        <w:rPr>
          <w:rFonts w:ascii="Arial" w:cs="Arial" w:eastAsia="Arial" w:hAnsi="Arial"/>
          <w:b w:val="false"/>
          <w:bCs w:val="false"/>
          <w:i/>
          <w:iCs/>
          <w:color w:val="1F2937"/>
          <w:sz w:val="22"/>
          <w:szCs w:val="22"/>
        </w:rPr>
        <w:t xml:space="preserve">Consecuencia: El sistema no garantiza alertas al segundo, sino dentro de las 24 horas siguientes a la publicación de una actualización oficial.</w:t>
      </w:r>
    </w:p>
    <w:p>
      <w:pPr>
        <w:spacing w:before="120" w:after="0"/>
      </w:pPr>
      <w:r>
        <w:t xml:space="preserve"/>
      </w:r>
    </w:p>
    <w:p>
      <w:pPr>
        <w:pStyle w:val="Heading3"/>
        <w:spacing w:before="240" w:after="80"/>
      </w:pPr>
      <w:r>
        <w:rPr>
          <w:rFonts w:ascii="Arial" w:cs="Arial" w:eastAsia="Arial" w:hAnsi="Arial"/>
          <w:b/>
          <w:bCs/>
          <w:color w:val="2C4A6E"/>
          <w:sz w:val="22"/>
          <w:szCs w:val="22"/>
        </w:rPr>
        <w:t xml:space="preserve">ADR-02: Stack de construcción (Vibe Coding + Data Science)</w:t>
      </w:r>
    </w:p>
    <w:p>
      <w:pPr>
        <w:spacing w:before="80" w:after="80"/>
      </w:pPr>
      <w:r>
        <w:rPr>
          <w:rFonts w:ascii="Arial" w:cs="Arial" w:eastAsia="Arial" w:hAnsi="Arial"/>
          <w:b w:val="false"/>
          <w:bCs w:val="false"/>
          <w:i w:val="false"/>
          <w:iCs w:val="false"/>
          <w:color w:val="1F2937"/>
          <w:sz w:val="22"/>
          <w:szCs w:val="22"/>
        </w:rPr>
        <w:t xml:space="preserve">Razón: El fundador opera solo. La velocidad de entrega es una ventaja competitiva más importante que la pureza técnica en esta etapa.</w:t>
      </w:r>
    </w:p>
    <w:p>
      <w:pPr>
        <w:spacing w:before="80" w:after="80"/>
      </w:pPr>
      <w:r>
        <w:rPr>
          <w:rFonts w:ascii="Arial" w:cs="Arial" w:eastAsia="Arial" w:hAnsi="Arial"/>
          <w:b w:val="false"/>
          <w:bCs w:val="false"/>
          <w:i w:val="false"/>
          <w:iCs w:val="false"/>
          <w:color w:val="1F2937"/>
          <w:sz w:val="22"/>
          <w:szCs w:val="22"/>
        </w:rPr>
        <w:t xml:space="preserve">Decisión: Python + Pandas para la capa de datos. Cursor/Bolt para la interfaz del dashboard. n8n para la orquestación del agente de alertas.</w:t>
      </w:r>
    </w:p>
    <w:p>
      <w:pPr>
        <w:spacing w:before="80" w:after="80"/>
      </w:pPr>
      <w:r>
        <w:rPr>
          <w:rFonts w:ascii="Arial" w:cs="Arial" w:eastAsia="Arial" w:hAnsi="Arial"/>
          <w:b w:val="false"/>
          <w:bCs w:val="false"/>
          <w:i/>
          <w:iCs/>
          <w:color w:val="1F2937"/>
          <w:sz w:val="22"/>
          <w:szCs w:val="22"/>
        </w:rPr>
        <w:t xml:space="preserve">Consecuencia: El código generado con asistencia de IA debe pasar por guardarrailes de revisión (sección 3) antes de ir a producción.</w:t>
      </w:r>
    </w:p>
    <w:p>
      <w:pPr>
        <w:spacing w:before="120" w:after="0"/>
      </w:pPr>
      <w:r>
        <w:t xml:space="preserve"/>
      </w:r>
    </w:p>
    <w:p>
      <w:pPr>
        <w:pStyle w:val="Heading3"/>
        <w:spacing w:before="240" w:after="80"/>
      </w:pPr>
      <w:r>
        <w:rPr>
          <w:rFonts w:ascii="Arial" w:cs="Arial" w:eastAsia="Arial" w:hAnsi="Arial"/>
          <w:b/>
          <w:bCs/>
          <w:color w:val="2C4A6E"/>
          <w:sz w:val="22"/>
          <w:szCs w:val="22"/>
        </w:rPr>
        <w:t xml:space="preserve">ADR-03: Modelo de datos centrado en NIT</w:t>
      </w:r>
    </w:p>
    <w:p>
      <w:pPr>
        <w:spacing w:before="80" w:after="80"/>
      </w:pPr>
      <w:r>
        <w:rPr>
          <w:rFonts w:ascii="Arial" w:cs="Arial" w:eastAsia="Arial" w:hAnsi="Arial"/>
          <w:b w:val="false"/>
          <w:bCs w:val="false"/>
          <w:i w:val="false"/>
          <w:iCs w:val="false"/>
          <w:color w:val="1F2937"/>
          <w:sz w:val="22"/>
          <w:szCs w:val="22"/>
        </w:rPr>
        <w:t xml:space="preserve">Razón: El NIT es el identificador único y universal de una empresa en Colombia. Toda verificación cruzada parte de él.</w:t>
      </w:r>
    </w:p>
    <w:p>
      <w:pPr>
        <w:spacing w:before="80" w:after="80"/>
      </w:pPr>
      <w:r>
        <w:rPr>
          <w:rFonts w:ascii="Arial" w:cs="Arial" w:eastAsia="Arial" w:hAnsi="Arial"/>
          <w:b w:val="false"/>
          <w:bCs w:val="false"/>
          <w:i w:val="false"/>
          <w:iCs w:val="false"/>
          <w:color w:val="1F2937"/>
          <w:sz w:val="22"/>
          <w:szCs w:val="22"/>
        </w:rPr>
        <w:t xml:space="preserve">Decisión: Todas las tablas internas usan NIT como llave primaria. La interfaz acepta NIT raw (sin puntos ni guiones) y el sistema normaliza.</w:t>
      </w:r>
    </w:p>
    <w:p>
      <w:pPr>
        <w:spacing w:before="80" w:after="80"/>
      </w:pPr>
      <w:r>
        <w:rPr>
          <w:rFonts w:ascii="Arial" w:cs="Arial" w:eastAsia="Arial" w:hAnsi="Arial"/>
          <w:b w:val="false"/>
          <w:bCs w:val="false"/>
          <w:i/>
          <w:iCs/>
          <w:color w:val="1F2937"/>
          <w:sz w:val="22"/>
          <w:szCs w:val="22"/>
        </w:rPr>
        <w:t xml:space="preserve">Consecuencia: La validación de formato de NIT es el primer guardarrail de entrada de datos.</w:t>
      </w:r>
    </w:p>
    <w:p>
      <w:pPr>
        <w:spacing w:before="200" w:after="0"/>
      </w:pPr>
      <w:r>
        <w:t xml:space="preserve"/>
      </w:r>
    </w:p>
    <w:p>
      <w:pPr>
        <w:pStyle w:val="Heading2"/>
        <w:spacing w:before="320" w:after="120"/>
      </w:pPr>
      <w:r>
        <w:rPr>
          <w:rFonts w:ascii="Arial" w:cs="Arial" w:eastAsia="Arial" w:hAnsi="Arial"/>
          <w:b/>
          <w:bCs/>
          <w:color w:val="1A3C5E"/>
          <w:sz w:val="26"/>
          <w:szCs w:val="26"/>
        </w:rPr>
        <w:t xml:space="preserve">1.3 Supuestos del Proyecto</w:t>
      </w:r>
    </w:p>
    <w:p>
      <w:pPr>
        <w:pStyle w:val="ListParagraph"/>
        <w:numPr>
          <w:ilvl w:val="0"/>
          <w:numId w:val="2"/>
        </w:numPr>
        <w:spacing w:before="60" w:after="60"/>
      </w:pPr>
      <w:r>
        <w:rPr>
          <w:rFonts w:ascii="Arial" w:cs="Arial" w:eastAsia="Arial" w:hAnsi="Arial"/>
          <w:color w:val="1F2937"/>
          <w:sz w:val="22"/>
          <w:szCs w:val="22"/>
        </w:rPr>
        <w:t xml:space="preserve">Los archivos públicos de la DIAN seguirán siendo accesibles en URLs estábles o mediante descarga manual. Si la DIAN cierra el acceso público, se requiere plan de contingencia.</w:t>
      </w:r>
    </w:p>
    <w:p>
      <w:pPr>
        <w:pStyle w:val="ListParagraph"/>
        <w:numPr>
          <w:ilvl w:val="0"/>
          <w:numId w:val="2"/>
        </w:numPr>
        <w:spacing w:before="60" w:after="60"/>
      </w:pPr>
      <w:r>
        <w:rPr>
          <w:rFonts w:ascii="Arial" w:cs="Arial" w:eastAsia="Arial" w:hAnsi="Arial"/>
          <w:color w:val="1F2937"/>
          <w:sz w:val="22"/>
          <w:szCs w:val="22"/>
        </w:rPr>
        <w:t xml:space="preserve">El cliente tiene los NITs de sus proveedores en un Excel o en su ERP/CRM. No se construye un módulo de captura de proveedores desde cero en v1.</w:t>
      </w:r>
    </w:p>
    <w:p>
      <w:pPr>
        <w:pStyle w:val="ListParagraph"/>
        <w:numPr>
          <w:ilvl w:val="0"/>
          <w:numId w:val="2"/>
        </w:numPr>
        <w:spacing w:before="60" w:after="60"/>
      </w:pPr>
      <w:r>
        <w:rPr>
          <w:rFonts w:ascii="Arial" w:cs="Arial" w:eastAsia="Arial" w:hAnsi="Arial"/>
          <w:color w:val="1F2937"/>
          <w:sz w:val="22"/>
          <w:szCs w:val="22"/>
        </w:rPr>
        <w:t xml:space="preserve">El entorno de despliegue es cloud (VPS o PaaS). No se soporta instalación on-premise en v1.</w:t>
      </w:r>
    </w:p>
    <w:p>
      <w:pPr>
        <w:pStyle w:val="ListParagraph"/>
        <w:numPr>
          <w:ilvl w:val="0"/>
          <w:numId w:val="2"/>
        </w:numPr>
        <w:spacing w:before="60" w:after="60"/>
      </w:pPr>
      <w:r>
        <w:rPr>
          <w:rFonts w:ascii="Arial" w:cs="Arial" w:eastAsia="Arial" w:hAnsi="Arial"/>
          <w:color w:val="1F2937"/>
          <w:sz w:val="22"/>
          <w:szCs w:val="22"/>
        </w:rPr>
        <w:t xml:space="preserve">La moneda de cobro para clientes en Colombia es COP; para internacionales, USD.</w:t>
      </w:r>
    </w:p>
    <w:p>
      <w:pPr>
        <w:spacing w:before="300" w:after="0"/>
      </w:pPr>
      <w:r>
        <w:t xml:space="preserve"/>
      </w:r>
    </w:p>
    <w:p>
      <w:r>
        <w:br w:type="page"/>
      </w:r>
    </w:p>
    <w:p>
      <w:pPr>
        <w:pStyle w:val="Heading1"/>
        <w:pBdr>
          <w:bottom w:val="single" w:color="1A3C5E" w:sz="8" w:space="4"/>
        </w:pBdr>
        <w:spacing w:before="400" w:after="160"/>
      </w:pPr>
      <w:r>
        <w:rPr>
          <w:rFonts w:ascii="Arial" w:cs="Arial" w:eastAsia="Arial" w:hAnsi="Arial"/>
          <w:b/>
          <w:bCs/>
          <w:color w:val="1A3C5E"/>
          <w:sz w:val="32"/>
          <w:szCs w:val="32"/>
        </w:rPr>
        <w:t xml:space="preserve">2. Guidance: Metodología para Prompts Evolutivos</w:t>
      </w:r>
    </w:p>
    <w:p>
      <w:pPr>
        <w:spacing w:before="80" w:after="80"/>
      </w:pPr>
      <w:r>
        <w:rPr>
          <w:rFonts w:ascii="Arial" w:cs="Arial" w:eastAsia="Arial" w:hAnsi="Arial"/>
          <w:b w:val="false"/>
          <w:bCs w:val="false"/>
          <w:i w:val="false"/>
          <w:iCs w:val="false"/>
          <w:color w:val="1F2937"/>
          <w:sz w:val="22"/>
          <w:szCs w:val="22"/>
        </w:rPr>
        <w:t xml:space="preserve">Esta sección es un sistema estructurado para que cualquier miembro del equipo —o cualquier asistente de IA— pueda convertir una idea abstracta en una instrucción precisa y ejecutable. El objetivo es consistencia en los resultados y reducción de iteraciones innecesarias.</w:t>
      </w:r>
    </w:p>
    <w:p>
      <w:pPr>
        <w:spacing w:before="120" w:after="0"/>
      </w:pPr>
      <w:r>
        <w:t xml:space="preserve"/>
      </w:r>
    </w:p>
    <w:p>
      <w:pPr>
        <w:pStyle w:val="Heading2"/>
        <w:spacing w:before="320" w:after="120"/>
      </w:pPr>
      <w:r>
        <w:rPr>
          <w:rFonts w:ascii="Arial" w:cs="Arial" w:eastAsia="Arial" w:hAnsi="Arial"/>
          <w:b/>
          <w:bCs/>
          <w:color w:val="1A3C5E"/>
          <w:sz w:val="26"/>
          <w:szCs w:val="26"/>
        </w:rPr>
        <w:t xml:space="preserve">2.1 El Ciclo de Evolución de un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c>
          <w:tcPr>
            <w:tcW w:type="dxa" w:w="14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Etapa</w:t>
            </w:r>
          </w:p>
        </w:tc>
        <w:tc>
          <w:tcPr>
            <w:tcW w:type="dxa" w:w="22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Nombre</w:t>
            </w:r>
          </w:p>
        </w:tc>
        <w:tc>
          <w:tcPr>
            <w:tcW w:type="dxa" w:w="28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Qué se busca</w:t>
            </w:r>
          </w:p>
        </w:tc>
        <w:tc>
          <w:tcPr>
            <w:tcW w:type="dxa" w:w="28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Señal de éxito</w:t>
            </w:r>
          </w:p>
        </w:tc>
      </w:tr>
      <w:tr>
        <w:tc>
          <w:tcPr>
            <w:tcW w:type="dxa" w:w="1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1</w:t>
            </w:r>
          </w:p>
        </w:tc>
        <w:tc>
          <w:tcPr>
            <w:tcW w:type="dxa" w:w="2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Idea cruda</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Capturar la intención sin restricciones</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Una frase que responde: ¿qué debe hacer el sistema?</w:t>
            </w:r>
          </w:p>
        </w:tc>
      </w:tr>
      <w:tr>
        <w:tc>
          <w:tcPr>
            <w:tcW w:type="dxa" w:w="1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2</w:t>
            </w:r>
          </w:p>
        </w:tc>
        <w:tc>
          <w:tcPr>
            <w:tcW w:type="dxa" w:w="2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Contexto</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Agregar quien, con qué datos, en qué formato</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El prompt incluye rol, input y output esperado</w:t>
            </w:r>
          </w:p>
        </w:tc>
      </w:tr>
      <w:tr>
        <w:tc>
          <w:tcPr>
            <w:tcW w:type="dxa" w:w="1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3</w:t>
            </w:r>
          </w:p>
        </w:tc>
        <w:tc>
          <w:tcPr>
            <w:tcW w:type="dxa" w:w="2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Restricciones</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Definir qué NO debe hacer el sistema</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El prompt tiene al menos 2 restricciones explícitas</w:t>
            </w:r>
          </w:p>
        </w:tc>
      </w:tr>
      <w:tr>
        <w:tc>
          <w:tcPr>
            <w:tcW w:type="dxa" w:w="1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4</w:t>
            </w:r>
          </w:p>
        </w:tc>
        <w:tc>
          <w:tcPr>
            <w:tcW w:type="dxa" w:w="2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Ejemplos</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Mostrar un caso concreto de input/output</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El prompt incluye un ejemplo anotado</w:t>
            </w:r>
          </w:p>
        </w:tc>
      </w:tr>
      <w:tr>
        <w:tc>
          <w:tcPr>
            <w:tcW w:type="dxa" w:w="1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5</w:t>
            </w:r>
          </w:p>
        </w:tc>
        <w:tc>
          <w:tcPr>
            <w:tcW w:type="dxa" w:w="2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Validación</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Probar el prompt con datos reales o sintéticos</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La salida coincide con el output esperado en ≧90% de los casos</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2.2 Prompts Anotados del Proyecto</w:t>
      </w:r>
    </w:p>
    <w:p>
      <w:pPr>
        <w:spacing w:before="80" w:after="0"/>
      </w:pPr>
      <w:r>
        <w:t xml:space="preserve"/>
      </w:r>
    </w:p>
    <w:p>
      <w:pPr>
        <w:pStyle w:val="Heading3"/>
        <w:spacing w:before="240" w:after="80"/>
      </w:pPr>
      <w:r>
        <w:rPr>
          <w:rFonts w:ascii="Arial" w:cs="Arial" w:eastAsia="Arial" w:hAnsi="Arial"/>
          <w:b/>
          <w:bCs/>
          <w:color w:val="2C4A6E"/>
          <w:sz w:val="22"/>
          <w:szCs w:val="22"/>
        </w:rPr>
        <w:t xml:space="preserve">Prompt A — Ingesta y limpieza del Listado 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BF2FA" w:val="clear"/>
            <w:tcMar>
              <w:top w:type="dxa" w:w="160"/>
              <w:left w:type="dxa" w:w="200"/>
              <w:bottom w:type="dxa" w:w="160"/>
              <w:right w:type="dxa" w:w="200"/>
            </w:tcMar>
          </w:tcPr>
          <w:p>
            <w:pPr>
              <w:spacing w:before="0" w:after="40"/>
            </w:pPr>
            <w:r>
              <w:rPr>
                <w:rFonts w:ascii="Arial" w:cs="Arial" w:eastAsia="Arial" w:hAnsi="Arial"/>
                <w:b/>
                <w:bCs/>
                <w:color w:val="1A3C5E"/>
                <w:sz w:val="20"/>
                <w:szCs w:val="20"/>
              </w:rPr>
              <w:t xml:space="preserve">Prompt Nivel 2 (Contexto)</w:t>
            </w:r>
          </w:p>
          <w:p>
            <w:pPr>
              <w:spacing w:before="0" w:after="0"/>
            </w:pPr>
            <w:r>
              <w:rPr>
                <w:rFonts w:ascii="Arial" w:cs="Arial" w:eastAsia="Arial" w:hAnsi="Arial"/>
                <w:color w:val="1F2937"/>
                <w:sz w:val="21"/>
                <w:szCs w:val="21"/>
              </w:rPr>
              <w:t xml:space="preserve">Eres un ingeniero de datos. Descarga el archivo CSV del Listado de Proveedores Ficticios de la DIAN disponible en [URL]. Carga el archivo con pandas, normaliza la columna de NIT (elimina puntos, guiones y espacios), convierte a string de exactamente 9 dígitos rellenando con ceros a la izquierda si es necesario, y guarda el resultado como un archivo Parquet en /data/dian_ficticios.parquet. Registra en un log la fecha y hora de descarga y el número de registros cargados.</w:t>
            </w:r>
          </w:p>
        </w:tc>
      </w:tr>
    </w:tbl>
    <w:p>
      <w:pPr>
        <w:spacing w:before="80" w:after="0"/>
      </w:pPr>
      <w:r>
        <w:t xml:space="preserve"/>
      </w:r>
    </w:p>
    <w:p>
      <w:pPr>
        <w:spacing w:before="80" w:after="80"/>
      </w:pPr>
      <w:r>
        <w:rPr>
          <w:rFonts w:ascii="Arial" w:cs="Arial" w:eastAsia="Arial" w:hAnsi="Arial"/>
          <w:b/>
          <w:bCs/>
          <w:i w:val="false"/>
          <w:iCs w:val="false"/>
          <w:color w:val="1F2937"/>
          <w:sz w:val="22"/>
          <w:szCs w:val="22"/>
        </w:rPr>
        <w:t xml:space="preserve">Anotaciones:</w:t>
      </w:r>
    </w:p>
    <w:p>
      <w:pPr>
        <w:pStyle w:val="ListParagraph"/>
        <w:numPr>
          <w:ilvl w:val="0"/>
          <w:numId w:val="2"/>
        </w:numPr>
        <w:spacing w:before="60" w:after="60"/>
      </w:pPr>
      <w:r>
        <w:rPr>
          <w:rFonts w:ascii="Arial" w:cs="Arial" w:eastAsia="Arial" w:hAnsi="Arial"/>
          <w:color w:val="1F2937"/>
          <w:sz w:val="22"/>
          <w:szCs w:val="22"/>
        </w:rPr>
        <w:t xml:space="preserve">Restricciones implícitas: NIT normalizado = exactamente 9 dígitos. Sin esa restricción, el cruce de datos falla silenciosamente.</w:t>
      </w:r>
    </w:p>
    <w:p>
      <w:pPr>
        <w:pStyle w:val="ListParagraph"/>
        <w:numPr>
          <w:ilvl w:val="0"/>
          <w:numId w:val="2"/>
        </w:numPr>
        <w:spacing w:before="60" w:after="60"/>
      </w:pPr>
      <w:r>
        <w:rPr>
          <w:rFonts w:ascii="Arial" w:cs="Arial" w:eastAsia="Arial" w:hAnsi="Arial"/>
          <w:color w:val="1F2937"/>
          <w:sz w:val="22"/>
          <w:szCs w:val="22"/>
        </w:rPr>
        <w:t xml:space="preserve">Trampa común: Asumir que el CSV tiene siempre la misma estructura de columnas. Agregar validación de schema antes de la transformación.</w:t>
      </w:r>
    </w:p>
    <w:p>
      <w:pPr>
        <w:pStyle w:val="ListParagraph"/>
        <w:numPr>
          <w:ilvl w:val="0"/>
          <w:numId w:val="2"/>
        </w:numPr>
        <w:spacing w:before="60" w:after="60"/>
      </w:pPr>
      <w:r>
        <w:rPr>
          <w:rFonts w:ascii="Arial" w:cs="Arial" w:eastAsia="Arial" w:hAnsi="Arial"/>
          <w:color w:val="1F2937"/>
          <w:sz w:val="22"/>
          <w:szCs w:val="22"/>
        </w:rPr>
        <w:t xml:space="preserve">Evolución sugerida: En Nivel 3, agregar manejo de errores (archivo no disponible, cambio de estructura) y notificación por email si la ingesta falla.</w:t>
      </w:r>
    </w:p>
    <w:p>
      <w:pPr>
        <w:spacing w:before="160" w:after="0"/>
      </w:pPr>
      <w:r>
        <w:t xml:space="preserve"/>
      </w:r>
    </w:p>
    <w:p>
      <w:pPr>
        <w:pStyle w:val="Heading3"/>
        <w:spacing w:before="240" w:after="80"/>
      </w:pPr>
      <w:r>
        <w:rPr>
          <w:rFonts w:ascii="Arial" w:cs="Arial" w:eastAsia="Arial" w:hAnsi="Arial"/>
          <w:b/>
          <w:bCs/>
          <w:color w:val="2C4A6E"/>
          <w:sz w:val="22"/>
          <w:szCs w:val="22"/>
        </w:rPr>
        <w:t xml:space="preserve">Prompt B — Consulta masiva de NITs desde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EF3DC" w:val="clear"/>
            <w:tcMar>
              <w:top w:type="dxa" w:w="160"/>
              <w:left w:type="dxa" w:w="200"/>
              <w:bottom w:type="dxa" w:w="160"/>
              <w:right w:type="dxa" w:w="200"/>
            </w:tcMar>
          </w:tcPr>
          <w:p>
            <w:pPr>
              <w:spacing w:before="0" w:after="40"/>
            </w:pPr>
            <w:r>
              <w:rPr>
                <w:rFonts w:ascii="Arial" w:cs="Arial" w:eastAsia="Arial" w:hAnsi="Arial"/>
                <w:b/>
                <w:bCs/>
                <w:color w:val="1A3C5E"/>
                <w:sz w:val="20"/>
                <w:szCs w:val="20"/>
              </w:rPr>
              <w:t xml:space="preserve">Prompt Nivel 3 (Restricciones)</w:t>
            </w:r>
          </w:p>
          <w:p>
            <w:pPr>
              <w:spacing w:before="0" w:after="0"/>
            </w:pPr>
            <w:r>
              <w:rPr>
                <w:rFonts w:ascii="Arial" w:cs="Arial" w:eastAsia="Arial" w:hAnsi="Arial"/>
                <w:color w:val="1F2937"/>
                <w:sz w:val="21"/>
                <w:szCs w:val="21"/>
              </w:rPr>
              <w:t xml:space="preserve">Eres el backend de un dashboard de cumplimiento. El usuario sube un archivo Excel con una columna llamada 'NIT_PROVEEDOR'. Para cada NIT: (1) normaliza el formato a 9 dígitos, (2) busca en la tabla dian_ficticios si existe coincidencia exacta, (3) busca en la tabla bdme si existe coincidencia exacta, (4) consulta la API de facturadores electrónicos si el NIT está habilitado. Devuelve un DataFrame con columnas: NIT, RAZON_SOCIAL (si disponible), EN_FICTICIOS (bool), EN_BDME (bool), FACTURADOR_HABILITADO (bool), NIVEL_RIESGO (calculado: Alto/Medio/Bajo). NO proceses NITs con menos de 6 dígitos. NO hagas llamadas externas en bucle sin rate limiting (máximo 5 req/s a APIs externas). Máximo 10,000 NITs por lote.</w:t>
            </w:r>
          </w:p>
        </w:tc>
      </w:tr>
    </w:tbl>
    <w:p>
      <w:pPr>
        <w:spacing w:before="80" w:after="0"/>
      </w:pPr>
      <w:r>
        <w:t xml:space="preserve"/>
      </w:r>
    </w:p>
    <w:p>
      <w:pPr>
        <w:spacing w:before="80" w:after="80"/>
      </w:pPr>
      <w:r>
        <w:rPr>
          <w:rFonts w:ascii="Arial" w:cs="Arial" w:eastAsia="Arial" w:hAnsi="Arial"/>
          <w:b/>
          <w:bCs/>
          <w:i w:val="false"/>
          <w:iCs w:val="false"/>
          <w:color w:val="1F2937"/>
          <w:sz w:val="22"/>
          <w:szCs w:val="22"/>
        </w:rPr>
        <w:t xml:space="preserve">Anotaciones:</w:t>
      </w:r>
    </w:p>
    <w:p>
      <w:pPr>
        <w:pStyle w:val="ListParagraph"/>
        <w:numPr>
          <w:ilvl w:val="0"/>
          <w:numId w:val="2"/>
        </w:numPr>
        <w:spacing w:before="60" w:after="60"/>
      </w:pPr>
      <w:r>
        <w:rPr>
          <w:rFonts w:ascii="Arial" w:cs="Arial" w:eastAsia="Arial" w:hAnsi="Arial"/>
          <w:color w:val="1F2937"/>
          <w:sz w:val="22"/>
          <w:szCs w:val="22"/>
        </w:rPr>
        <w:t xml:space="preserve">El campo NIVEL_RIESGO necesita su propia lógica: definirla explícitamente (ver sección 2.3) evita que la IA la interprete de forma inconsistente.</w:t>
      </w:r>
    </w:p>
    <w:p>
      <w:pPr>
        <w:pStyle w:val="ListParagraph"/>
        <w:numPr>
          <w:ilvl w:val="0"/>
          <w:numId w:val="2"/>
        </w:numPr>
        <w:spacing w:before="60" w:after="60"/>
      </w:pPr>
      <w:r>
        <w:rPr>
          <w:rFonts w:ascii="Arial" w:cs="Arial" w:eastAsia="Arial" w:hAnsi="Arial"/>
          <w:color w:val="1F2937"/>
          <w:sz w:val="22"/>
          <w:szCs w:val="22"/>
        </w:rPr>
        <w:t xml:space="preserve">Rate limiting: obligatorio. Sin él, una consulta de 5,000 NITs puede bloquear la IP del sistema en la API de la DIAN.</w:t>
      </w:r>
    </w:p>
    <w:p>
      <w:pPr>
        <w:pStyle w:val="ListParagraph"/>
        <w:numPr>
          <w:ilvl w:val="0"/>
          <w:numId w:val="2"/>
        </w:numPr>
        <w:spacing w:before="60" w:after="60"/>
      </w:pPr>
      <w:r>
        <w:rPr>
          <w:rFonts w:ascii="Arial" w:cs="Arial" w:eastAsia="Arial" w:hAnsi="Arial"/>
          <w:color w:val="1F2937"/>
          <w:sz w:val="22"/>
          <w:szCs w:val="22"/>
        </w:rPr>
        <w:t xml:space="preserve">Límite de lote: protege memoria y tiempo de respuesta en el servidor.</w:t>
      </w:r>
    </w:p>
    <w:p>
      <w:pPr>
        <w:spacing w:before="160" w:after="0"/>
      </w:pPr>
      <w:r>
        <w:t xml:space="preserve"/>
      </w:r>
    </w:p>
    <w:p>
      <w:pPr>
        <w:pStyle w:val="Heading3"/>
        <w:spacing w:before="240" w:after="80"/>
      </w:pPr>
      <w:r>
        <w:rPr>
          <w:rFonts w:ascii="Arial" w:cs="Arial" w:eastAsia="Arial" w:hAnsi="Arial"/>
          <w:b/>
          <w:bCs/>
          <w:color w:val="2C4A6E"/>
          <w:sz w:val="22"/>
          <w:szCs w:val="22"/>
        </w:rPr>
        <w:t xml:space="preserve">Prompt C — Agente de alerta por correo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BF2FA" w:val="clear"/>
            <w:tcMar>
              <w:top w:type="dxa" w:w="160"/>
              <w:left w:type="dxa" w:w="200"/>
              <w:bottom w:type="dxa" w:w="160"/>
              <w:right w:type="dxa" w:w="200"/>
            </w:tcMar>
          </w:tcPr>
          <w:p>
            <w:pPr>
              <w:spacing w:before="0" w:after="40"/>
            </w:pPr>
            <w:r>
              <w:rPr>
                <w:rFonts w:ascii="Arial" w:cs="Arial" w:eastAsia="Arial" w:hAnsi="Arial"/>
                <w:b/>
                <w:bCs/>
                <w:color w:val="1A3C5E"/>
                <w:sz w:val="20"/>
                <w:szCs w:val="20"/>
              </w:rPr>
              <w:t xml:space="preserve">Prompt Nivel 4 (Ejemplos)</w:t>
            </w:r>
          </w:p>
          <w:p>
            <w:pPr>
              <w:spacing w:before="0" w:after="0"/>
            </w:pPr>
            <w:r>
              <w:rPr>
                <w:rFonts w:ascii="Arial" w:cs="Arial" w:eastAsia="Arial" w:hAnsi="Arial"/>
                <w:color w:val="1F2937"/>
                <w:sz w:val="21"/>
                <w:szCs w:val="21"/>
              </w:rPr>
              <w:t xml:space="preserve">Eres un agente de IA integrado en n8n. Cuando llegue un correo con una factura en PDF adjunta: (1) Extrae el texto del PDF con OCR. (2) Identifica el NIT del emisor usando el patrón regex colombiano de NIT (9 dígitos seguidos de un dígito verificador separado por guión). (3) Consulta la API interna /api/check-nit/{nit}. (4) Si la respuesta contiene riesgo ALTO, redacta y envía un correo de alerta al remitente original con el asunto: '🚨 ALERTA CUMPLIMIENTO DIAN — [Razón Social]' y el cuerpo que se muestra abajo. Si el riesgo es MEDIO o BAJO, no envíes nada. Ejemplo de NIT válido: 900123456-7. Ejemplo de correo de alerta: 'El proveedor LOGÍSTICA XYZ SAS (NIT 900.123.456) figura en el Listado de Proveedores Ficticios de la DIAN según nuestra última verificación (actualizado el [fecha]). Recomendamos suspender el pago hasta verificar con su asesor tributario.'</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2.3 Lógica de Nivel de Riesgo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c>
          <w:tcPr>
            <w:tcW w:type="dxa" w:w="18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Nivel</w:t>
            </w:r>
          </w:p>
        </w:tc>
        <w:tc>
          <w:tcPr>
            <w:tcW w:type="dxa" w:w="22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Condición</w:t>
            </w:r>
          </w:p>
        </w:tc>
        <w:tc>
          <w:tcPr>
            <w:tcW w:type="dxa" w:w="22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Color UI</w:t>
            </w:r>
          </w:p>
        </w:tc>
        <w:tc>
          <w:tcPr>
            <w:tcW w:type="dxa" w:w="30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Acción recomendada</w:t>
            </w:r>
          </w:p>
        </w:tc>
      </w:tr>
      <w:tr>
        <w:tc>
          <w:tcPr>
            <w:tcW w:type="dxa" w:w="18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ALTO</w:t>
            </w:r>
          </w:p>
        </w:tc>
        <w:tc>
          <w:tcPr>
            <w:tcW w:type="dxa" w:w="22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EN_FICTICIOS = true</w:t>
            </w:r>
          </w:p>
        </w:tc>
        <w:tc>
          <w:tcPr>
            <w:tcW w:type="dxa" w:w="22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Rojo (#DC2626)</w:t>
            </w:r>
          </w:p>
        </w:tc>
        <w:tc>
          <w:tcPr>
            <w:tcW w:type="dxa" w:w="30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Bloquear pago + alerta inmediata</w:t>
            </w:r>
          </w:p>
        </w:tc>
      </w:tr>
      <w:tr>
        <w:tc>
          <w:tcPr>
            <w:tcW w:type="dxa" w:w="18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MEDIO</w:t>
            </w:r>
          </w:p>
        </w:tc>
        <w:tc>
          <w:tcPr>
            <w:tcW w:type="dxa" w:w="22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EN_BDME = true O FACTURADOR_HABILITADO = false</w:t>
            </w:r>
          </w:p>
        </w:tc>
        <w:tc>
          <w:tcPr>
            <w:tcW w:type="dxa" w:w="22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Naranja (#D97706)</w:t>
            </w:r>
          </w:p>
        </w:tc>
        <w:tc>
          <w:tcPr>
            <w:tcW w:type="dxa" w:w="30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Revisar con asesor tributario antes de pagar</w:t>
            </w:r>
          </w:p>
        </w:tc>
      </w:tr>
      <w:tr>
        <w:tc>
          <w:tcPr>
            <w:tcW w:type="dxa" w:w="18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BAJO</w:t>
            </w:r>
          </w:p>
        </w:tc>
        <w:tc>
          <w:tcPr>
            <w:tcW w:type="dxa" w:w="22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Ninguna condición de riesgo detectada</w:t>
            </w:r>
          </w:p>
        </w:tc>
        <w:tc>
          <w:tcPr>
            <w:tcW w:type="dxa" w:w="22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Verde (#16A34A)</w:t>
            </w:r>
          </w:p>
        </w:tc>
        <w:tc>
          <w:tcPr>
            <w:tcW w:type="dxa" w:w="30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Proveedor verificado — sin alertas</w:t>
            </w:r>
          </w:p>
        </w:tc>
      </w:tr>
    </w:tbl>
    <w:p>
      <w:pPr>
        <w:spacing w:before="300" w:after="0"/>
      </w:pPr>
      <w:r>
        <w:t xml:space="preserve"/>
      </w:r>
    </w:p>
    <w:p>
      <w:r>
        <w:br w:type="page"/>
      </w:r>
    </w:p>
    <w:p>
      <w:pPr>
        <w:pStyle w:val="Heading1"/>
        <w:pBdr>
          <w:bottom w:val="single" w:color="1A3C5E" w:sz="8" w:space="4"/>
        </w:pBdr>
        <w:spacing w:before="400" w:after="160"/>
      </w:pPr>
      <w:r>
        <w:rPr>
          <w:rFonts w:ascii="Arial" w:cs="Arial" w:eastAsia="Arial" w:hAnsi="Arial"/>
          <w:b/>
          <w:bCs/>
          <w:color w:val="1A3C5E"/>
          <w:sz w:val="32"/>
          <w:szCs w:val="32"/>
        </w:rPr>
        <w:t xml:space="preserve">3. Guardrails: Revisión de Código Asistida por IA</w:t>
      </w:r>
    </w:p>
    <w:p>
      <w:pPr>
        <w:spacing w:before="80" w:after="80"/>
      </w:pPr>
      <w:r>
        <w:rPr>
          <w:rFonts w:ascii="Arial" w:cs="Arial" w:eastAsia="Arial" w:hAnsi="Arial"/>
          <w:b w:val="false"/>
          <w:bCs w:val="false"/>
          <w:i w:val="false"/>
          <w:iCs w:val="false"/>
          <w:color w:val="1F2937"/>
          <w:sz w:val="22"/>
          <w:szCs w:val="22"/>
        </w:rPr>
        <w:t xml:space="preserve">Dado que el proyecto usa Vibe Coding (desarrollo acelerado con IA), se requiere un sistema de guardarrailes que detecte errores comunes antes de que lleguen a revisión humana o a producción. Esta sección define los checkpoints de evaluación automática.</w:t>
      </w:r>
    </w:p>
    <w:p>
      <w:pPr>
        <w:spacing w:before="120" w:after="0"/>
      </w:pPr>
      <w:r>
        <w:t xml:space="preserve"/>
      </w:r>
    </w:p>
    <w:p>
      <w:pPr>
        <w:pStyle w:val="Heading2"/>
        <w:spacing w:before="320" w:after="120"/>
      </w:pPr>
      <w:r>
        <w:rPr>
          <w:rFonts w:ascii="Arial" w:cs="Arial" w:eastAsia="Arial" w:hAnsi="Arial"/>
          <w:b/>
          <w:bCs/>
          <w:color w:val="1A3C5E"/>
          <w:sz w:val="26"/>
          <w:szCs w:val="26"/>
        </w:rPr>
        <w:t xml:space="preserve">3.1 Riesgos Específicos de Este Proyecto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Riesgo</w:t>
            </w:r>
          </w:p>
        </w:tc>
        <w:tc>
          <w:tcPr>
            <w:tcW w:type="dxa" w:w="30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Causa probable</w:t>
            </w:r>
          </w:p>
        </w:tc>
        <w:tc>
          <w:tcPr>
            <w:tcW w:type="dxa" w:w="30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Guardarrail</w:t>
            </w:r>
          </w:p>
        </w:tc>
      </w:tr>
      <w:tr>
        <w:tc>
          <w:tcPr>
            <w:tcW w:type="dxa" w:w="3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NIT mal normalizado</w:t>
            </w:r>
          </w:p>
        </w:tc>
        <w:tc>
          <w:tcPr>
            <w:tcW w:type="dxa" w:w="30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CSV de DIAN con formatos mezclados</w:t>
            </w:r>
          </w:p>
        </w:tc>
        <w:tc>
          <w:tcPr>
            <w:tcW w:type="dxa" w:w="30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Test unitario: todos los NITs en DB son strings de 9 dígitos exactos</w:t>
            </w:r>
          </w:p>
        </w:tc>
      </w:tr>
      <w:tr>
        <w:tc>
          <w:tcPr>
            <w:tcW w:type="dxa" w:w="3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Falso negativo en búsqueda</w:t>
            </w:r>
          </w:p>
        </w:tc>
        <w:tc>
          <w:tcPr>
            <w:tcW w:type="dxa" w:w="30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Join falla por tipo de dato (int vs str)</w:t>
            </w:r>
          </w:p>
        </w:tc>
        <w:tc>
          <w:tcPr>
            <w:tcW w:type="dxa" w:w="30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Test de integración: NIT conocido en lista DIAN SIEMPRE devuelve EN_FICTICIOS=true</w:t>
            </w:r>
          </w:p>
        </w:tc>
      </w:tr>
      <w:tr>
        <w:tc>
          <w:tcPr>
            <w:tcW w:type="dxa" w:w="3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Rate limit no implementado</w:t>
            </w:r>
          </w:p>
        </w:tc>
        <w:tc>
          <w:tcPr>
            <w:tcW w:type="dxa" w:w="30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IA genera bucle sin sleep()</w:t>
            </w:r>
          </w:p>
        </w:tc>
        <w:tc>
          <w:tcPr>
            <w:tcW w:type="dxa" w:w="30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Lint rule: cualquier llamada requests.get() dentro de un loop debe ir precedida de time.sleep()</w:t>
            </w:r>
          </w:p>
        </w:tc>
      </w:tr>
      <w:tr>
        <w:tc>
          <w:tcPr>
            <w:tcW w:type="dxa" w:w="3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Credenciales en código</w:t>
            </w:r>
          </w:p>
        </w:tc>
        <w:tc>
          <w:tcPr>
            <w:tcW w:type="dxa" w:w="30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IA hardcodea API keys en el script</w:t>
            </w:r>
          </w:p>
        </w:tc>
        <w:tc>
          <w:tcPr>
            <w:tcW w:type="dxa" w:w="30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Pre-commit hook: grep de 'api_key', 'password', 'secret' en archivos .py bloqueante</w:t>
            </w:r>
          </w:p>
        </w:tc>
      </w:tr>
      <w:tr>
        <w:tc>
          <w:tcPr>
            <w:tcW w:type="dxa" w:w="3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Datos sensibles sin cifrar</w:t>
            </w:r>
          </w:p>
        </w:tc>
        <w:tc>
          <w:tcPr>
            <w:tcW w:type="dxa" w:w="30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NITs de clientes guardados en texto plano</w:t>
            </w:r>
          </w:p>
        </w:tc>
        <w:tc>
          <w:tcPr>
            <w:tcW w:type="dxa" w:w="30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Revisión: campos de NIT en DB deben estar en tablas con RLS (Row Level Security) activado</w:t>
            </w:r>
          </w:p>
        </w:tc>
      </w:tr>
      <w:tr>
        <w:tc>
          <w:tcPr>
            <w:tcW w:type="dxa" w:w="3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Reporte incorrecto exportado</w:t>
            </w:r>
          </w:p>
        </w:tc>
        <w:tc>
          <w:tcPr>
            <w:tcW w:type="dxa" w:w="30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Pandas exporta índice por defecto</w:t>
            </w:r>
          </w:p>
        </w:tc>
        <w:tc>
          <w:tcPr>
            <w:tcW w:type="dxa" w:w="30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Standard: todo df.to_excel() y df.to_csv() debe incluir index=False explícito</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3.2 Checklist de Revisión de Pull Request</w:t>
      </w:r>
    </w:p>
    <w:p>
      <w:pPr>
        <w:spacing w:before="80" w:after="80"/>
      </w:pPr>
      <w:r>
        <w:rPr>
          <w:rFonts w:ascii="Arial" w:cs="Arial" w:eastAsia="Arial" w:hAnsi="Arial"/>
          <w:b w:val="false"/>
          <w:bCs w:val="false"/>
          <w:i w:val="false"/>
          <w:iCs w:val="false"/>
          <w:color w:val="1F2937"/>
          <w:sz w:val="22"/>
          <w:szCs w:val="22"/>
        </w:rPr>
        <w:t xml:space="preserve">Esta lista la ejecuta el asistente de IA (o el desarrollador) antes de solicitar revisión humana. Ningún PR puede mergearse con un punto en rojo.</w:t>
      </w:r>
    </w:p>
    <w:p>
      <w:pPr>
        <w:spacing w:before="80" w:after="0"/>
      </w:pPr>
      <w:r>
        <w:t xml:space="preserve"/>
      </w:r>
    </w:p>
    <w:p>
      <w:pPr>
        <w:pStyle w:val="Heading3"/>
        <w:spacing w:before="240" w:after="80"/>
      </w:pPr>
      <w:r>
        <w:rPr>
          <w:rFonts w:ascii="Arial" w:cs="Arial" w:eastAsia="Arial" w:hAnsi="Arial"/>
          <w:b/>
          <w:bCs/>
          <w:color w:val="2C4A6E"/>
          <w:sz w:val="22"/>
          <w:szCs w:val="22"/>
        </w:rPr>
        <w:t xml:space="preserve">Capa de Datos (Python / Pandas)</w:t>
      </w:r>
    </w:p>
    <w:p>
      <w:pPr>
        <w:pStyle w:val="ListParagraph"/>
        <w:numPr>
          <w:ilvl w:val="0"/>
          <w:numId w:val="2"/>
        </w:numPr>
        <w:spacing w:before="60" w:after="60"/>
      </w:pPr>
      <w:r>
        <w:rPr>
          <w:rFonts w:ascii="Arial" w:cs="Arial" w:eastAsia="Arial" w:hAnsi="Arial"/>
          <w:color w:val="1F2937"/>
          <w:sz w:val="22"/>
          <w:szCs w:val="22"/>
        </w:rPr>
        <w:t xml:space="preserve">Normalización de NIT: la función normalize_nit() existe, tiene docstring y tiene al menos 3 tests unitarios (NIT con puntos, NIT corto, NIT ya normalizado).</w:t>
      </w:r>
    </w:p>
    <w:p>
      <w:pPr>
        <w:pStyle w:val="ListParagraph"/>
        <w:numPr>
          <w:ilvl w:val="0"/>
          <w:numId w:val="2"/>
        </w:numPr>
        <w:spacing w:before="60" w:after="60"/>
      </w:pPr>
      <w:r>
        <w:rPr>
          <w:rFonts w:ascii="Arial" w:cs="Arial" w:eastAsia="Arial" w:hAnsi="Arial"/>
          <w:color w:val="1F2937"/>
          <w:sz w:val="22"/>
          <w:szCs w:val="22"/>
        </w:rPr>
        <w:t xml:space="preserve">Schema validation: existe una función que valida las columnas del CSV de la DIAN antes de transformar. Si el schema cambia, lanza excepción controlada.</w:t>
      </w:r>
    </w:p>
    <w:p>
      <w:pPr>
        <w:pStyle w:val="ListParagraph"/>
        <w:numPr>
          <w:ilvl w:val="0"/>
          <w:numId w:val="2"/>
        </w:numPr>
        <w:spacing w:before="60" w:after="60"/>
      </w:pPr>
      <w:r>
        <w:rPr>
          <w:rFonts w:ascii="Arial" w:cs="Arial" w:eastAsia="Arial" w:hAnsi="Arial"/>
          <w:color w:val="1F2937"/>
          <w:sz w:val="22"/>
          <w:szCs w:val="22"/>
        </w:rPr>
        <w:t xml:space="preserve">Logging: cada ingesta registra fecha, fuente, número de registros y hash del archivo descargado.</w:t>
      </w:r>
    </w:p>
    <w:p>
      <w:pPr>
        <w:pStyle w:val="ListParagraph"/>
        <w:numPr>
          <w:ilvl w:val="0"/>
          <w:numId w:val="2"/>
        </w:numPr>
        <w:spacing w:before="60" w:after="60"/>
      </w:pPr>
      <w:r>
        <w:rPr>
          <w:rFonts w:ascii="Arial" w:cs="Arial" w:eastAsia="Arial" w:hAnsi="Arial"/>
          <w:color w:val="1F2937"/>
          <w:sz w:val="22"/>
          <w:szCs w:val="22"/>
        </w:rPr>
        <w:t xml:space="preserve">Sin credenciales en código: todas las variables de entorno se leen desde .env o secrets manager.</w:t>
      </w:r>
    </w:p>
    <w:p>
      <w:pPr>
        <w:spacing w:before="120" w:after="0"/>
      </w:pPr>
      <w:r>
        <w:t xml:space="preserve"/>
      </w:r>
    </w:p>
    <w:p>
      <w:pPr>
        <w:pStyle w:val="Heading3"/>
        <w:spacing w:before="240" w:after="80"/>
      </w:pPr>
      <w:r>
        <w:rPr>
          <w:rFonts w:ascii="Arial" w:cs="Arial" w:eastAsia="Arial" w:hAnsi="Arial"/>
          <w:b/>
          <w:bCs/>
          <w:color w:val="2C4A6E"/>
          <w:sz w:val="22"/>
          <w:szCs w:val="22"/>
        </w:rPr>
        <w:t xml:space="preserve">Capa de API / Backend</w:t>
      </w:r>
    </w:p>
    <w:p>
      <w:pPr>
        <w:pStyle w:val="ListParagraph"/>
        <w:numPr>
          <w:ilvl w:val="0"/>
          <w:numId w:val="2"/>
        </w:numPr>
        <w:spacing w:before="60" w:after="60"/>
      </w:pPr>
      <w:r>
        <w:rPr>
          <w:rFonts w:ascii="Arial" w:cs="Arial" w:eastAsia="Arial" w:hAnsi="Arial"/>
          <w:color w:val="1F2937"/>
          <w:sz w:val="22"/>
          <w:szCs w:val="22"/>
        </w:rPr>
        <w:t xml:space="preserve">Rate limiting en todas las llamadas a APIs externas (DIAN, BDME): máximo 5 req/s, con retry con backoff exponencial.</w:t>
      </w:r>
    </w:p>
    <w:p>
      <w:pPr>
        <w:pStyle w:val="ListParagraph"/>
        <w:numPr>
          <w:ilvl w:val="0"/>
          <w:numId w:val="2"/>
        </w:numPr>
        <w:spacing w:before="60" w:after="60"/>
      </w:pPr>
      <w:r>
        <w:rPr>
          <w:rFonts w:ascii="Arial" w:cs="Arial" w:eastAsia="Arial" w:hAnsi="Arial"/>
          <w:color w:val="1F2937"/>
          <w:sz w:val="22"/>
          <w:szCs w:val="22"/>
        </w:rPr>
        <w:t xml:space="preserve">Validación de input en el endpoint /api/check-nit/: rechaza NITs con menos de 6 dígitos con HTTP 400.</w:t>
      </w:r>
    </w:p>
    <w:p>
      <w:pPr>
        <w:pStyle w:val="ListParagraph"/>
        <w:numPr>
          <w:ilvl w:val="0"/>
          <w:numId w:val="2"/>
        </w:numPr>
        <w:spacing w:before="60" w:after="60"/>
      </w:pPr>
      <w:r>
        <w:rPr>
          <w:rFonts w:ascii="Arial" w:cs="Arial" w:eastAsia="Arial" w:hAnsi="Arial"/>
          <w:color w:val="1F2937"/>
          <w:sz w:val="22"/>
          <w:szCs w:val="22"/>
        </w:rPr>
        <w:t xml:space="preserve">Tamaño máximo de lote: el endpoint de consulta masiva rechaza requests con más de 10,000 NITs con HTTP 413.</w:t>
      </w:r>
    </w:p>
    <w:p>
      <w:pPr>
        <w:pStyle w:val="ListParagraph"/>
        <w:numPr>
          <w:ilvl w:val="0"/>
          <w:numId w:val="2"/>
        </w:numPr>
        <w:spacing w:before="60" w:after="60"/>
      </w:pPr>
      <w:r>
        <w:rPr>
          <w:rFonts w:ascii="Arial" w:cs="Arial" w:eastAsia="Arial" w:hAnsi="Arial"/>
          <w:color w:val="1F2937"/>
          <w:sz w:val="22"/>
          <w:szCs w:val="22"/>
        </w:rPr>
        <w:t xml:space="preserve">Manejo de errores: si una fuente externa falla, el sistema devuelve NIVEL_RIESGO='INDETERMINADO' y log del error, no un 500 sin contexto.</w:t>
      </w:r>
    </w:p>
    <w:p>
      <w:pPr>
        <w:spacing w:before="120" w:after="0"/>
      </w:pPr>
      <w:r>
        <w:t xml:space="preserve"/>
      </w:r>
    </w:p>
    <w:p>
      <w:pPr>
        <w:pStyle w:val="Heading3"/>
        <w:spacing w:before="240" w:after="80"/>
      </w:pPr>
      <w:r>
        <w:rPr>
          <w:rFonts w:ascii="Arial" w:cs="Arial" w:eastAsia="Arial" w:hAnsi="Arial"/>
          <w:b/>
          <w:bCs/>
          <w:color w:val="2C4A6E"/>
          <w:sz w:val="22"/>
          <w:szCs w:val="22"/>
        </w:rPr>
        <w:t xml:space="preserve">Capa de Interfaz (Dashboard)</w:t>
      </w:r>
    </w:p>
    <w:p>
      <w:pPr>
        <w:pStyle w:val="ListParagraph"/>
        <w:numPr>
          <w:ilvl w:val="0"/>
          <w:numId w:val="2"/>
        </w:numPr>
        <w:spacing w:before="60" w:after="60"/>
      </w:pPr>
      <w:r>
        <w:rPr>
          <w:rFonts w:ascii="Arial" w:cs="Arial" w:eastAsia="Arial" w:hAnsi="Arial"/>
          <w:color w:val="1F2937"/>
          <w:sz w:val="22"/>
          <w:szCs w:val="22"/>
        </w:rPr>
        <w:t xml:space="preserve">El usuario ve el estado del último update de la base DIAN (fecha y hora visible en el dashboard).</w:t>
      </w:r>
    </w:p>
    <w:p>
      <w:pPr>
        <w:pStyle w:val="ListParagraph"/>
        <w:numPr>
          <w:ilvl w:val="0"/>
          <w:numId w:val="2"/>
        </w:numPr>
        <w:spacing w:before="60" w:after="60"/>
      </w:pPr>
      <w:r>
        <w:rPr>
          <w:rFonts w:ascii="Arial" w:cs="Arial" w:eastAsia="Arial" w:hAnsi="Arial"/>
          <w:color w:val="1F2937"/>
          <w:sz w:val="22"/>
          <w:szCs w:val="22"/>
        </w:rPr>
        <w:t xml:space="preserve">Los colores de riesgo coinciden con la tabla de la sección 2.3: rojo ALTO, naranja MEDIO, verde BAJO. No hay interpretación libre.</w:t>
      </w:r>
    </w:p>
    <w:p>
      <w:pPr>
        <w:pStyle w:val="ListParagraph"/>
        <w:numPr>
          <w:ilvl w:val="0"/>
          <w:numId w:val="2"/>
        </w:numPr>
        <w:spacing w:before="60" w:after="60"/>
      </w:pPr>
      <w:r>
        <w:rPr>
          <w:rFonts w:ascii="Arial" w:cs="Arial" w:eastAsia="Arial" w:hAnsi="Arial"/>
          <w:color w:val="1F2937"/>
          <w:sz w:val="22"/>
          <w:szCs w:val="22"/>
        </w:rPr>
        <w:t xml:space="preserve">El botón de descarga del reporte sólo se activa cuando el procesamiento está completo (no durante el loading).</w:t>
      </w:r>
    </w:p>
    <w:p>
      <w:pPr>
        <w:pStyle w:val="ListParagraph"/>
        <w:numPr>
          <w:ilvl w:val="0"/>
          <w:numId w:val="2"/>
        </w:numPr>
        <w:spacing w:before="60" w:after="60"/>
      </w:pPr>
      <w:r>
        <w:rPr>
          <w:rFonts w:ascii="Arial" w:cs="Arial" w:eastAsia="Arial" w:hAnsi="Arial"/>
          <w:color w:val="1F2937"/>
          <w:sz w:val="22"/>
          <w:szCs w:val="22"/>
        </w:rPr>
        <w:t xml:space="preserve">El upload de Excel valida extensión (.xlsx, .xls, .csv) en frontend antes de enviar al backend.</w:t>
      </w:r>
    </w:p>
    <w:p>
      <w:pPr>
        <w:spacing w:before="120" w:after="0"/>
      </w:pPr>
      <w:r>
        <w:t xml:space="preserve"/>
      </w:r>
    </w:p>
    <w:p>
      <w:pPr>
        <w:pStyle w:val="Heading3"/>
        <w:spacing w:before="240" w:after="80"/>
      </w:pPr>
      <w:r>
        <w:rPr>
          <w:rFonts w:ascii="Arial" w:cs="Arial" w:eastAsia="Arial" w:hAnsi="Arial"/>
          <w:b/>
          <w:bCs/>
          <w:color w:val="2C4A6E"/>
          <w:sz w:val="22"/>
          <w:szCs w:val="22"/>
        </w:rPr>
        <w:t xml:space="preserve">Capa del Agente (n8n)</w:t>
      </w:r>
    </w:p>
    <w:p>
      <w:pPr>
        <w:pStyle w:val="ListParagraph"/>
        <w:numPr>
          <w:ilvl w:val="0"/>
          <w:numId w:val="2"/>
        </w:numPr>
        <w:spacing w:before="60" w:after="60"/>
      </w:pPr>
      <w:r>
        <w:rPr>
          <w:rFonts w:ascii="Arial" w:cs="Arial" w:eastAsia="Arial" w:hAnsi="Arial"/>
          <w:color w:val="1F2937"/>
          <w:sz w:val="22"/>
          <w:szCs w:val="22"/>
        </w:rPr>
        <w:t xml:space="preserve">El flujo de n8n tiene un nodo de error handler global que captura excepciones y las registra en un log externo.</w:t>
      </w:r>
    </w:p>
    <w:p>
      <w:pPr>
        <w:pStyle w:val="ListParagraph"/>
        <w:numPr>
          <w:ilvl w:val="0"/>
          <w:numId w:val="2"/>
        </w:numPr>
        <w:spacing w:before="60" w:after="60"/>
      </w:pPr>
      <w:r>
        <w:rPr>
          <w:rFonts w:ascii="Arial" w:cs="Arial" w:eastAsia="Arial" w:hAnsi="Arial"/>
          <w:color w:val="1F2937"/>
          <w:sz w:val="22"/>
          <w:szCs w:val="22"/>
        </w:rPr>
        <w:t xml:space="preserve">El correo de alerta incluye siempre la fecha de la última actualización de la base DIAN para contexto del cliente.</w:t>
      </w:r>
    </w:p>
    <w:p>
      <w:pPr>
        <w:pStyle w:val="ListParagraph"/>
        <w:numPr>
          <w:ilvl w:val="0"/>
          <w:numId w:val="2"/>
        </w:numPr>
        <w:spacing w:before="60" w:after="60"/>
      </w:pPr>
      <w:r>
        <w:rPr>
          <w:rFonts w:ascii="Arial" w:cs="Arial" w:eastAsia="Arial" w:hAnsi="Arial"/>
          <w:color w:val="1F2937"/>
          <w:sz w:val="22"/>
          <w:szCs w:val="22"/>
        </w:rPr>
        <w:t xml:space="preserve">El agente NO envía correos si el NIT extraído del PDF no pasa validación de formato (previene falsos positivos).</w:t>
      </w:r>
    </w:p>
    <w:p>
      <w:pPr>
        <w:spacing w:before="200" w:after="0"/>
      </w:pPr>
      <w:r>
        <w:t xml:space="preserve"/>
      </w:r>
    </w:p>
    <w:p>
      <w:pPr>
        <w:pStyle w:val="Heading2"/>
        <w:spacing w:before="320" w:after="120"/>
      </w:pPr>
      <w:r>
        <w:rPr>
          <w:rFonts w:ascii="Arial" w:cs="Arial" w:eastAsia="Arial" w:hAnsi="Arial"/>
          <w:b/>
          <w:bCs/>
          <w:color w:val="1A3C5E"/>
          <w:sz w:val="26"/>
          <w:szCs w:val="26"/>
        </w:rPr>
        <w:t xml:space="preserve">3.3 Matriz de Responsabilidades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Tarea</w:t>
            </w:r>
          </w:p>
        </w:tc>
        <w:tc>
          <w:tcPr>
            <w:tcW w:type="dxa" w:w="28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Responsable primario</w:t>
            </w:r>
          </w:p>
        </w:tc>
        <w:tc>
          <w:tcPr>
            <w:tcW w:type="dxa" w:w="288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Revisión final</w:t>
            </w:r>
          </w:p>
        </w:tc>
      </w:tr>
      <w:tr>
        <w:tc>
          <w:tcPr>
            <w:tcW w:type="dxa" w:w="36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Ingesta y normalización de datos DIAN/BDME</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IA (Cursor) + Fundador</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Fundador</w:t>
            </w:r>
          </w:p>
        </w:tc>
      </w:tr>
      <w:tr>
        <w:tc>
          <w:tcPr>
            <w:tcW w:type="dxa" w:w="36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Tests unitarios de normalización de NIT</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Fundador</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Fundador</w:t>
            </w:r>
          </w:p>
        </w:tc>
      </w:tr>
      <w:tr>
        <w:tc>
          <w:tcPr>
            <w:tcW w:type="dxa" w:w="36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Interfaz de consulta masiva (dashboard)</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IA (Bolt/Cursor)</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Fundador</w:t>
            </w:r>
          </w:p>
        </w:tc>
      </w:tr>
      <w:tr>
        <w:tc>
          <w:tcPr>
            <w:tcW w:type="dxa" w:w="36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Flujo de agente de alertas (n8n)</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IA (n8n AI Builder)</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Fundador</w:t>
            </w:r>
          </w:p>
        </w:tc>
      </w:tr>
      <w:tr>
        <w:tc>
          <w:tcPr>
            <w:tcW w:type="dxa" w:w="36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Checklist de PR antes de producción</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IA (revisor)</w:t>
            </w:r>
          </w:p>
        </w:tc>
        <w:tc>
          <w:tcPr>
            <w:tcW w:type="dxa" w:w="288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Fundador</w:t>
            </w:r>
          </w:p>
        </w:tc>
      </w:tr>
      <w:tr>
        <w:tc>
          <w:tcPr>
            <w:tcW w:type="dxa" w:w="36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Actualización periódica de bases DIAN/BDME</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Script automatizado</w:t>
            </w:r>
          </w:p>
        </w:tc>
        <w:tc>
          <w:tcPr>
            <w:tcW w:type="dxa" w:w="288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Fundador (monitoreo)</w:t>
            </w:r>
          </w:p>
        </w:tc>
      </w:tr>
    </w:tbl>
    <w:p>
      <w:pPr>
        <w:spacing w:before="300" w:after="0"/>
      </w:pPr>
      <w:r>
        <w:t xml:space="preserve"/>
      </w:r>
    </w:p>
    <w:p>
      <w:r>
        <w:br w:type="page"/>
      </w:r>
    </w:p>
    <w:p>
      <w:pPr>
        <w:pStyle w:val="Heading1"/>
        <w:pBdr>
          <w:bottom w:val="single" w:color="1A3C5E" w:sz="8" w:space="4"/>
        </w:pBdr>
        <w:spacing w:before="400" w:after="160"/>
      </w:pPr>
      <w:r>
        <w:rPr>
          <w:rFonts w:ascii="Arial" w:cs="Arial" w:eastAsia="Arial" w:hAnsi="Arial"/>
          <w:b/>
          <w:bCs/>
          <w:color w:val="1A3C5E"/>
          <w:sz w:val="32"/>
          <w:szCs w:val="32"/>
        </w:rPr>
        <w:t xml:space="preserve">4. Roadmap y Modelo Comercial</w:t>
      </w:r>
    </w:p>
    <w:p>
      <w:pPr>
        <w:spacing w:before="80" w:after="0"/>
      </w:pPr>
      <w:r>
        <w:t xml:space="preserve"/>
      </w:r>
    </w:p>
    <w:p>
      <w:pPr>
        <w:pStyle w:val="Heading2"/>
        <w:spacing w:before="320" w:after="120"/>
      </w:pPr>
      <w:r>
        <w:rPr>
          <w:rFonts w:ascii="Arial" w:cs="Arial" w:eastAsia="Arial" w:hAnsi="Arial"/>
          <w:b/>
          <w:bCs/>
          <w:color w:val="1A3C5E"/>
          <w:sz w:val="26"/>
          <w:szCs w:val="26"/>
        </w:rPr>
        <w:t xml:space="preserve">4.1 Fases de Construcción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c>
          <w:tcPr>
            <w:tcW w:type="dxa" w:w="12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Fase</w:t>
            </w:r>
          </w:p>
        </w:tc>
        <w:tc>
          <w:tcPr>
            <w:tcW w:type="dxa" w:w="20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Duración est.</w:t>
            </w:r>
          </w:p>
        </w:tc>
        <w:tc>
          <w:tcPr>
            <w:tcW w:type="dxa" w:w="376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Entregable</w:t>
            </w:r>
          </w:p>
        </w:tc>
        <w:tc>
          <w:tcPr>
            <w:tcW w:type="dxa" w:w="24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Stack</w:t>
            </w:r>
          </w:p>
        </w:tc>
      </w:tr>
      <w:tr>
        <w:tc>
          <w:tcPr>
            <w:tcW w:type="dxa" w:w="1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1 — MVP</w:t>
            </w:r>
          </w:p>
        </w:tc>
        <w:tc>
          <w:tcPr>
            <w:tcW w:type="dxa" w:w="20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2–3 semanas</w:t>
            </w:r>
          </w:p>
        </w:tc>
        <w:tc>
          <w:tcPr>
            <w:tcW w:type="dxa" w:w="37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Script Python de ingesta + consulta masiva por Excel + reporte descargable</w:t>
            </w:r>
          </w:p>
        </w:tc>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Python, Pandas, Streamlit o dashboard existente</w:t>
            </w:r>
          </w:p>
        </w:tc>
      </w:tr>
      <w:tr>
        <w:tc>
          <w:tcPr>
            <w:tcW w:type="dxa" w:w="1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2 — Producto</w:t>
            </w:r>
          </w:p>
        </w:tc>
        <w:tc>
          <w:tcPr>
            <w:tcW w:type="dxa" w:w="20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2–3 semanas</w:t>
            </w:r>
          </w:p>
        </w:tc>
        <w:tc>
          <w:tcPr>
            <w:tcW w:type="dxa" w:w="376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Dashboard web integrado + API interna + consulta en tiempo real por NIT único</w:t>
            </w:r>
          </w:p>
        </w:tc>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Cursor/Bolt, FastAPI o similar</w:t>
            </w:r>
          </w:p>
        </w:tc>
      </w:tr>
      <w:tr>
        <w:tc>
          <w:tcPr>
            <w:tcW w:type="dxa" w:w="12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3 — Agente</w:t>
            </w:r>
          </w:p>
        </w:tc>
        <w:tc>
          <w:tcPr>
            <w:tcW w:type="dxa" w:w="20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1–2 semanas</w:t>
            </w:r>
          </w:p>
        </w:tc>
        <w:tc>
          <w:tcPr>
            <w:tcW w:type="dxa" w:w="37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Flujo n8n: OCR de facturas + alertas automáticas por correo</w:t>
            </w:r>
          </w:p>
        </w:tc>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n8n, OCR (Tesseract o LLM vision)</w:t>
            </w:r>
          </w:p>
        </w:tc>
      </w:tr>
      <w:tr>
        <w:tc>
          <w:tcPr>
            <w:tcW w:type="dxa" w:w="12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4 — Escala</w:t>
            </w:r>
          </w:p>
        </w:tc>
        <w:tc>
          <w:tcPr>
            <w:tcW w:type="dxa" w:w="20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Continuo</w:t>
            </w:r>
          </w:p>
        </w:tc>
        <w:tc>
          <w:tcPr>
            <w:tcW w:type="dxa" w:w="376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Integración con ERPs (Siigo, World Office) + API pública para revendedores contables</w:t>
            </w:r>
          </w:p>
        </w:tc>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Webhooks, OAuth, documentación API</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4.2 Modelo de Precios Sugerido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Plan</w:t>
            </w:r>
          </w:p>
        </w:tc>
        <w:tc>
          <w:tcPr>
            <w:tcW w:type="dxa" w:w="216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Precio</w:t>
            </w:r>
          </w:p>
        </w:tc>
        <w:tc>
          <w:tcPr>
            <w:tcW w:type="dxa" w:w="24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Incluye</w:t>
            </w:r>
          </w:p>
        </w:tc>
        <w:tc>
          <w:tcPr>
            <w:tcW w:type="dxa" w:w="2400"/>
            <w:tcBorders>
              <w:top w:val="single" w:color="C5D8EC" w:sz="1"/>
              <w:left w:val="single" w:color="C5D8EC" w:sz="1"/>
              <w:bottom w:val="single" w:color="C5D8EC" w:sz="1"/>
              <w:right w:val="single" w:color="C5D8EC" w:sz="1"/>
            </w:tcBorders>
            <w:shd w:fill="1A3C5E" w:val="clear"/>
            <w:tcMar>
              <w:top w:type="dxa" w:w="120"/>
              <w:left w:type="dxa" w:w="160"/>
              <w:bottom w:type="dxa" w:w="120"/>
              <w:right w:type="dxa" w:w="160"/>
            </w:tcMar>
          </w:tcPr>
          <w:p>
            <w:r>
              <w:rPr>
                <w:rFonts w:ascii="Arial" w:cs="Arial" w:eastAsia="Arial" w:hAnsi="Arial"/>
                <w:b/>
                <w:bCs/>
                <w:color w:val="FFFFFF"/>
                <w:sz w:val="20"/>
                <w:szCs w:val="20"/>
              </w:rPr>
              <w:t xml:space="preserve">Perfil de cliente</w:t>
            </w:r>
          </w:p>
        </w:tc>
      </w:tr>
      <w:tr>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Setup único</w:t>
            </w:r>
          </w:p>
        </w:tc>
        <w:tc>
          <w:tcPr>
            <w:tcW w:type="dxa" w:w="21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USD 2,000–5,000</w:t>
            </w:r>
          </w:p>
        </w:tc>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Implementación + integración + capacitación</w:t>
            </w:r>
          </w:p>
        </w:tc>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Empresa con dolor inmediato y presupuesto</w:t>
            </w:r>
          </w:p>
        </w:tc>
      </w:tr>
      <w:tr>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Retainer Starter</w:t>
            </w:r>
          </w:p>
        </w:tc>
        <w:tc>
          <w:tcPr>
            <w:tcW w:type="dxa" w:w="216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USD 150/mes</w:t>
            </w:r>
          </w:p>
        </w:tc>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Consultas ilimitadas + actualización de bases</w:t>
            </w:r>
          </w:p>
        </w:tc>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PyME ≣50 proveedores activos</w:t>
            </w:r>
          </w:p>
        </w:tc>
      </w:tr>
      <w:tr>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Retainer Pro</w:t>
            </w:r>
          </w:p>
        </w:tc>
        <w:tc>
          <w:tcPr>
            <w:tcW w:type="dxa" w:w="21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USD 350/mes</w:t>
            </w:r>
          </w:p>
        </w:tc>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Starter + agente de alertas + reporte mensual</w:t>
            </w:r>
          </w:p>
        </w:tc>
        <w:tc>
          <w:tcPr>
            <w:tcW w:type="dxa" w:w="240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0"/>
                <w:szCs w:val="20"/>
              </w:rPr>
              <w:t xml:space="preserve">Agencia de carga o e-commerce ≥100 proveedores</w:t>
            </w:r>
          </w:p>
        </w:tc>
      </w:tr>
      <w:tr>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Enterprise / API</w:t>
            </w:r>
          </w:p>
        </w:tc>
        <w:tc>
          <w:tcPr>
            <w:tcW w:type="dxa" w:w="216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A convenir</w:t>
            </w:r>
          </w:p>
        </w:tc>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Acceso API + SLA + soporte prioritario</w:t>
            </w:r>
          </w:p>
        </w:tc>
        <w:tc>
          <w:tcPr>
            <w:tcW w:type="dxa" w:w="2400"/>
            <w:tcBorders>
              <w:top w:val="single" w:color="C5D8EC" w:sz="1"/>
              <w:left w:val="single" w:color="C5D8EC" w:sz="1"/>
              <w:bottom w:val="single" w:color="C5D8EC" w:sz="1"/>
              <w:right w:val="single" w:color="C5D8EC" w:sz="1"/>
            </w:tcBorders>
            <w:shd w:fill="F4F8FC" w:val="clear"/>
            <w:tcMar>
              <w:top w:type="dxa" w:w="100"/>
              <w:left w:type="dxa" w:w="160"/>
              <w:bottom w:type="dxa" w:w="100"/>
              <w:right w:type="dxa" w:w="160"/>
            </w:tcMar>
          </w:tcPr>
          <w:p>
            <w:r>
              <w:rPr>
                <w:rFonts w:ascii="Arial" w:cs="Arial" w:eastAsia="Arial" w:hAnsi="Arial"/>
                <w:color w:val="1F2937"/>
                <w:sz w:val="20"/>
                <w:szCs w:val="20"/>
              </w:rPr>
              <w:t xml:space="preserve">Firma contable o ERP que revende el servicio</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4.3 Métricas de Éxito (Fase MVP)</w:t>
      </w:r>
    </w:p>
    <w:p>
      <w:pPr>
        <w:pStyle w:val="ListParagraph"/>
        <w:numPr>
          <w:ilvl w:val="0"/>
          <w:numId w:val="2"/>
        </w:numPr>
        <w:spacing w:before="60" w:after="60"/>
      </w:pPr>
      <w:r>
        <w:rPr>
          <w:rFonts w:ascii="Arial" w:cs="Arial" w:eastAsia="Arial" w:hAnsi="Arial"/>
          <w:color w:val="1F2937"/>
          <w:sz w:val="22"/>
          <w:szCs w:val="22"/>
        </w:rPr>
        <w:t xml:space="preserve">Al menos 3 clientes piloto activos dentro de los primeros 60 días post-lanzamiento.</w:t>
      </w:r>
    </w:p>
    <w:p>
      <w:pPr>
        <w:pStyle w:val="ListParagraph"/>
        <w:numPr>
          <w:ilvl w:val="0"/>
          <w:numId w:val="2"/>
        </w:numPr>
        <w:spacing w:before="60" w:after="60"/>
      </w:pPr>
      <w:r>
        <w:rPr>
          <w:rFonts w:ascii="Arial" w:cs="Arial" w:eastAsia="Arial" w:hAnsi="Arial"/>
          <w:color w:val="1F2937"/>
          <w:sz w:val="22"/>
          <w:szCs w:val="22"/>
        </w:rPr>
        <w:t xml:space="preserve">Tasa de falsos negativos &lt; 0.1% (NITs en lista DIAN que el sistema no detecte).</w:t>
      </w:r>
    </w:p>
    <w:p>
      <w:pPr>
        <w:pStyle w:val="ListParagraph"/>
        <w:numPr>
          <w:ilvl w:val="0"/>
          <w:numId w:val="2"/>
        </w:numPr>
        <w:spacing w:before="60" w:after="60"/>
      </w:pPr>
      <w:r>
        <w:rPr>
          <w:rFonts w:ascii="Arial" w:cs="Arial" w:eastAsia="Arial" w:hAnsi="Arial"/>
          <w:color w:val="1F2937"/>
          <w:sz w:val="22"/>
          <w:szCs w:val="22"/>
        </w:rPr>
        <w:t xml:space="preserve">Tiempo de procesamiento de un lote de 1,000 NITs &lt; 30 segundos.</w:t>
      </w:r>
    </w:p>
    <w:p>
      <w:pPr>
        <w:pStyle w:val="ListParagraph"/>
        <w:numPr>
          <w:ilvl w:val="0"/>
          <w:numId w:val="2"/>
        </w:numPr>
        <w:spacing w:before="60" w:after="60"/>
      </w:pPr>
      <w:r>
        <w:rPr>
          <w:rFonts w:ascii="Arial" w:cs="Arial" w:eastAsia="Arial" w:hAnsi="Arial"/>
          <w:color w:val="1F2937"/>
          <w:sz w:val="22"/>
          <w:szCs w:val="22"/>
        </w:rPr>
        <w:t xml:space="preserve">NPS del piloto ≥ 7/10.</w:t>
      </w:r>
    </w:p>
    <w:p>
      <w:pPr>
        <w:spacing w:before="300" w:after="0"/>
      </w:pPr>
      <w:r>
        <w:t xml:space="preserve"/>
      </w:r>
    </w:p>
    <w:p>
      <w:r>
        <w:br w:type="page"/>
      </w:r>
    </w:p>
    <w:p>
      <w:pPr>
        <w:pStyle w:val="Heading1"/>
        <w:pBdr>
          <w:bottom w:val="single" w:color="1A3C5E" w:sz="8" w:space="4"/>
        </w:pBdr>
        <w:spacing w:before="400" w:after="160"/>
      </w:pPr>
      <w:r>
        <w:rPr>
          <w:rFonts w:ascii="Arial" w:cs="Arial" w:eastAsia="Arial" w:hAnsi="Arial"/>
          <w:b/>
          <w:bCs/>
          <w:color w:val="1A3C5E"/>
          <w:sz w:val="32"/>
          <w:szCs w:val="32"/>
        </w:rPr>
        <w:t xml:space="preserve">Apéndice: Glosario Técnico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NIT</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Número de Identificación Tributaria — identificador único de personas jurídicas en Colombia (9 dígitos + dígito verificador)</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Proveedor Ficticio</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Empresa clasificada por la DIAN como inexistente o simulada; las operaciones con ella no producen efectos fiscales</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BDME</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Boletín de Deudores Morosos del Estado — lista pública de entidades con deudas en mora con el Estado colombiano</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Facturador Electrónico</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Empresa habilitada por la DIAN para emitir facturas electrónicas válidas; verificable vía API oficial</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IVA Descontable</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IVA pagado a proveedores que una empresa puede descontar de su IVA generado; se pierde si el proveedor es ficticio</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Vibe Coding</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Método de desarrollo acelerado donde el desarrollador dirige la construcción mediante prompts y revisa el código generado por IA</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Agentic Workflow</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Sistema de IA que razona, decide y ejecuta tareas de forma autónoma dentro de un flujo definido (ej: leer PDF → extraer NIT → alertar)</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n8n</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Plataforma open-source de orquestación de flujos de trabajo con soporte nativo para nodos de IA y automatización de procesos</w:t>
            </w:r>
          </w:p>
        </w:tc>
      </w:tr>
      <w:tr>
        <w:tc>
          <w:tcPr>
            <w:tcW w:type="dxa" w:w="2800"/>
            <w:tcBorders>
              <w:top w:val="single" w:color="C5D8EC" w:sz="1"/>
              <w:left w:val="single" w:color="C5D8EC" w:sz="1"/>
              <w:bottom w:val="single" w:color="C5D8EC" w:sz="1"/>
              <w:right w:val="single" w:color="C5D8EC" w:sz="1"/>
            </w:tcBorders>
            <w:shd w:fill="EBF2FA" w:val="clear"/>
            <w:tcMar>
              <w:top w:type="dxa" w:w="100"/>
              <w:left w:type="dxa" w:w="160"/>
              <w:bottom w:type="dxa" w:w="100"/>
              <w:right w:type="dxa" w:w="160"/>
            </w:tcMar>
          </w:tcPr>
          <w:p>
            <w:r>
              <w:rPr>
                <w:rFonts w:ascii="Arial" w:cs="Arial" w:eastAsia="Arial" w:hAnsi="Arial"/>
                <w:b/>
                <w:bCs/>
                <w:color w:val="1A3C5E"/>
                <w:sz w:val="20"/>
                <w:szCs w:val="20"/>
              </w:rPr>
              <w:t xml:space="preserve">Rate Limiting</w:t>
            </w:r>
          </w:p>
        </w:tc>
        <w:tc>
          <w:tcPr>
            <w:tcW w:type="dxa" w:w="6560"/>
            <w:tcBorders>
              <w:top w:val="single" w:color="C5D8EC" w:sz="1"/>
              <w:left w:val="single" w:color="C5D8EC" w:sz="1"/>
              <w:bottom w:val="single" w:color="C5D8EC" w:sz="1"/>
              <w:right w:val="single" w:color="C5D8EC" w:sz="1"/>
            </w:tcBorders>
            <w:shd w:fill="FFFFFF" w:val="clear"/>
            <w:tcMar>
              <w:top w:type="dxa" w:w="100"/>
              <w:left w:type="dxa" w:w="160"/>
              <w:bottom w:type="dxa" w:w="100"/>
              <w:right w:type="dxa" w:w="160"/>
            </w:tcMar>
          </w:tcPr>
          <w:p>
            <w:r>
              <w:rPr>
                <w:rFonts w:ascii="Arial" w:cs="Arial" w:eastAsia="Arial" w:hAnsi="Arial"/>
                <w:color w:val="1F2937"/>
                <w:sz w:val="21"/>
                <w:szCs w:val="21"/>
              </w:rPr>
              <w:t xml:space="preserve">Control del número máximo de solicitudes por unidad de tiempo a una API externa; evita bloqueos y sobrecargas</w:t>
            </w:r>
          </w:p>
        </w:tc>
      </w:tr>
      <w:tr>
        <w:tc>
          <w:tcPr>
            <w:tcW w:type="dxa" w:w="2800"/>
            <w:tcBorders>
              <w:top w:val="single" w:color="C5D8EC" w:sz="1"/>
              <w:left w:val="single" w:color="C5D8EC" w:sz="1"/>
              <w:bottom w:val="single" w:color="C5D8EC" w:sz="1"/>
              <w:right w:val="single" w:color="C5D8EC" w:sz="1"/>
            </w:tcBorders>
            <w:shd w:fill="F7FAFD" w:val="clear"/>
            <w:tcMar>
              <w:top w:type="dxa" w:w="100"/>
              <w:left w:type="dxa" w:w="160"/>
              <w:bottom w:type="dxa" w:w="100"/>
              <w:right w:type="dxa" w:w="160"/>
            </w:tcMar>
          </w:tcPr>
          <w:p>
            <w:r>
              <w:rPr>
                <w:rFonts w:ascii="Arial" w:cs="Arial" w:eastAsia="Arial" w:hAnsi="Arial"/>
                <w:b/>
                <w:bCs/>
                <w:color w:val="1A3C5E"/>
                <w:sz w:val="20"/>
                <w:szCs w:val="20"/>
              </w:rPr>
              <w:t xml:space="preserve">RLS</w:t>
            </w:r>
          </w:p>
        </w:tc>
        <w:tc>
          <w:tcPr>
            <w:tcW w:type="dxa" w:w="6560"/>
            <w:tcBorders>
              <w:top w:val="single" w:color="C5D8EC" w:sz="1"/>
              <w:left w:val="single" w:color="C5D8EC" w:sz="1"/>
              <w:bottom w:val="single" w:color="C5D8EC" w:sz="1"/>
              <w:right w:val="single" w:color="C5D8EC" w:sz="1"/>
            </w:tcBorders>
            <w:shd w:fill="FAFCFF" w:val="clear"/>
            <w:tcMar>
              <w:top w:type="dxa" w:w="100"/>
              <w:left w:type="dxa" w:w="160"/>
              <w:bottom w:type="dxa" w:w="100"/>
              <w:right w:type="dxa" w:w="160"/>
            </w:tcMar>
          </w:tcPr>
          <w:p>
            <w:r>
              <w:rPr>
                <w:rFonts w:ascii="Arial" w:cs="Arial" w:eastAsia="Arial" w:hAnsi="Arial"/>
                <w:color w:val="1F2937"/>
                <w:sz w:val="21"/>
                <w:szCs w:val="21"/>
              </w:rPr>
              <w:t xml:space="preserve">Row Level Security — mecanismo de bases de datos que restringe el acceso a filas específicas según el usuario autenticado</w:t>
            </w:r>
          </w:p>
        </w:tc>
      </w:tr>
    </w:tbl>
    <w:p>
      <w:pPr>
        <w:spacing w:before="200" w:after="0"/>
      </w:pPr>
      <w:r>
        <w:t xml:space="preserve"/>
      </w:r>
    </w:p>
    <w:p>
      <w:pPr>
        <w:spacing w:before="80" w:after="80"/>
      </w:pPr>
      <w:r>
        <w:rPr>
          <w:rFonts w:ascii="Arial" w:cs="Arial" w:eastAsia="Arial" w:hAnsi="Arial"/>
          <w:b w:val="false"/>
          <w:bCs w:val="false"/>
          <w:i/>
          <w:iCs/>
          <w:color w:val="6B7280"/>
          <w:sz w:val="22"/>
          <w:szCs w:val="22"/>
        </w:rPr>
        <w:t xml:space="preserve">Documento generado: Marzo 2026 · Versión 1.0 · Confidencial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4" w:space="4"/>
      </w:pBdr>
      <w:tabs>
        <w:tab w:val="right" w:pos="9360"/>
      </w:tabs>
      <w:spacing w:before="80"/>
    </w:pPr>
    <w:r>
      <w:rPr>
        <w:rFonts w:ascii="Arial" w:cs="Arial" w:eastAsia="Arial" w:hAnsi="Arial"/>
        <w:color w:val="6B7280"/>
        <w:sz w:val="16"/>
        <w:szCs w:val="16"/>
      </w:rPr>
      <w:t xml:space="preserve">Confidencial · Uso interno</w:t>
    </w:r>
    <w:r>
      <w:rPr>
        <w:rFonts w:ascii="Arial" w:cs="Arial" w:eastAsia="Arial" w:hAnsi="Arial"/>
        <w:color w:val="6B7280"/>
        <w:sz w:val="16"/>
        <w:szCs w:val="16"/>
      </w:rPr>
      <w:t xml:space="preserve">	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4"/>
      </w:pBdr>
      <w:spacing w:before="0" w:after="100"/>
    </w:pPr>
    <w:r>
      <w:rPr>
        <w:rFonts w:ascii="Arial" w:cs="Arial" w:eastAsia="Arial" w:hAnsi="Arial"/>
        <w:b/>
        <w:bCs/>
        <w:color w:val="1A3C5E"/>
        <w:sz w:val="18"/>
        <w:szCs w:val="18"/>
      </w:rPr>
      <w:t xml:space="preserve">PDR — Auditor de Terceros y Cumplimiento DIAN</w:t>
    </w:r>
    <w:r>
      <w:rPr>
        <w:rFonts w:ascii="Arial" w:cs="Arial" w:eastAsia="Arial" w:hAnsi="Arial"/>
        <w:color w:val="6B7280"/>
        <w:sz w:val="18"/>
        <w:szCs w:val="18"/>
      </w:rPr>
      <w:t xml:space="preserve">     |     Micro-SaaS B2B ·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3C5E"/>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C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2026-03-11T01:31:32.614Z</dcterms:created>
  <dcterms:modified xsi:type="dcterms:W3CDTF">2026-03-11T01:31:32.614Z</dcterms:modified>
</cp:coreProperties>
</file>

<file path=docProps/custom.xml><?xml version="1.0" encoding="utf-8"?>
<Properties xmlns="http://schemas.openxmlformats.org/officeDocument/2006/custom-properties" xmlns:vt="http://schemas.openxmlformats.org/officeDocument/2006/docPropsVTypes"/>
</file>