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655"/>
          <w:sz w:val="26"/>
        </w:rPr>
        <w:t>UNIVERSIDAD AUTÓNOMA DE YUCATÁN</w:t>
        <w:br/>
        <w:t>FACULTAD DE MATEMÁTICAS / INGENIERÍA DE SOFTWARE</w:t>
        <w:br/>
        <w:br/>
      </w:r>
      <w:r>
        <w:rPr>
          <w:b/>
          <w:color w:val="19322F"/>
          <w:sz w:val="32"/>
        </w:rPr>
        <w:t>DOCUMENTACIÓN OFICIAL DEL PROYECTO DE BASE DE DATOS</w:t>
        <w:br/>
      </w:r>
      <w:r>
        <w:rPr>
          <w:b/>
          <w:color w:val="006655"/>
          <w:sz w:val="24"/>
        </w:rPr>
        <w:t>PLATAFORMA INMOBILIARIA DE LUJO: LUXU REAL ESTATE</w:t>
        <w:br/>
      </w:r>
      <w:r>
        <w:rPr>
          <w:sz w:val="21"/>
        </w:rPr>
        <w:br/>
        <w:br/>
        <w:t>Curso: Proyecto de Base de Datos / Gestión de Bases de Datos</w:t>
        <w:br/>
        <w:t>Estudiante: Santiago Asahel Pech</w:t>
        <w:br/>
        <w:t>Profesor Evaluador: Comité Académico de Bases de Datos</w:t>
        <w:br/>
        <w:t>Tecnologías: Next.js 16, React 19, PostgreSQL (Supabase), MongoDB Atlas (10,000 Registros), Redis</w:t>
        <w:br/>
        <w:t>Fecha de Entrega: Julio 2026</w:t>
        <w:br/>
        <w:br/>
      </w:r>
    </w:p>
    <w:p>
      <w:pPr>
        <w:spacing w:before="280" w:after="80"/>
      </w:pPr>
      <w:r>
        <w:rPr>
          <w:b/>
          <w:color w:val="006655"/>
          <w:sz w:val="28"/>
        </w:rPr>
        <w:t>DESARROLLO DEL PROYECTO (96 PUNTOS)</w:t>
      </w:r>
    </w:p>
    <w:p>
      <w:pPr>
        <w:spacing w:before="200" w:after="60"/>
      </w:pPr>
      <w:r>
        <w:rPr>
          <w:b/>
          <w:color w:val="19322F"/>
          <w:sz w:val="24"/>
        </w:rPr>
        <w:t>1. Descripción del Problema (3 pts.)</w:t>
      </w:r>
    </w:p>
    <w:p>
      <w:pPr>
        <w:spacing w:after="120"/>
      </w:pPr>
      <w:r>
        <w:rPr>
          <w:sz w:val="21"/>
        </w:rPr>
        <w:t>El sector inmobiliario de alta gama requiere un manejo riguroso y de alto rendimiento de la información. Tradicionalmente, la gestión de inmuebles de lujo sufre de serios cuellos de botella: desorganización de datos, consultas lentas bajo filtros estrictos, falta de escalabilidad analítica y control de acceso deficiente. La plataforma Luxu Real Estate resuelve estas deficiencias implementando una arquitectura de base de datos híbrida (PostgreSQL para transacciones ACID normalizadas en 3FN, MongoDB Atlas para analítica de 10,000 documentos NoSQL, y Redis).</w:t>
      </w:r>
    </w:p>
    <w:p>
      <w:pPr>
        <w:spacing w:before="200" w:after="60"/>
      </w:pPr>
      <w:r>
        <w:rPr>
          <w:b/>
          <w:color w:val="19322F"/>
          <w:sz w:val="24"/>
        </w:rPr>
        <w:t>2. Alcance del Proyecto (4 pts.)</w:t>
      </w:r>
    </w:p>
    <w:p>
      <w:pPr>
        <w:spacing w:after="120"/>
      </w:pPr>
      <w:r>
        <w:rPr>
          <w:sz w:val="21"/>
        </w:rPr>
        <w:t>El sistema abarca operaciones CRUD completas sobre las entidades principales: Propiedades, Usuarios, Favoritos y Citas de Visitas Guiadas. Adicionalmente, ofrece módulos de Control de Acceso por Roles (RBAC) y Diagnóstico de BD.</w:t>
      </w:r>
    </w:p>
    <w:p>
      <w:pPr>
        <w:spacing w:before="200" w:after="60"/>
      </w:pPr>
      <w:r>
        <w:rPr>
          <w:b/>
          <w:color w:val="19322F"/>
          <w:sz w:val="24"/>
        </w:rPr>
        <w:t>3. Modelo de Base de Datos Relacional y Normalización (1FN, 2FN, 3FN) (5 pts.)</w:t>
      </w:r>
    </w:p>
    <w:p>
      <w:pPr>
        <w:spacing w:after="120"/>
      </w:pPr>
      <w:r>
        <w:rPr>
          <w:sz w:val="21"/>
        </w:rPr>
        <w:t>Se aplicó el proceso de normalización paso a paso desde el estado no normalizado (UNF) hasta la Tercera Forma Normal (3FN), eliminando grupos repetitivos, dependencias parciales y dependencias transitivas. Las tablas finales en 3FN son: profiles, properties, user_favorites, y appointments.</w:t>
      </w:r>
    </w:p>
    <w:p>
      <w:pPr>
        <w:spacing w:before="200" w:after="60"/>
      </w:pPr>
      <w:r>
        <w:rPr>
          <w:b/>
          <w:color w:val="19322F"/>
          <w:sz w:val="24"/>
        </w:rPr>
        <w:t>4. Modelo No Relacional MongoDB Atlas (10,000 Registros) (10 pts.)</w:t>
      </w:r>
    </w:p>
    <w:p>
      <w:pPr>
        <w:spacing w:after="120"/>
      </w:pPr>
      <w:r>
        <w:rPr>
          <w:sz w:val="21"/>
        </w:rPr>
        <w:t>Se diseñó una colección NoSQL en MongoDB Atlas llamada 'properties_nosql' que almacena 10,000 documentos BSON con esquemas flexibles para analítica masiva, arreglos dinámicos de amenidades e índices geoespaciales (2DSphere).</w:t>
      </w:r>
    </w:p>
    <w:p>
      <w:pPr>
        <w:spacing w:before="200" w:after="60"/>
      </w:pPr>
      <w:r>
        <w:rPr>
          <w:b/>
          <w:color w:val="19322F"/>
          <w:sz w:val="24"/>
        </w:rPr>
        <w:t>5. Manejo de Restricciones (5 pts.)</w:t>
      </w:r>
    </w:p>
    <w:p>
      <w:pPr>
        <w:spacing w:after="120"/>
      </w:pPr>
      <w:r>
        <w:rPr>
          <w:sz w:val="21"/>
        </w:rPr>
        <w:t>Se implementan las 6 restricciones de integridad fundamentales: PRIMARY KEY (gen_random_uuid), FOREIGN KEY (ON DELETE SET NULL), UNIQUE (slug, email), NOT NULL (title, price), CHECK (price &gt;= 0), y DEFAULT.</w:t>
      </w:r>
    </w:p>
    <w:p>
      <w:pPr>
        <w:spacing w:before="200" w:after="60"/>
      </w:pPr>
      <w:r>
        <w:rPr>
          <w:b/>
          <w:color w:val="19322F"/>
          <w:sz w:val="24"/>
        </w:rPr>
        <w:t>6. Diccionario de Datos y Objetos de la BD (10 pts.)</w:t>
      </w:r>
    </w:p>
    <w:p>
      <w:pPr>
        <w:spacing w:after="120"/>
      </w:pPr>
      <w:r>
        <w:rPr>
          <w:sz w:val="21"/>
        </w:rPr>
        <w:t>Se registraron los objetos de base de datos relacional y NoSQL incluyendo Tablas Base (properties, profiles), Vistas (vw_active_properties), Disparadores (trg_update_timestamp), Funciones y Procedimientos Almacenados.</w:t>
      </w:r>
    </w:p>
    <w:p>
      <w:pPr>
        <w:spacing w:before="280" w:after="80"/>
      </w:pPr>
      <w:r>
        <w:rPr>
          <w:b/>
          <w:color w:val="006655"/>
          <w:sz w:val="28"/>
        </w:rPr>
        <w:t>EVIDENCIAS DE MÓDULOS Y BASES DE DATOS DE SUPABASE &amp; MONGODB</w:t>
      </w:r>
    </w:p>
    <w:p>
      <w:pPr>
        <w:spacing w:before="200" w:after="60"/>
      </w:pPr>
      <w:r>
        <w:rPr>
          <w:b/>
          <w:color w:val="006655"/>
          <w:sz w:val="22"/>
        </w:rPr>
        <w:t>Figura 1. Módulo Panel de Control (/admin/properties)</w:t>
      </w:r>
    </w:p>
    <w:p>
      <w:pPr>
        <w:spacing w:after="20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ev_panel_control.png"/>
                    <pic:cNvPicPr/>
                  </pic:nvPicPr>
                  <pic:blipFill>
                    <a:blip r:embed="rId9"/>
                    <a:stretch>
                      <a:fillRect/>
                    </a:stretch>
                  </pic:blipFill>
                  <pic:spPr>
                    <a:xfrm>
                      <a:off x="0" y="0"/>
                      <a:ext cx="5669280" cy="3543300"/>
                    </a:xfrm>
                    <a:prstGeom prst="rect"/>
                  </pic:spPr>
                </pic:pic>
              </a:graphicData>
            </a:graphic>
          </wp:inline>
        </w:drawing>
      </w:r>
    </w:p>
    <w:p>
      <w:pPr>
        <w:spacing w:before="200" w:after="60"/>
      </w:pPr>
      <w:r>
        <w:rPr>
          <w:b/>
          <w:color w:val="006655"/>
          <w:sz w:val="22"/>
        </w:rPr>
        <w:t>Figura 2. Módulo Vender / Formulario de Agregar Propiedad (/admin/properties/add)</w:t>
      </w:r>
    </w:p>
    <w:p>
      <w:pPr>
        <w:spacing w:after="20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ev_vender.png"/>
                    <pic:cNvPicPr/>
                  </pic:nvPicPr>
                  <pic:blipFill>
                    <a:blip r:embed="rId10"/>
                    <a:stretch>
                      <a:fillRect/>
                    </a:stretch>
                  </pic:blipFill>
                  <pic:spPr>
                    <a:xfrm>
                      <a:off x="0" y="0"/>
                      <a:ext cx="5669280" cy="3543300"/>
                    </a:xfrm>
                    <a:prstGeom prst="rect"/>
                  </pic:spPr>
                </pic:pic>
              </a:graphicData>
            </a:graphic>
          </wp:inline>
        </w:drawing>
      </w:r>
    </w:p>
    <w:p>
      <w:pPr>
        <w:spacing w:before="200" w:after="60"/>
      </w:pPr>
      <w:r>
        <w:rPr>
          <w:b/>
          <w:color w:val="006655"/>
          <w:sz w:val="22"/>
        </w:rPr>
        <w:t>Figura 3. Directorio de Usuarios y Asignación de Roles (/admin/users)</w:t>
      </w:r>
    </w:p>
    <w:p>
      <w:pPr>
        <w:spacing w:after="20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ev_usuarios.png"/>
                    <pic:cNvPicPr/>
                  </pic:nvPicPr>
                  <pic:blipFill>
                    <a:blip r:embed="rId11"/>
                    <a:stretch>
                      <a:fillRect/>
                    </a:stretch>
                  </pic:blipFill>
                  <pic:spPr>
                    <a:xfrm>
                      <a:off x="0" y="0"/>
                      <a:ext cx="5669280" cy="3543300"/>
                    </a:xfrm>
                    <a:prstGeom prst="rect"/>
                  </pic:spPr>
                </pic:pic>
              </a:graphicData>
            </a:graphic>
          </wp:inline>
        </w:drawing>
      </w:r>
    </w:p>
    <w:p>
      <w:pPr>
        <w:spacing w:before="200" w:after="60"/>
      </w:pPr>
      <w:r>
        <w:rPr>
          <w:b/>
          <w:color w:val="006655"/>
          <w:sz w:val="22"/>
        </w:rPr>
        <w:t>Figura 4. Catálogo de Comprar (/properties?type=buy)</w:t>
      </w:r>
    </w:p>
    <w:p>
      <w:pPr>
        <w:spacing w:after="20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ev_comprar.png"/>
                    <pic:cNvPicPr/>
                  </pic:nvPicPr>
                  <pic:blipFill>
                    <a:blip r:embed="rId12"/>
                    <a:stretch>
                      <a:fillRect/>
                    </a:stretch>
                  </pic:blipFill>
                  <pic:spPr>
                    <a:xfrm>
                      <a:off x="0" y="0"/>
                      <a:ext cx="5669280" cy="3543300"/>
                    </a:xfrm>
                    <a:prstGeom prst="rect"/>
                  </pic:spPr>
                </pic:pic>
              </a:graphicData>
            </a:graphic>
          </wp:inline>
        </w:drawing>
      </w:r>
    </w:p>
    <w:p>
      <w:pPr>
        <w:spacing w:before="200" w:after="60"/>
      </w:pPr>
      <w:r>
        <w:rPr>
          <w:b/>
          <w:color w:val="006655"/>
          <w:sz w:val="22"/>
        </w:rPr>
        <w:t>Figura 5. Catálogo de Rentar (/properties?type=rent)</w:t>
      </w:r>
    </w:p>
    <w:p>
      <w:pPr>
        <w:spacing w:after="20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ev_rentar.png"/>
                    <pic:cNvPicPr/>
                  </pic:nvPicPr>
                  <pic:blipFill>
                    <a:blip r:embed="rId13"/>
                    <a:stretch>
                      <a:fillRect/>
                    </a:stretch>
                  </pic:blipFill>
                  <pic:spPr>
                    <a:xfrm>
                      <a:off x="0" y="0"/>
                      <a:ext cx="5669280" cy="3543300"/>
                    </a:xfrm>
                    <a:prstGeom prst="rect"/>
                  </pic:spPr>
                </pic:pic>
              </a:graphicData>
            </a:graphic>
          </wp:inline>
        </w:drawing>
      </w:r>
    </w:p>
    <w:p>
      <w:pPr>
        <w:spacing w:before="200" w:after="60"/>
      </w:pPr>
      <w:r>
        <w:rPr>
          <w:b/>
          <w:color w:val="006655"/>
          <w:sz w:val="22"/>
        </w:rPr>
        <w:t>Figura 6. Módulo de Propiedades Favoritas (/favorites)</w:t>
      </w:r>
    </w:p>
    <w:p>
      <w:pPr>
        <w:spacing w:after="20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ev_favoritas.png"/>
                    <pic:cNvPicPr/>
                  </pic:nvPicPr>
                  <pic:blipFill>
                    <a:blip r:embed="rId14"/>
                    <a:stretch>
                      <a:fillRect/>
                    </a:stretch>
                  </pic:blipFill>
                  <pic:spPr>
                    <a:xfrm>
                      <a:off x="0" y="0"/>
                      <a:ext cx="5669280" cy="3543300"/>
                    </a:xfrm>
                    <a:prstGeom prst="rect"/>
                  </pic:spPr>
                </pic:pic>
              </a:graphicData>
            </a:graphic>
          </wp:inline>
        </w:drawing>
      </w:r>
    </w:p>
    <w:p>
      <w:pPr>
        <w:spacing w:before="200" w:after="60"/>
      </w:pPr>
      <w:r>
        <w:rPr>
          <w:b/>
          <w:color w:val="006655"/>
          <w:sz w:val="22"/>
        </w:rPr>
        <w:t>Figura 7. Perfil de Usuario e Historial (/profile)</w:t>
      </w:r>
    </w:p>
    <w:p>
      <w:pPr>
        <w:spacing w:after="20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ev_perfil.png"/>
                    <pic:cNvPicPr/>
                  </pic:nvPicPr>
                  <pic:blipFill>
                    <a:blip r:embed="rId15"/>
                    <a:stretch>
                      <a:fillRect/>
                    </a:stretch>
                  </pic:blipFill>
                  <pic:spPr>
                    <a:xfrm>
                      <a:off x="0" y="0"/>
                      <a:ext cx="5669280" cy="3543300"/>
                    </a:xfrm>
                    <a:prstGeom prst="rect"/>
                  </pic:spPr>
                </pic:pic>
              </a:graphicData>
            </a:graphic>
          </wp:inline>
        </w:drawing>
      </w:r>
    </w:p>
    <w:p>
      <w:pPr>
        <w:spacing w:before="200" w:after="60"/>
      </w:pPr>
      <w:r>
        <w:rPr>
          <w:b/>
          <w:color w:val="006655"/>
          <w:sz w:val="22"/>
        </w:rPr>
        <w:t>Figura 8. Módulo de Agendar Visita Presencial (/schedule-visit)</w:t>
      </w:r>
    </w:p>
    <w:p>
      <w:pPr>
        <w:spacing w:after="20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ev_agendar_visita.png"/>
                    <pic:cNvPicPr/>
                  </pic:nvPicPr>
                  <pic:blipFill>
                    <a:blip r:embed="rId16"/>
                    <a:stretch>
                      <a:fillRect/>
                    </a:stretch>
                  </pic:blipFill>
                  <pic:spPr>
                    <a:xfrm>
                      <a:off x="0" y="0"/>
                      <a:ext cx="5669280" cy="3543300"/>
                    </a:xfrm>
                    <a:prstGeom prst="rect"/>
                  </pic:spPr>
                </pic:pic>
              </a:graphicData>
            </a:graphic>
          </wp:inline>
        </w:drawing>
      </w:r>
    </w:p>
    <w:p>
      <w:pPr>
        <w:spacing w:before="200" w:after="60"/>
      </w:pPr>
      <w:r>
        <w:rPr>
          <w:b/>
          <w:color w:val="006655"/>
          <w:sz w:val="22"/>
        </w:rPr>
        <w:t>Figura 9. Tablas Relacionales en Supabase / PostgreSQL (3FN)</w:t>
      </w:r>
    </w:p>
    <w:p>
      <w:pPr>
        <w:spacing w:after="200"/>
        <w:jc w:val="center"/>
      </w:pPr>
      <w:r>
        <w:drawing>
          <wp:inline xmlns:a="http://schemas.openxmlformats.org/drawingml/2006/main" xmlns:pic="http://schemas.openxmlformats.org/drawingml/2006/picture">
            <wp:extent cx="5669280" cy="3442063"/>
            <wp:docPr id="9" name="Picture 9"/>
            <wp:cNvGraphicFramePr>
              <a:graphicFrameLocks noChangeAspect="1"/>
            </wp:cNvGraphicFramePr>
            <a:graphic>
              <a:graphicData uri="http://schemas.openxmlformats.org/drawingml/2006/picture">
                <pic:pic>
                  <pic:nvPicPr>
                    <pic:cNvPr id="0" name="cap_supabase_tables.png"/>
                    <pic:cNvPicPr/>
                  </pic:nvPicPr>
                  <pic:blipFill>
                    <a:blip r:embed="rId17"/>
                    <a:stretch>
                      <a:fillRect/>
                    </a:stretch>
                  </pic:blipFill>
                  <pic:spPr>
                    <a:xfrm>
                      <a:off x="0" y="0"/>
                      <a:ext cx="5669280" cy="3442063"/>
                    </a:xfrm>
                    <a:prstGeom prst="rect"/>
                  </pic:spPr>
                </pic:pic>
              </a:graphicData>
            </a:graphic>
          </wp:inline>
        </w:drawing>
      </w:r>
    </w:p>
    <w:p>
      <w:pPr>
        <w:spacing w:before="200" w:after="60"/>
      </w:pPr>
      <w:r>
        <w:rPr>
          <w:b/>
          <w:color w:val="006655"/>
          <w:sz w:val="22"/>
        </w:rPr>
        <w:t>Figura 10. Registros de MongoDB Atlas (10,000 Documentos NoSQL)</w:t>
      </w:r>
    </w:p>
    <w:p>
      <w:pPr>
        <w:spacing w:after="20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ev_base_datos.png"/>
                    <pic:cNvPicPr/>
                  </pic:nvPicPr>
                  <pic:blipFill>
                    <a:blip r:embed="rId18"/>
                    <a:stretch>
                      <a:fillRect/>
                    </a:stretch>
                  </pic:blipFill>
                  <pic:spPr>
                    <a:xfrm>
                      <a:off x="0" y="0"/>
                      <a:ext cx="5669280" cy="3543300"/>
                    </a:xfrm>
                    <a:prstGeom prst="rect"/>
                  </pic:spPr>
                </pic:pic>
              </a:graphicData>
            </a:graphic>
          </wp:inline>
        </w:drawing>
      </w:r>
    </w:p>
    <w:p>
      <w:pPr>
        <w:spacing w:before="280" w:after="80"/>
      </w:pPr>
      <w:r>
        <w:rPr>
          <w:b/>
          <w:color w:val="006655"/>
          <w:sz w:val="28"/>
        </w:rPr>
        <w:t>REFERENCIAS (FORMATO APA 7ma Edición) (2 PUNTOS)</w:t>
      </w:r>
    </w:p>
    <w:p>
      <w:pPr>
        <w:spacing w:after="120"/>
      </w:pPr>
      <w:r>
        <w:rPr>
          <w:sz w:val="21"/>
        </w:rPr>
        <w:t>1. Elmasri, R., &amp; Navathe, S. B. (2017). Fundamentos de Sistemas de Bases de Datos (7.ª ed.). Pearson Educación.</w:t>
      </w:r>
    </w:p>
    <w:p>
      <w:pPr>
        <w:spacing w:after="120"/>
      </w:pPr>
      <w:r>
        <w:rPr>
          <w:sz w:val="21"/>
        </w:rPr>
        <w:t>2. Date, C. J. (2004). An Introduction to Database Systems (8.ª ed.). Addison-Wesley.</w:t>
      </w:r>
    </w:p>
    <w:p>
      <w:pPr>
        <w:spacing w:after="120"/>
      </w:pPr>
      <w:r>
        <w:rPr>
          <w:sz w:val="21"/>
        </w:rPr>
        <w:t>3. Silberschatz, A., Korth, H. F., &amp; Sudarshan, S. (2020). Database System Concepts (7.ª ed.). McGraw-Hill Education.</w:t>
      </w:r>
    </w:p>
    <w:p>
      <w:pPr>
        <w:spacing w:after="120"/>
      </w:pPr>
      <w:r>
        <w:rPr>
          <w:sz w:val="21"/>
        </w:rPr>
        <w:t>4. Chodorow, C. (2013). MongoDB: The Definitive Guide (2.ª ed.). O'Reilly Media.</w:t>
      </w:r>
    </w:p>
    <w:p>
      <w:pPr>
        <w:spacing w:after="120"/>
      </w:pPr>
      <w:r>
        <w:rPr>
          <w:sz w:val="21"/>
        </w:rPr>
        <w:t>5. PostgreSQL Global Development Group. (2026). PostgreSQL 16.0 Documentation. https://www.postgresql.org/docs/16/</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