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5.png" ContentType="image/png"/>
  <Override PartName="/word/media/rId18.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Diferencias sociodemográficas, reproductivas y obstétricas entre adolescentes de 10–14 años y de 15–19 años en una población hospitalaria seleccionada por admisión neonatal: estudio transversal retrospectivo</w:t>
      </w:r>
    </w:p>
    <w:p>
      <w:pPr>
        <w:pStyle w:val="Author"/>
      </w:pPr>
      <w:r>
        <w:t xml:space="preserve">Santiago Vasco et al.</w:t>
      </w:r>
    </w:p>
    <w:p>
      <w:pPr>
        <w:pStyle w:val="FirstParagraph"/>
      </w:pPr>
      <w:r>
        <w:rPr>
          <w:b/>
          <w:bCs/>
        </w:rPr>
        <w:t xml:space="preserve">Sociodemographic, reproductive, and obstetric differences between adolescents aged 10–14 years and those aged 15–19 years in a hospital population selected by neonatal admission: a retrospective cross-sectional study</w:t>
      </w:r>
    </w:p>
    <w:p>
      <w:pPr>
        <w:pStyle w:val="BodyText"/>
      </w:pPr>
      <w:r>
        <w:rPr>
          <w:b/>
          <w:bCs/>
        </w:rPr>
        <w:t xml:space="preserve">Adolescentes de 10–14 años frente a adolescentes de 15–19 años: perfil sociodemográfico y obstétrico</w:t>
      </w:r>
    </w:p>
    <w:p>
      <w:pPr>
        <w:pStyle w:val="BodyText"/>
      </w:pPr>
      <w:r>
        <w:t xml:space="preserve">Adolescents aged 10–14 years versus adolescents aged 15–19 years: sociodemographic and obstetric profile</w:t>
      </w:r>
    </w:p>
    <w:bookmarkStart w:id="9" w:name="resumen"/>
    <w:p>
      <w:pPr>
        <w:pStyle w:val="Heading2"/>
      </w:pPr>
      <w:r>
        <w:t xml:space="preserve">Resumen</w:t>
      </w:r>
    </w:p>
    <w:p>
      <w:pPr>
        <w:pStyle w:val="FirstParagraph"/>
      </w:pPr>
      <w:r>
        <w:rPr>
          <w:b/>
          <w:bCs/>
        </w:rPr>
        <w:t xml:space="preserve">Objetivo:</w:t>
      </w:r>
      <w:r>
        <w:t xml:space="preserve"> </w:t>
      </w:r>
      <w:r>
        <w:t xml:space="preserve">Comparar las características sociodemográficas, reproductivas, obstétricas y de atención prenatal entre adolescentes de 10–14 años y adolescentes de 15–19 años cuyos recién nacidos fueron admitidos en Neonatología.</w:t>
      </w:r>
    </w:p>
    <w:p>
      <w:pPr>
        <w:pStyle w:val="BodyText"/>
      </w:pPr>
      <w:r>
        <w:rPr>
          <w:b/>
          <w:bCs/>
        </w:rPr>
        <w:t xml:space="preserve">Métodos:</w:t>
      </w:r>
      <w:r>
        <w:t xml:space="preserve"> </w:t>
      </w:r>
      <w:r>
        <w:t xml:space="preserve">Estudio transversal retrospectivo basado en registros del Sistema de Información Perinatal del Hospital Gineco-Obstétrico Isidro Ayora, Quito, Ecuador, durante enero de 2009–junio de 2024. Se analizaron 7.035 eventos obstétricos maternos desduplicados. Las características binarias, incluido el análisis principal de control prenatal adecuado (sí/no), se evaluaron mediante modelos bayesianos Bernoulli-logit, con estimación posterior de razones de prevalencia marginales. La adecuación ordinal del control prenatal se examinó como análisis secundario. El número de consultas se analizó principalmente mediante regresión binomial negativa, con modelos de Poisson y gaussianos como análisis de sensibilidad.</w:t>
      </w:r>
    </w:p>
    <w:p>
      <w:pPr>
        <w:pStyle w:val="BodyText"/>
      </w:pPr>
      <w:r>
        <w:rPr>
          <w:b/>
          <w:bCs/>
        </w:rPr>
        <w:t xml:space="preserve">Resultados:</w:t>
      </w:r>
      <w:r>
        <w:t xml:space="preserve"> </w:t>
      </w:r>
      <w:r>
        <w:t xml:space="preserve">Se incluyeron 386 eventos obstétricos maternos en adolescentes de 10–14 años y 6.649 en adolescentes de 15–19 años. En el análisis global, en el grupo de 10–14 años fueron menos frecuentes la pareja estable (RP=0,86; ICr95 %: 0,77–0,95) y el embarazo planeado registrado (RP=0,62; ICr95 %: 0,48–0,79), y fue más frecuente la pertenencia étnica minoritaria (RP=1,77; ICr95 %: 1,24–2,44). El rezago escolar ajustado por edad fue más frecuente (RP=2,07; ICr95 %: 1,78–2,41). El control prenatal adecuado fue menos frecuente globalmente (RP=0,87; ICr95 %: 0,78–0,95) y la razón de medias del número de consultas, ajustada por la oportunidad acumulada, fue 0,90 (ICr95 %: 0,86–0,95). Las diferencias en pareja estable, etnia minoritaria y adecuación prenatal no fueron temporalmente uniformes.</w:t>
      </w:r>
    </w:p>
    <w:p>
      <w:pPr>
        <w:pStyle w:val="BodyText"/>
      </w:pPr>
      <w:r>
        <w:rPr>
          <w:b/>
          <w:bCs/>
        </w:rPr>
        <w:t xml:space="preserve">Conclusiones:</w:t>
      </w:r>
      <w:r>
        <w:t xml:space="preserve"> </w:t>
      </w:r>
      <w:r>
        <w:t xml:space="preserve">Las adolescentes de 10–14 años presentaron un perfil sociodemográfico, educativo y asistencial diferente, aunque algunas diferencias variaron entre los subperíodos analizados. Los hallazgos se restringen a la muestra hospitalaria seleccionada por admisión neonatal y no son generalizables a todos los embarazos adolescentes.</w:t>
      </w:r>
    </w:p>
    <w:p>
      <w:pPr>
        <w:pStyle w:val="BodyText"/>
      </w:pPr>
      <w:r>
        <w:rPr>
          <w:b/>
          <w:bCs/>
        </w:rPr>
        <w:t xml:space="preserve">Palabras clave:</w:t>
      </w:r>
      <w:r>
        <w:t xml:space="preserve"> </w:t>
      </w:r>
      <w:r>
        <w:t xml:space="preserve">Embarazo en Adolescencia; Salud Reproductiva; Atención Prenatal; Factores Socioeconómicos; Características de la Población</w:t>
      </w:r>
    </w:p>
    <w:bookmarkEnd w:id="9"/>
    <w:bookmarkStart w:id="10" w:name="abstract"/>
    <w:p>
      <w:pPr>
        <w:pStyle w:val="Heading2"/>
      </w:pPr>
      <w:r>
        <w:t xml:space="preserve">Abstract</w:t>
      </w:r>
    </w:p>
    <w:p>
      <w:pPr>
        <w:pStyle w:val="FirstParagraph"/>
      </w:pPr>
      <w:r>
        <w:rPr>
          <w:b/>
          <w:bCs/>
        </w:rPr>
        <w:t xml:space="preserve">Objective:</w:t>
      </w:r>
      <w:r>
        <w:t xml:space="preserve"> </w:t>
      </w:r>
      <w:r>
        <w:t xml:space="preserve">To compare sociodemographic, reproductive, obstetric, and prenatal care characteristics between adolescents aged 10–14 years and adolescents aged 15–19 years whose newborns were admitted to a neonatal unit.</w:t>
      </w:r>
    </w:p>
    <w:p>
      <w:pPr>
        <w:pStyle w:val="BodyText"/>
      </w:pPr>
      <w:r>
        <w:rPr>
          <w:b/>
          <w:bCs/>
        </w:rPr>
        <w:t xml:space="preserve">Methods:</w:t>
      </w:r>
      <w:r>
        <w:t xml:space="preserve"> </w:t>
      </w:r>
      <w:r>
        <w:t xml:space="preserve">We conducted a retrospective cross-sectional study using records from the Perinatal Information System of Hospital Gineco-Obstétrico Isidro Ayora, Quito, Ecuador, from January 2009 through June 2024. A total of 7,035 deduplicated maternal obstetric events were analyzed. Binary characteristics, including the primary analysis of adequate prenatal care (yes/no), were assessed using Bayesian Bernoulli-logit models with posterior estimation of marginal prevalence ratios. Ordinal prenatal care adequacy was examined as a secondary analysis. The number of prenatal visits was analyzed primarily using negative binomial regression, with Poisson and Gaussian models as sensitivity analyses.</w:t>
      </w:r>
    </w:p>
    <w:p>
      <w:pPr>
        <w:pStyle w:val="BodyText"/>
      </w:pPr>
      <w:r>
        <w:rPr>
          <w:b/>
          <w:bCs/>
        </w:rPr>
        <w:t xml:space="preserve">Results:</w:t>
      </w:r>
      <w:r>
        <w:t xml:space="preserve"> </w:t>
      </w:r>
      <w:r>
        <w:t xml:space="preserve">The study included 386 maternal obstetric events among adolescents aged 10–14 years and 6,649 among adolescents aged 15–19 years. In the overall analysis, stable partnership (PR=0.86; 95% CrI: 0.77–0.95) and recorded planned pregnancy (PR=0.62; 95% CrI: 0.48–0.79) were less frequent in the younger group, whereas minority ethnic identification was more frequent (PR=1.77; 95% CrI: 1.24–2.44). Age-adjusted school delay was also more frequent (PR=2.07; 95% CrI: 1.78–2.41). Adequate prenatal care was less frequent overall (PR=0.87; 95% CrI: 0.78–0.95), and the adjusted mean ratio for the number of visits was 0.90 (95% CrI: 0.86–0.95). Differences in stable partnership, minority ethnic identification, and prenatal care adequacy were not uniform over time.</w:t>
      </w:r>
    </w:p>
    <w:p>
      <w:pPr>
        <w:pStyle w:val="BodyText"/>
      </w:pPr>
      <w:r>
        <w:rPr>
          <w:b/>
          <w:bCs/>
        </w:rPr>
        <w:t xml:space="preserve">Conclusions:</w:t>
      </w:r>
      <w:r>
        <w:t xml:space="preserve"> </w:t>
      </w:r>
      <w:r>
        <w:t xml:space="preserve">Adolescents aged 10–14 years had a different sociodemographic, educational, and healthcare profile, although some differences varied across the subperiods analyzed. The findings are restricted to the hospital sample selected through neonatal admission and cannot be generalized to all adolescent pregnancies.</w:t>
      </w:r>
    </w:p>
    <w:p>
      <w:pPr>
        <w:pStyle w:val="BodyText"/>
      </w:pPr>
      <w:r>
        <w:rPr>
          <w:b/>
          <w:bCs/>
        </w:rPr>
        <w:t xml:space="preserve">Keywords:</w:t>
      </w:r>
      <w:r>
        <w:t xml:space="preserve"> </w:t>
      </w:r>
      <w:r>
        <w:t xml:space="preserve">Pregnancy in Adolescence, Reproductive Health, Prenatal Care, Socioeconomic Factors, Population Characteristics</w:t>
      </w:r>
    </w:p>
    <w:bookmarkEnd w:id="10"/>
    <w:bookmarkStart w:id="21" w:name="introducción"/>
    <w:p>
      <w:pPr>
        <w:pStyle w:val="Heading1"/>
      </w:pPr>
      <w:r>
        <w:t xml:space="preserve">Introducción</w:t>
      </w:r>
    </w:p>
    <w:p>
      <w:pPr>
        <w:pStyle w:val="FirstParagraph"/>
      </w:pPr>
      <w:r>
        <w:t xml:space="preserve">El embarazo en adolescentes constituye un problema persistente de salud pública, asociado con pobreza, desigualdad y riesgos clínicos y psicosociales.(1–4) La Organización Mundial de la Salud (OMS) define la adolescencia como el período comprendido entre los 10 y 19 años. Para identificar posibles diferencias dentro de este intervalo, resulta relevante analizar por separado los grupos de 10–14 años y 15–19 años.(5) Esta distinción es clínicamente relevante, ya que las adolescentes de 10–14 años pueden estar expuestas a mayores desventajas sociales y reproductivas, trayectorias educativas más interrumpidas, menor autonomía reproductiva y mayor exposición a determinantes estructurales adversos, factores que pueden influir tanto en la ocurrencia del embarazo como en el acceso oportuno a la atención prenatal.(6)</w:t>
      </w:r>
    </w:p>
    <w:p>
      <w:pPr>
        <w:pStyle w:val="BodyText"/>
      </w:pPr>
      <w:r>
        <w:t xml:space="preserve">En los países de ingresos bajos y medianos se estimaron aproximadamente 21 millones de embarazos anuales entre adolescentes de 15–19 años.(7,8) América Latina se encuentra entre las regiones con mayor carga de embarazo adolescente, situación asociada a barreras persistentes en el acceso a educación sexual integral, métodos anticonceptivos y servicios de salud sexual y reproductiva.(9) En Ecuador se han documentado consecuencias sociales y económicas del embarazo adolescente, lo que respalda la necesidad de analizar de manera diferenciada los distintos subgrupos etarios que conforman la población adolescente.(9)</w:t>
      </w:r>
    </w:p>
    <w:p>
      <w:pPr>
        <w:pStyle w:val="BodyText"/>
      </w:pPr>
      <w:r>
        <w:t xml:space="preserve">Aunque existe una amplia literatura sobre el embarazo en adolescentes y sus implicaciones para la salud materna y perinatal,(2,3) gran parte de los estudios considera a las adolescentes como un grupo homogéneo de 10–19 años. Esta aproximación puede ocultar diferencias relevantes entre las adolescentes de 10–14 años y aquellas de 15–19 años, particularmente en dimensiones sociodemográficas, reproductivas y relacionadas con la utilización de servicios de salud.(11) La identificación de estas diferencias resulta relevante para comprender la heterogeneidad del embarazo adolescente y orientar estrategias de atención adaptadas a las necesidades de los distintos grupos etarios.</w:t>
      </w:r>
    </w:p>
    <w:p>
      <w:pPr>
        <w:pStyle w:val="BodyText"/>
      </w:pPr>
      <w:r>
        <w:t xml:space="preserve">El Hospital Gineco-Obstétrico Isidro Ayora (HGOIA), en Quito, Ecuador, es un centro nacional de referencia en salud materno-infantil que atiende principalmente a personas de ingresos bajos y medianos procedentes de áreas urbanas y rurales, y alberga el Servicio de Atención Integral para Adolescentes (SAIA), descrito como activo desde 1988.(12) En este contexto, el objetivo del presente estudio fue comparar las características sociodemográficas, reproductivas, obstétricas y de atención prenatal entre adolescentes de 10–14 años y adolescentes de 15–19 años cuyos recién nacidos fueron admitidos en Neonatología.</w:t>
      </w:r>
    </w:p>
    <w:p>
      <w:pPr>
        <w:pStyle w:val="BodyText"/>
      </w:pPr>
      <w:r>
        <w:rPr>
          <w:b/>
          <w:bCs/>
        </w:rPr>
        <w:t xml:space="preserve">Materiales y métodos</w:t>
      </w:r>
    </w:p>
    <w:p>
      <w:pPr>
        <w:pStyle w:val="BodyText"/>
      </w:pPr>
      <w:r>
        <w:t xml:space="preserve">Se realizó un estudio observacional transversal retrospectivo basado en registros secundarios del Sistema de Información Perinatal (SIP) de la Organización Panamericana de la Salud del Hospital Gineco-Obstétrico Isidro Ayora, Quito, Ecuador, durante enero de 2009–junio de 2024. El SIP estandariza el registro clínico de la atención durante el embarazo, el parto y el período neonatal. La base accesible al estudio ya estaba restringida a registros de madres cuyos recién nacidos habían sido admitidos en Neonatología; la selección por admisión neonatal antecedió, por tanto, al marco analítico disponible. No se dispuso del conjunto de todos los partos adolescentes institucionales para comparar eventos incluidos y no incluidos. El HGOIA es un hospital público de referencia nacional que atiende población urbana y rural. El diseño y el mecanismo de selección se presentan en la Figura 1.</w:t>
      </w:r>
    </w:p>
    <w:p>
      <w:pPr>
        <w:pStyle w:val="BodyText"/>
      </w:pPr>
      <w:r>
        <w:t xml:space="preserve">La unidad de análisis fue el evento obstétrico materno en adolescentes de 10–19 años. Los 7.202 registros iniciales podían incluir más de una fila materna cuando una gestación múltiple generaba registros neonatales separados. Tras eliminar 15 duplicados exactos quedaron 7.187 registros; posteriormente, se consolidaron 152 registros correspondientes a gestaciones múltiples. La consolidación se realizó a nivel materno mediante una llave compuesta por 13 variables: año de atención, edad materna, escolaridad, pareja estable, etnia, gestas, partos y cesáreas previas, embarazo planeado, uso de anticonceptivos, número de consultas prenatales, tipo de parto y cesárea.</w:t>
      </w:r>
    </w:p>
    <w:p>
      <w:pPr>
        <w:pStyle w:val="BodyText"/>
      </w:pPr>
      <w:r>
        <w:t xml:space="preserve">Dentro de cada agrupamiento, una diferencia de edad gestacional de tres semanas o más se consideró indicativa de eventos obstétricos distintos; diferencias menores se conservaron como un único evento. La base analítica final incluyó 7.035 eventos obstétricos: 386 en adolescentes de 10–14 años y 6.649 en adolescentes de 15–19 años. La ausencia de un identificador único de parto o admisión impidió descartar errores residuales de clasificación. En las gestaciones múltiples se conservó una única observación para las variables maternas y obstétricas; los embarazos múltiples se consolidaron mediante una llave de 13 variables maternas más un criterio de edad gestacional, y la descripción neonatal se presentó en una submuestra de 6.790 nacimientos únicos, excluyendo 245 embarazos múltiples, para evitar dependencia intragestacional y decisiones arbitrarias entre hermanos. Esta submuestra neonatal corresponde a 381 nacimientos únicos en adolescentes de 10–14 años y 6.409 nacimientos únicos en adolescentes de 15–19 años.</w:t>
      </w:r>
    </w:p>
    <w:p>
      <w:pPr>
        <w:pStyle w:val="BodyText"/>
      </w:pPr>
      <w:r>
        <w:t xml:space="preserve">La llave compuesta se utilizó porque la base no contenía un identificador único de parto o admisión; exigió concordancia en atributos maternos, antecedentes y características de la atención para considerar dos filas como el mismo evento. El umbral de tres semanas toleró pequeñas diferencias de medición o digitación de la edad gestacional entre registros de hermanos, pero separó discrepancias incompatibles con una misma gestación. En el análisis de sensibilidad, los umbrales de 2, 3 y 4 semanas consolidaron 146, 152 y 152 registros, respectivamente, y produjeron 7.041, 7.035 y 7.035 eventos finales (Tabla S13).</w:t>
      </w:r>
    </w:p>
    <w:p>
      <w:pPr>
        <w:pStyle w:val="BodyText"/>
      </w:pPr>
      <w:r>
        <w:t xml:space="preserve">Las variables sociodemográficas incluyeron pareja estable, nivel educativo registrado y autoidentificación étnica. El nivel educativo se clasificó como ninguna o primaria frente a secundaria o superior, y la etnia como minoritaria frente a mestiza o blanca, debido a la baja frecuencia de algunas categorías.</w:t>
      </w:r>
    </w:p>
    <w:p>
      <w:pPr>
        <w:pStyle w:val="BodyText"/>
      </w:pPr>
      <w:r>
        <w:rPr>
          <w:highlight w:val="yellow"/>
        </w:rPr>
        <w:t xml:space="preserve">Los años de escolaridad aprobados se reconstruyeron a partir del nivel y los años aprobados dentro de ese nivel registrados en el SIP. Los años esperados se calcularon operacionalmente como</w:t>
      </w:r>
      <w:r>
        <w:rPr>
          <w:highlight w:val="yellow"/>
        </w:rPr>
        <w:t xml:space="preserve"> </w:t>
      </w:r>
      <w:r>
        <w:rPr>
          <w:rStyle w:val="VerbatimChar"/>
          <w:highlight w:val="yellow"/>
        </w:rPr>
        <w:t xml:space="preserve">min(max(edad materna − 6, 0), 12)</w:t>
      </w:r>
      <w:r>
        <w:rPr>
          <w:highlight w:val="yellow"/>
        </w:rPr>
        <w:t xml:space="preserve">, aproximación de una trayectoria con ingreso regular al sistema educativo alrededor de los seis años y un máximo de 12 años bajo la estructura ecuatoriana previa a 2011: nueve años de educación general básica y tres de bachillerato. El rezago escolar se definió como años esperados menos años aprobados y se clasificó como ausente (0–1 año) o presente (≥2 años). No se conocieron la edad individual de ingreso, la repetición, las interrupciones ni la trayectoria escolar exacta; por ello, la regla no reconstruye la escolaridad individual. Como sensibilidad predefinida se aplicó</w:t>
      </w:r>
      <w:r>
        <w:rPr>
          <w:highlight w:val="yellow"/>
        </w:rPr>
        <w:t xml:space="preserve"> </w:t>
      </w:r>
      <w:r>
        <w:rPr>
          <w:rStyle w:val="VerbatimChar"/>
          <w:highlight w:val="yellow"/>
        </w:rPr>
        <w:t xml:space="preserve">min(max(edad materna − 5, 0), 12)</w:t>
      </w:r>
      <w:r>
        <w:rPr>
          <w:highlight w:val="yellow"/>
        </w:rPr>
        <w:t xml:space="preserve">, manteniendo el mismo tope, tratamiento de datos faltantes, cálculo de años aprobados y modelo Bernoulli-logit. Si se subestiman los años esperados, disminuye el rezago calculado y el indicador puede subestimar el verdadero rezago. Las reglas y los años esperados por edad se presentan en la Tabla S14.(13,14)</w:t>
      </w:r>
    </w:p>
    <w:p>
      <w:pPr>
        <w:pStyle w:val="BodyText"/>
      </w:pPr>
      <w:r>
        <w:t xml:space="preserve">Las variables reproductivas incluyeron gestas previas, embarazo planeado registrado y falla registrada del método anticonceptivo. Estas dos últimas correspondieron a campos dicotómicos del SIP y no se interpretaron como mediciones directas de autonomía reproductiva, intención prospectiva o uso correcto del método. La falla anticonceptiva se analizó entre todos los registros con información disponible, no exclusivamente entre adolescentes identificadas como usuarias de anticonceptivos.</w:t>
      </w:r>
    </w:p>
    <w:p>
      <w:pPr>
        <w:pStyle w:val="BodyText"/>
      </w:pPr>
      <w:r>
        <w:t xml:space="preserve">La utilización de atención prenatal se evaluó mediante el número de consultas registradas. Se construyó una medida operacional de adecuación como la proporción entre los contactos observados y los esperados para la edad gestacional alcanzada al parto, conforme al esquema de ocho contactos recomendado por la OMS. El algoritmo asignó 1 contacto esperado antes de las 20 semanas; 2 entre 20 y &lt;26; 3 entre 26 y &lt;30; 4 entre 30 y &lt;34; 5 entre 34 y &lt;36; 6 entre 36 y &lt;38; 7 entre 38 y &lt;40; y 8 desde las 40 semanas. La regla completa se presenta en la Tabla S5. La adecuación se clasificó, para este estudio, en cuatro categorías: sin controles (0 contactos), inadecuado (&gt;0 y &lt;50 % de los contactos esperados), intermedio (50 a &lt;80 %) y adecuado (≥80 %).(15)</w:t>
      </w:r>
    </w:p>
    <w:p>
      <w:pPr>
        <w:pStyle w:val="BodyText"/>
      </w:pPr>
      <w:r>
        <w:t xml:space="preserve">Las variables obstétricas incluyeron embarazo múltiple, infección urinaria, compromiso del bienestar fetal, trastorno hipertensivo del embarazo y vía de parto. La infección urinaria y el compromiso del bienestar fetal se analizaron según su registro dicotómico, debido a que la base no permitía reconstruir criterios diagnósticos, pruebas complementarias ni gravedad. El trastorno hipertensivo se definió por el registro de preeclampsia, eclampsia o hipertensión inducida por el embarazo. La vía de parto se clasificó como vaginal o cesárea.</w:t>
      </w:r>
    </w:p>
    <w:p>
      <w:pPr>
        <w:pStyle w:val="BodyText"/>
      </w:pPr>
      <w:r>
        <w:t xml:space="preserve">Las variables neonatales incluyeron edad gestacional, peso al nacer, prematuridad, Apgar menor de 7 al minuto 1 y al minuto 5, pequeño para la edad gestacional, macrosomía, ictericia, condición vital y lactancia exclusiva al egreso. La prematuridad se definió como edad gestacional menor de 37 semanas; pequeño para la edad gestacional, como peso inferior al percentil 10 de Fenton; y macrosomía, como peso al nacer ≥4.000 g. La condición vital correspondió al registro de vivo o fallecido al egreso, y la lactancia exclusiva al registro de alimentación únicamente con leche materna al egreso. Estas variables se presentaron con fines descriptivos, sin estimar asociaciones inferenciales según el grupo etario materno.</w:t>
      </w:r>
    </w:p>
    <w:p>
      <w:pPr>
        <w:pStyle w:val="BodyText"/>
      </w:pPr>
      <w:r>
        <w:t xml:space="preserve">Las variables categóricas se resumieron mediante frecuencias y porcentajes calculados sobre los registros con información disponible; las continuas, mediante mediana y rango intercuartílico. Las comparaciones fueron exploratorias y se priorizaron el nivel educativo y el rezago escolar, la pertenencia étnica, el embarazo planeado registrado y la utilización de atención prenatal.</w:t>
      </w:r>
    </w:p>
    <w:p>
      <w:pPr>
        <w:pStyle w:val="BodyText"/>
      </w:pPr>
      <w:r>
        <w:t xml:space="preserve">Para cada característica materna binaria se ajustó un modelo bayesiano independiente con distribución Bernoulli y enlace logit, utilizando el grupo etario como único predictor y las adolescentes de 15–19 años como referencia. Se especificaron priors Normal(0; 3) para el intercepto y Normal(0; 1,5) para el coeficiente del grupo etario, en escala logit. A partir de las predicciones posteriores se estimaron las prevalencias marginales, razones de prevalencia, diferencias de prevalencia e intervalos de credibilidad del 95 %. Estos modelos representaron comparaciones bivariadas no ajustadas y no se interpretaron como efectos causales.</w:t>
      </w:r>
    </w:p>
    <w:p>
      <w:pPr>
        <w:pStyle w:val="BodyText"/>
      </w:pPr>
      <w:r>
        <w:t xml:space="preserve">El análisis principal de adecuación prenatal fue binario: control prenatal adecuado (sí/no), definido como ≥80 % frente a &lt;80 % de los contactos esperados, y se estimó con el mismo modelo Bernoulli-logit y la misma estandarización posterior utilizados para las demás características binarias. Como análisis secundario, la adecuación ordinal del control prenatal se modeló en sus cuatro categorías ordenadas (sin controles, inadecuado, intermedio y adecuado) mediante un modelo bayesiano cumulative-logit con thresholds flexibles y un prior Normal(0; 1,5) para el coeficiente del grupo etario. Una razón de momios superior a 1 indicó mayor probabilidad de pertenecer a una categoría de mejor adecuación. Se evaluó el supuesto de odds proporcionales mediante tres modelos binarios acumulativos en los cortes: sin controles frente a categorías superiores; sin controles + inadecuado frente a intermedio + adecuado; y sin controles + inadecuado + intermedio frente a adecuado. Los thresholds y diagnósticos del modelo ordinal se presentan en la Tabla S6 y la evaluación de sensibilidad del supuesto en la Tabla S7.</w:t>
      </w:r>
    </w:p>
    <w:p>
      <w:pPr>
        <w:pStyle w:val="BodyText"/>
      </w:pPr>
      <w:r>
        <w:t xml:space="preserve">El número de consultas prenatales, por su naturaleza de conteo, se analizó principalmente mediante modelos bayesianos de regresión binomial negativa, antes y después de incluir la edad gestacional al parto. Como análisis de sensibilidad se ajustaron modelos de Poisson y gaussianos con el mismo predictor principal y las mismas versiones no ajustada y ajustada. El ajuste por edad gestacional al parto se interpretó como un ajuste por la oportunidad acumulada de recibir consultas prenatales y no como control causal de confusión. Para los modelos gaussianos se conservaron los priors Normal(5; 3) para el intercepto, Normal(0; 1,5) para el grupo etario, Normal(0; 0,5) para la edad gestacional y exponencial(1) para sigma; los modelos de conteo utilizaron priors débiles en la escala logarítmica.</w:t>
      </w:r>
    </w:p>
    <w:p>
      <w:pPr>
        <w:pStyle w:val="BodyText"/>
      </w:pPr>
      <w:r>
        <w:t xml:space="preserve">La distribución observada se evaluó mediante frecuencias, momentos, percentiles, relación varianza/media, asimetría, ceros, valores extremos y acumulaciones. Las verificaciones predictivas posteriores compararon cuantitativamente media, varianza, proporción de ceros, cuantiles, extremos y frecuencias en los valores acumulados. Los modelos gaussiano, Poisson y binomial negativa se compararon mediante estos diagnósticos y validación cruzada leave-one-out (LOO); la selección no se basó en la significación estadística.</w:t>
      </w:r>
    </w:p>
    <w:p>
      <w:pPr>
        <w:pStyle w:val="BodyText"/>
      </w:pPr>
      <w:r>
        <w:t xml:space="preserve">Los modelos Bernoulli-logit y ordinales se estimaron con cuatro cadenas, 6.000 iteraciones por cadena y 3.000 de calentamiento; los modelos del número de consultas utilizaron cuatro cadenas, 4.000 iteraciones y 2.000 de calentamiento. Para todos los modelos relevantes se evaluaron R-hat, tamaños efectivos de muestra (ESS) bulk y tail, transiciones divergentes, profundidad máxima del árbol (treedepth), E-BFMI y verificaciones predictivas posteriores (PPC). Los PPC compararon prevalencias observadas y replicadas en los Bernoulli, proporciones de las cuatro categorías en el ordinal y características distributivas del conteo en los modelos gaussiano, de Poisson y binomial negativo.</w:t>
      </w:r>
    </w:p>
    <w:p>
      <w:pPr>
        <w:pStyle w:val="BodyText"/>
      </w:pPr>
      <w:r>
        <w:t xml:space="preserve">La sensibilidad a priors comparó cada coeficiente principal con una especificación alternativa moderadamente más amplia. En los Bernoulli se ampliaron los priors del intercepto de Normal(0; 3) a Normal(0; 5) y del grupo de Normal(0; 1,5) a Normal(0; 2,5). En el ordinal se amplió el prior del grupo de Normal(0; 1,5) a Normal(0; 2,5), manteniendo los priors Student-t(3; 0; 2,5) de los thresholds. En los gaussianos se ampliaron los priors del intercepto, coeficientes y sigma; en Poisson y binomial negativa se ampliaron moderadamente los priors en escala logarítmica y, para la binomial negativa, el prior de shape. Los datos faltantes se manejaron mediante análisis de casos disponibles. Los diagnósticos, parámetros posteriores completos y sensibilidad a priors se presentan en las Tablas S9–S11.</w:t>
      </w:r>
    </w:p>
    <w:p>
      <w:pPr>
        <w:pStyle w:val="BodyText"/>
      </w:pPr>
      <w:r>
        <w:t xml:space="preserve">La heterogeneidad temporal se evaluó en tres subperíodos categóricos: 2009–2014, 2015–2019 y 2020–junio 2024. Para pareja estable, etnia minoritaria y control prenatal adecuado (sí/no) se compararon modelos Bernoulli-logit aditivos (grupo etario + período) y con interacción grupo etario × período; el período no se trató como variable continua. Se obtuvieron prevalencias marginales por grupo etario, diferencias y razones de prevalencia para cada subperíodo, junto con los términos de interacción. Los modelos aditivo y con interacción se compararon mediante LOO, informando la diferencia de ELPD y su error estándar. La adecuación ordinal se evaluó únicamente como sensibilidad secundaria mediante modelos cumulative-logit análogos. Los resultados se presentan en la Tabla S12.</w:t>
      </w:r>
    </w:p>
    <w:p>
      <w:pPr>
        <w:pStyle w:val="BodyText"/>
      </w:pPr>
      <w:r>
        <w:t xml:space="preserve">Los análisis se realizaron en R, versión 4.4.3, principalmente con los paquetes brms, posterior y dplyr.</w:t>
      </w:r>
    </w:p>
    <w:p>
      <w:pPr>
        <w:pStyle w:val="BodyText"/>
      </w:pPr>
      <w:r>
        <w:t xml:space="preserve">El estudio fue aprobado por el Comité de Ética en Investigación en Seres Humanos del Hospital General Docente de Calderón, Ecuador (CEISH-HGDC-2024-007; 19 de agosto de 2024), debido a que el HGOIA no dispone de un comité institucional. Por tratarse de un estudio retrospectivo basado en datos secundarios anonimizados, se eximió el consentimiento informado. La confidencialidad se garantizó mediante anonimización y acceso restringido a la base. El estudio siguió los principios de la Declaración de Helsinki y las recomendaciones de la guía STROBE.</w:t>
      </w:r>
    </w:p>
    <w:p>
      <w:pPr>
        <w:pStyle w:val="BodyText"/>
      </w:pPr>
      <w:r>
        <w:t xml:space="preserve">Resultados</w:t>
      </w:r>
    </w:p>
    <w:p>
      <w:pPr>
        <w:pStyle w:val="BodyText"/>
      </w:pPr>
      <w:r>
        <w:t xml:space="preserve">El proceso de selección se presenta en la Figura 2. De los 7.202 registros iniciales, se eliminaron 15 duplicados exactos; de los 7.187 registros restantes, 152 se consolidaron mediante el procedimiento de linkage de gestaciones múltiples. La muestra analítica final incluyó 7.035 eventos obstétricos maternos: 386 en adolescentes de 10–14 años y 6.649 en adolescentes de 15–19 años.</w:t>
      </w:r>
    </w:p>
    <w:p>
      <w:pPr>
        <w:pStyle w:val="BodyText"/>
      </w:pPr>
      <w:r>
        <w:t xml:space="preserve">Características sociodemográficas y reproductivas</w:t>
      </w:r>
    </w:p>
    <w:p>
      <w:pPr>
        <w:pStyle w:val="BodyText"/>
      </w:pPr>
      <w:r>
        <w:t xml:space="preserve">En el análisis global, las adolescentes de 10–14 años presentaron menor frecuencia de pareja estable y mayores frecuencias de menor nivel educativo registrado, rezago escolar y pertenencia a grupos étnicos minoritarios. En este grupo también fueron menos frecuentes las gestas previas, el embarazo planeado registrado y la falla registrada del método anticonceptivo (Tablas 1 y 2). Las diferencias globales de pareja estable y etnia minoritaria se examinaron además por período, dado que no fueron temporalmente uniformes.</w:t>
      </w:r>
    </w:p>
    <w:p>
      <w:pPr>
        <w:pStyle w:val="BodyText"/>
      </w:pPr>
      <w:r>
        <w:t xml:space="preserve">Nivel educativo y rezago escolar</w:t>
      </w:r>
    </w:p>
    <w:p>
      <w:pPr>
        <w:pStyle w:val="BodyText"/>
      </w:pPr>
      <w:r>
        <w:rPr>
          <w:highlight w:val="yellow"/>
        </w:rPr>
        <w:t xml:space="preserve">La magnitud de la asociación disminuyó al sustituir el indicador crudo de escolaridad por el rezago escolar ajustado por edad. La RP se redujo de 4,33 a 2,07 y la diferencia de prevalencias de 0,50 a 0,18 (Tabla 2, Panel B). El análisis principal se reprodujo con n=7.027: el rezago estuvo presente en 34,6 % de los eventos de adolescentes de 10–14 años y 16,6 % de los de 15–19 años (RP=2,07; ICr95 %: 1,78–2,41). Con la regla alternativa edad menos cinco y el mismo tope de 12 años, las prevalencias fueron 41,6 % y 18,2 %, respectivamente (RP=2,28; ICr95 %: 1,99–2,59). La dirección se mantuvo y la magnitud relativa aumentó moderadamente, por lo que el resultado mostró sensibilidad cuantitativa a la regla de años esperados (Tabla S14).</w:t>
      </w:r>
    </w:p>
    <w:p>
      <w:pPr>
        <w:pStyle w:val="BodyText"/>
      </w:pPr>
      <w:r>
        <w:t xml:space="preserve">Atención prenatal</w:t>
      </w:r>
    </w:p>
    <w:p>
      <w:pPr>
        <w:pStyle w:val="BodyText"/>
      </w:pPr>
      <w:r>
        <w:t xml:space="preserve">En el análisis global principal binario, el control prenatal adecuado fue menos frecuente en las adolescentes de 10–14 años (RP=0,87; ICr95 %: 0,78–0,95; Tabla 2), aunque esta diferencia no fue uniforme entre períodos. En el análisis ordinal secundario global también se observó menor probabilidad de pertenecer a una categoría de mejor adecuación (OR acumulativa=0,69; ICr95 %: 0,56–0,84; Tabla S3). Los OR de los tres cortes acumulativos fueron 0,67, 0,61 y 0,71; su magnitud fue cercana a la del OR común y sus ICr95 % se solaparon con el del modelo ordinal, por lo que los resultados fueron compatibles con el supuesto de odds proporcionales (Tabla S7).</w:t>
      </w:r>
    </w:p>
    <w:p>
      <w:pPr>
        <w:pStyle w:val="BodyText"/>
      </w:pPr>
      <w:r>
        <w:t xml:space="preserve">El número de consultas tuvo 6.884 observaciones válidas, rango de 0 a 20, media de 5,71, mediana de 6, varianza de 7,66, relación varianza/media de 1,34 y asimetría de 0,44; se observaron acumulaciones en 5, 8 y 12 consultas y 53 valores por encima del límite superior de Tukey de 14. En el modelo binomial negativo principal, la razón de medias para adolescentes de 10–14 frente a 15–19 años fue 0,90 (ICr95 %: 0,86–0,95) sin ajuste y 0,90 (ICr95 %: 0,86–0,95) después del ajuste por la oportunidad acumulada de recibir consultas (Tabla S8).</w:t>
      </w:r>
    </w:p>
    <w:p>
      <w:pPr>
        <w:pStyle w:val="BodyText"/>
      </w:pPr>
      <w:r>
        <w:t xml:space="preserve">La binomial negativa presentó el mejor ajuste predictivo. Frente a ella, el gaussiano tuvo delta ELPD de -9,65 sin ajuste y -27,00 con ajuste por oportunidad acumulada; además, 12 de 16 estadísticos de sus verificaciones predictivas quedaron fuera del ICr95 %, frente a 6 de 16 con la binomial negativa. El gaussiano subestimó la proporción de ceros, generó predicciones negativas y no reprodujo adecuadamente los extremos ni las principales acumulaciones. El modelo de Poisson tampoco mejoró el ajuste según LOO. Los resultados sobre la dirección y magnitud relativa de la diferencia entre grupos fueron concordantes entre familias (Tabla S8).</w:t>
      </w:r>
    </w:p>
    <w:p>
      <w:pPr>
        <w:pStyle w:val="BodyText"/>
      </w:pPr>
      <w:r>
        <w:t xml:space="preserve">Condiciones obstétricas</w:t>
      </w:r>
    </w:p>
    <w:p>
      <w:pPr>
        <w:pStyle w:val="BodyText"/>
      </w:pPr>
      <w:r>
        <w:t xml:space="preserve">En el grupo de 10–14 años se observaron menores prevalencias registradas de infección urinaria, compromiso del bienestar fetal y trastorno hipertensivo del embarazo, y mayor frecuencia de parto vaginal (Tabla 2, Panel A).</w:t>
      </w:r>
    </w:p>
    <w:p>
      <w:pPr>
        <w:pStyle w:val="BodyText"/>
      </w:pPr>
      <w:r>
        <w:t xml:space="preserve">Las características neonatales se presentan de forma descriptiva en la Tabla 1, sin comparaciones inferenciales entre los grupos de edad materna.</w:t>
      </w:r>
    </w:p>
    <w:p>
      <w:pPr>
        <w:pStyle w:val="BodyText"/>
      </w:pPr>
      <w:r>
        <w:t xml:space="preserve">Heterogeneidad temporal</w:t>
      </w:r>
    </w:p>
    <w:p>
      <w:pPr>
        <w:pStyle w:val="BodyText"/>
      </w:pPr>
      <w:r>
        <w:t xml:space="preserve">La frecuencia marginal estimada de pareja estable en adolescentes de 10–14 frente a 15–19 años fue 0,51 frente a 0,61 en 2009–2014 (DP=-0,10; ICr95 %: -0,18 a -0,02; RP=0,84; ICr95 %: 0,71–0,97) y 0,31 frente a 0,47 en 2015–2019 (DP=-0,16; ICr95 %: -0,24 a -0,07; RP=0,66; ICr95 %: 0,50–0,84). En 2020–junio 2024 la dirección se invirtió descriptivamente: 0,63 frente a 0,58 (DP=0,05; ICr95 %: -0,04 a 0,15; RP=1,10; ICr95 %: 0,93–1,26). La razón de OR del término de interacción reciente fue 1,88 (ICr95 %: 1,13–3,17). El modelo con interacción presentó ΔELPD=3,46 (EE=3,25) frente al aditivo, una ventaja predictiva pequeña e incierta, no evidencia concluyente de heterogeneidad (Tabla S12).</w:t>
      </w:r>
    </w:p>
    <w:p>
      <w:pPr>
        <w:pStyle w:val="BodyText"/>
      </w:pPr>
      <w:r>
        <w:t xml:space="preserve">Para etnia minoritaria, las prevalencias marginales estimadas en 10–14 frente a 15–19 años fueron 0,05 frente a 0,03 en 2009–2014 (DP=0,02; ICr95 %: -0,01 a 0,06; RP=1,62; ICr95 %: 0,79–3,02), 0,12 frente a 0,06 en 2015–2019 (DP=0,06; ICr95 %: 0,01–0,13; RP=2,01; ICr95 %: 1,19–3,18) y 0,09 frente a 0,09 en 2020–junio 2024 (DP=0,00; ICr95 %: -0,04 a 0,07; RP=1,04; ICr95 %: 0,53–1,82). Así, la diferencia fue mayor principalmente en 2015–2019 y se aproximó a la nulidad en el período reciente, con incertidumbre amplia. La razón de OR de interacción reciente fue 0,64 (ICr95 %: 0,25–1,63) y el modelo con interacción no mejoró la predicción (ΔELPD=-0,51; EE=1,65; Tabla S12).</w:t>
      </w:r>
    </w:p>
    <w:p>
      <w:pPr>
        <w:pStyle w:val="BodyText"/>
      </w:pPr>
      <w:r>
        <w:t xml:space="preserve">Para el control prenatal adecuado, las prevalencias marginales estimadas en 10–14 frente a 15–19 años fueron 0,47 frente a 0,60 en 2009–2014 (DP=-0,13; ICr95 %: -0,21 a -0,05; RP=0,79; ICr95 %: 0,65–0,92), 0,59 frente a 0,66 en 2015–2019 (DP=-0,06; ICr95 %: -0,16 a 0,02; RP=0,90; ICr95 %: 0,77–1,03) y 0,55 frente a 0,57 en 2020–junio 2024 (DP=-0,02; ICr95 %: -0,12 a 0,08; RP=0,97; ICr95 %: 0,80–1,14). La diferencia negativa fue mayor en 2009–2014 y se aproximó progresivamente a la nulidad. La razón de OR de interacción reciente fue 1,59 (ICr95 %: 0,95–2,63), sin ventaja predictiva del modelo con interacción (ΔELPD=-0,19; EE=1,76). La sensibilidad ordinal mostró un patrón concordante, con OR de 0,57, 0,76 y 0,86 por período y sin mejora predictiva por interacción (ΔELPD=-0,31; EE=1,79; Tabla S12).</w:t>
      </w:r>
    </w:p>
    <w:p>
      <w:pPr>
        <w:pStyle w:val="BodyText"/>
      </w:pPr>
      <w:r>
        <w:t xml:space="preserve">Diagnósticos bayesianos y sensibilidad a priors</w:t>
      </w:r>
    </w:p>
    <w:p>
      <w:pPr>
        <w:pStyle w:val="BodyText"/>
      </w:pPr>
      <w:r>
        <w:t xml:space="preserve">Los 20 modelos auditados mostraron convergencia y eficiencia de muestreo adecuadas: el R-hat máximo fue 1,0018, el ESS bulk mínimo 4.182 y el ESS tail mínimo 4.568; no hubo divergencias ni iteraciones que alcanzaran el max treedepth, y el E-BFMI mínimo fue 0,909 (Tabla S9). Los PPC se evaluaron por familia y documentaron el desempeño predictivo observado, sin implicar ajuste perfecto. En los modelos de conteo, las discrepancias fueron 9/16 para Poisson no ajustado, 6/16 para Poisson ajustado y 6/16 para cada modelo binomial negativo. Con priors alternativos moderadamente más amplios, la máxima diferencia absoluta del coeficiente principal fue 0,0113 y ninguno de los 20 modelos cambió de dirección, lo que indicó estabilidad de magnitud y dirección (Tabla S11). Los parámetros posteriores completos se presentan en la Tabla S10.</w:t>
      </w:r>
    </w:p>
    <w:p>
      <w:pPr>
        <w:pStyle w:val="BodyText"/>
      </w:pPr>
      <w:r>
        <w:t xml:space="preserve">Datos faltantes</w:t>
      </w:r>
    </w:p>
    <w:p>
      <w:pPr>
        <w:pStyle w:val="BodyText"/>
      </w:pPr>
      <w:r>
        <w:t xml:space="preserve">La proporción de datos faltantes fue ≤2,5 % para la mayoría de las variables. La lactancia exclusiva al egreso presentó la mayor proporción de datos faltantes, con 14,5 % (Tabla S4).</w:t>
      </w:r>
    </w:p>
    <w:p>
      <w:pPr>
        <w:pStyle w:val="BodyText"/>
      </w:pPr>
      <w:r>
        <w:t xml:space="preserve">Discusión</w:t>
      </w:r>
    </w:p>
    <w:p>
      <w:pPr>
        <w:pStyle w:val="BodyText"/>
      </w:pPr>
      <w:r>
        <w:t xml:space="preserve">En la muestra analizada, las adolescentes de 10–14 años presentaron un perfil sociodemográfico, reproductivo y de utilización de atención prenatal diferente al de las adolescentes de 15–19 años. En el análisis global se observaron mayor frecuencia de pertenencia a grupos étnicos minoritarios, menor frecuencia registrada de pareja estable y embarazo planeado, y menor utilización de atención prenatal; sin embargo, las diferencias en pareja estable, etnia minoritaria y adecuación prenatal variaron entre períodos. Aunque el nivel educativo registrado como ninguna o primaria fue más frecuente en el grupo de menor edad, la magnitud de la diferencia disminuyó al utilizar un indicador de rezago escolar ajustado por edad, lo que indica que el indicador crudo sobrestimó parcialmente la brecha educativa.</w:t>
      </w:r>
    </w:p>
    <w:p>
      <w:pPr>
        <w:pStyle w:val="BodyText"/>
      </w:pPr>
      <w:r>
        <w:t xml:space="preserve">La pertinencia de examinar factores sociodemográficos y de acceso en subgrupos adolescentes también ha sido señalada en estudios peruanos basados en comunidades indígenas y encuestas nacionales.(16,17)</w:t>
      </w:r>
    </w:p>
    <w:p>
      <w:pPr>
        <w:pStyle w:val="BodyText"/>
      </w:pPr>
      <w:r>
        <w:rPr>
          <w:highlight w:val="yellow"/>
        </w:rPr>
        <w:t xml:space="preserve">La clasificación cruda de escolaridad como ninguna o primaria amplificó la diferencia entre los grupos. Sin embargo, la mayor frecuencia de rezago escolar persistió después de considerar la edad, por lo que la diferencia educativa observada no se explicó únicamente por la clasificación convencional de escolaridad. La sensibilidad con edad menos cinco mantuvo la dirección, pero aumentó moderadamente la magnitud relativa, lo que muestra que la cuantificación depende de la aproximación utilizada para los años esperados. En contraste, la combinación global de menor frecuencia de pareja estable y mayor frecuencia de pertenencia a grupos étnicos minoritarios no constituyó un patrón estable: la pareja estable cambió descriptivamente de dirección en 2020–junio 2024 y la diferencia de etnia se aproximó a la nulidad. Por ello, estas asociaciones deben situarse en sus respectivos períodos y no caracterizarse como atributos uniformes de las adolescentes de 10–14 años.</w:t>
      </w:r>
    </w:p>
    <w:p>
      <w:pPr>
        <w:pStyle w:val="BodyText"/>
      </w:pPr>
      <w:r>
        <w:t xml:space="preserve">La mayor frecuencia registrada de pertenencia a grupos étnicos minoritarios puede actuar como marcador de desigualdades estructurales y de acceso a recursos, pero no debe interpretarse como un atributo biológico ni como una condición de vulnerabilidad por sí misma. La recodificación dicotómica agrupó poblaciones heterogéneas y limitó interpretaciones específicas. Dado el carácter exploratorio del estudio y el número de comparaciones realizadas, estos hallazgos no deben interpretarse como confirmatorios.</w:t>
      </w:r>
    </w:p>
    <w:p>
      <w:pPr>
        <w:pStyle w:val="BodyText"/>
      </w:pPr>
      <w:r>
        <w:t xml:space="preserve">La proporción anual de adolescentes de 10–14 años mostró variabilidad dentro de la población hospitalaria analizada (Figura 3). Estas fluctuaciones no representan tendencias poblacionales, porque la composición de la muestra pudo estar influida por cambios temporales en la cobertura del registro, los criterios de admisión neonatal y las prácticas institucionales. El dato de 2024 comprende únicamente enero–junio, se muestra como período parcial separado y no se comparó directamente con los años calendario completos. La persistencia de embarazos en 10–14 años durante todo el período es consistente con lo descrito en América Latina y el Caribe. (6,18–20)</w:t>
      </w:r>
    </w:p>
    <w:p>
      <w:pPr>
        <w:pStyle w:val="BodyText"/>
      </w:pPr>
      <w:r>
        <w:t xml:space="preserve">La pareja estable fue menos frecuente entre las adolescentes de 10–14 años en los dos primeros períodos, pero la estimación cambió descriptivamente de dirección en 2020–junio 2024 y su intervalo fue compatible con diferencias en ambos sentidos. La pequeña e incierta ventaja predictiva del modelo con interacción refuerza la necesidad de mostrar el cambio sin afirmar heterogeneidad concluyente. Además, la base no permitió determinar la edad de la pareja, la naturaleza de la relación, la convivencia, la autonomía reproductiva, la presencia de coerción o violencia sexual ni la calidad del registro. En consecuencia, esta variable no permite caracterizar por sí sola la naturaleza de la relación, la autonomía reproductiva ni la presencia de coerción.(21,22)</w:t>
      </w:r>
    </w:p>
    <w:p>
      <w:pPr>
        <w:pStyle w:val="BodyText"/>
      </w:pPr>
      <w:r>
        <w:t xml:space="preserve">La mayor frecuencia de gestas previas en las adolescentes de 15–19 años es consistente con la mayor duración de la exposición reproductiva acumulada y con estudios sobre recurrencia del embarazo adolescente.(23,24) En consecuencia, la menor frecuencia observada en las adolescentes de 10–14 años no debe interpretarse como menor vulnerabilidad.</w:t>
      </w:r>
    </w:p>
    <w:p>
      <w:pPr>
        <w:pStyle w:val="BodyText"/>
      </w:pPr>
      <w:r>
        <w:t xml:space="preserve">La menor frecuencia registrada de embarazo planeado en las adolescentes de 10–14 años es consistente con estudios que describen barreras para el acceso a información, consejería y servicios de salud sexual y reproductiva.(25) Sin embargo, esta variable no constituye una medición directa de intención o autonomía reproductiva. De forma similar, la menor frecuencia registrada de falla anticonceptiva puede reflejar menor uso previo, ausencia de uso o subregistro, más que diferencias reales en la efectividad de los métodos. Estas explicaciones no fueron evaluadas directamente.(1)</w:t>
      </w:r>
    </w:p>
    <w:p>
      <w:pPr>
        <w:pStyle w:val="BodyText"/>
      </w:pPr>
      <w:r>
        <w:t xml:space="preserve">En el análisis global, las adolescentes de 10–14 años presentaron menor utilización de atención prenatal, tanto en el número de consultas como en su adecuación. No obstante, la diferencia en adecuación fue mayor en 2009–2014 y se aproximó a la nulidad en 2020–junio 2024; los modelos con interacción binario y ordinal no ofrecieron ventaja predictiva frente a los aditivos. Para el conteo de consultas se adoptó la binomial negativa como análisis principal por su mejor desempeño predictivo y se conservaron Poisson y gaussiano como análisis de sensibilidad; las tres familias mostraron una diferencia de dirección y magnitud relativa concordantes. El ajuste por edad gestacional al parto representó la oportunidad acumulada de recibir consultas prenatales y no un control causal de confusión. En estudios latinoamericanos, las adolescentes más jóvenes han presentado menor utilización de atención prenatal, en contextos caracterizados por barreras de acceso y continuidad asistencial.(10,11) Este hallazgo no permite establecer relaciones con la morbilidad neonatal debido al mecanismo de selección del estudio. Factores no medidos, como reconocimiento tardío del embarazo, estigma, barreras familiares o incorporación tardía a los servicios, podrían contribuir a esta diferencia. Las recomendaciones de la OMS destacan la atención prenatal oportuna como componente esencial para la detección y el manejo temprano de condiciones maternas y perinatales.(15)</w:t>
      </w:r>
    </w:p>
    <w:p>
      <w:pPr>
        <w:pStyle w:val="BodyText"/>
      </w:pPr>
      <w:r>
        <w:t xml:space="preserve">La mayor frecuencia de parto vaginal en las adolescentes de 10–14 años coincide con estudios que documentan menores tasas de cesárea en grupos de menor edad materna.(26,27) Sin embargo, esta diferencia no implica menor riesgo obstétrico, porque la vía de parto depende de indicaciones clínicas, características fetales, edad gestacional y prácticas institucionales no completamente capturadas por el registro.</w:t>
      </w:r>
    </w:p>
    <w:p>
      <w:pPr>
        <w:pStyle w:val="BodyText"/>
      </w:pPr>
      <w:r>
        <w:t xml:space="preserve">Las menores frecuencias registradas de infección urinaria, compromiso del bienestar fetal y trastorno hipertensivo deben interpretarse con cautela. La menor utilización de atención prenatal pudo reducir las oportunidades de detección y registro, por lo que estas diferencias pueden reflejar variaciones clínicas reales, diferencias en la oportunidad diagnóstica o limitaciones del registro. En consecuencia, no deben interpretarse como evidencia de menor riesgo obstétrico.(11,15)</w:t>
      </w:r>
    </w:p>
    <w:p>
      <w:pPr>
        <w:pStyle w:val="BodyText"/>
      </w:pPr>
      <w:r>
        <w:t xml:space="preserve">Las variables neonatales se incluyeron exclusivamente con fines descriptivos. Debido al condicionamiento por admisión neonatal, las diferencias observadas en prematuridad, Apgar, pequeño para la edad gestacional, ictericia, lactancia o supervivencia al egreso no permiten estimar asociaciones entre edad materna y resultados neonatales. Estos datos deben interpretarse únicamente como una descripción clínica de la submuestra analizada.</w:t>
      </w:r>
    </w:p>
    <w:p>
      <w:pPr>
        <w:pStyle w:val="BodyText"/>
      </w:pPr>
      <w:r>
        <w:t xml:space="preserve">La heterogeneidad temporal observada puede reflejar cambios en la composición de la población atendida, el registro o la cobertura del SIP, las prácticas institucionales, el acceso o uso de atención prenatal o circunstancias del período pandémico. Estas posibilidades son explicaciones plausibles, no mecanismos demostrados: el estudio no dispone de datos para identificar cuál explica los cambios ni permite atribuirles causalmente la heterogeneidad.</w:t>
      </w:r>
    </w:p>
    <w:p>
      <w:pPr>
        <w:pStyle w:val="BodyText"/>
      </w:pPr>
      <w:r>
        <w:rPr>
          <w:highlight w:val="yellow"/>
        </w:rPr>
        <w:t xml:space="preserve">Este estudio presenta varias limitaciones. Primero, la muestra estuvo condicionada por la admisión neonatal, lo que limita la generalización a otros nacimientos de madres adolescentes. Segundo, el diseño transversal retrospectivo no permite establecer relaciones causales y limita la determinación temporal de algunas variables registradas durante la atención perinatal. Tercero, el SIP no incluyó determinantes estructurales relevantes, como nivel socioeconómico, procedencia geográfica, violencia sexual, coerción reproductiva, edad de la pareja, apoyo familiar, inicio de la atención prenatal o calidad de la atención. Cuarto, los datos faltantes fueron inferiores a 2,5 % para la mayoría de las variables, pero alcanzaron 14,5 % en lactancia exclusiva al egreso y pudieron no ocurrir de forma aleatoria. Quinto, el menor tamaño del grupo de 10–14 años redujo la precisión de estimaciones para eventos infrecuentes y subperíodos. Finalmente, el período 2009–2024 abarcó cambios normativos y estructurales del sistema educativo ecuatoriano que pudieron modificar la correspondencia entre edad cronológica y escolaridad esperada. La regla edad menos seis con tope de 12 años fue una aproximación operacional: no se dispuso de reconstrucción individual de la edad de ingreso, repetición, interrupciones ni trayectoria escolar. Si esta regla subestima los años esperados, disminuye el rezago calculado y puede subestimar el verdadero rezago. La escolaridad fue registrada en el momento del parto y puede reflejar tanto la trayectoria educativa previa como interrupciones o discontinuidades escolares ocurridas durante la propia gestación. Por esta razón, el rezago escolar no debe interpretarse necesariamente como una característica completamente anterior al embarazo.</w:t>
      </w:r>
    </w:p>
    <w:p>
      <w:pPr>
        <w:pStyle w:val="BodyText"/>
      </w:pPr>
      <w:r>
        <w:t xml:space="preserve">Este estudio caracteriza diferencias entre adolescentes de 10–14 y 15–19 años en una serie hospitalaria condicionada por admisión neonatal. En el análisis global, las adolescentes de 10–14 años presentaron mayor frecuencia de rezago escolar y pertenencia registrada a grupos étnicos minoritarios, menor frecuencia registrada de pareja estable y embarazo planeado, y menor utilización de atención prenatal. Las diferencias en pareja estable, etnia minoritaria y adecuación prenatal no fueron temporalmente uniformes y variaron entre los subperíodos analizados. Estos hallazgos describen un perfil sociodemográfico y reproductivo diferente dentro de la muestra analizada, pero no deben generalizarse a todos los embarazos adolescentes ni interpretarse como efectos causales de la edad materna.</w:t>
      </w:r>
    </w:p>
    <w:p>
      <w:pPr>
        <w:pStyle w:val="BodyText"/>
      </w:pPr>
      <w:r>
        <w:rPr>
          <w:b/>
          <w:bCs/>
        </w:rPr>
        <w:t xml:space="preserve">Contribuciones de los autores</w:t>
      </w:r>
    </w:p>
    <w:p>
      <w:pPr>
        <w:pStyle w:val="BodyText"/>
      </w:pPr>
      <w:r>
        <w:t xml:space="preserve">SV: Curación de datos, administración del proyecto, supervisión, validación, análisis formal, metodología, conceptualización, investigación, redacción—revisión y edición, adquisición de financiamiento y redacción—borrador original.</w:t>
      </w:r>
    </w:p>
    <w:p>
      <w:pPr>
        <w:pStyle w:val="BodyText"/>
      </w:pPr>
      <w:r>
        <w:t xml:space="preserve">CV: Redacción—borrador original, investigación, visualización, análisis formal y redacción—revisión y edición.</w:t>
      </w:r>
    </w:p>
    <w:p>
      <w:pPr>
        <w:pStyle w:val="BodyText"/>
      </w:pPr>
      <w:r>
        <w:t xml:space="preserve">ZC: Redacción—borrador original y redacción—revisión y edición.</w:t>
      </w:r>
    </w:p>
    <w:p>
      <w:pPr>
        <w:pStyle w:val="BodyText"/>
      </w:pPr>
      <w:r>
        <w:t xml:space="preserve">SM: Redacción—revisión y edición y redacción—borrador original.</w:t>
      </w:r>
    </w:p>
    <w:p>
      <w:pPr>
        <w:pStyle w:val="BodyText"/>
      </w:pPr>
      <w:r>
        <w:t xml:space="preserve">MR: Investigación, redacción—revisión y edición, curación de datos, conceptualización, redacción—borrador original y análisis formal.</w:t>
      </w:r>
    </w:p>
    <w:p>
      <w:pPr>
        <w:pStyle w:val="BodyText"/>
      </w:pPr>
      <w:r>
        <w:t xml:space="preserve">PT: Visualización, curación de datos, redacción—borrador original, recursos, investigación, metodología, redacción—revisión y edición, análisis formal y supervisión.</w:t>
      </w:r>
    </w:p>
    <w:p>
      <w:pPr>
        <w:pStyle w:val="BodyText"/>
      </w:pPr>
      <w:r>
        <w:rPr>
          <w:b/>
          <w:bCs/>
        </w:rPr>
        <w:t xml:space="preserve">Financiamiento</w:t>
      </w:r>
    </w:p>
    <w:p>
      <w:pPr>
        <w:pStyle w:val="BodyText"/>
      </w:pPr>
      <w:r>
        <w:t xml:space="preserve">Universidad Central del Ecuador- Proyecto BIOMED-DI-EXT-2024-001</w:t>
      </w:r>
    </w:p>
    <w:p>
      <w:pPr>
        <w:pStyle w:val="BodyText"/>
      </w:pPr>
      <w:r>
        <w:rPr>
          <w:b/>
          <w:bCs/>
        </w:rPr>
        <w:t xml:space="preserve">Agradecimientos</w:t>
      </w:r>
    </w:p>
    <w:p>
      <w:pPr>
        <w:pStyle w:val="BodyText"/>
      </w:pPr>
      <w:r>
        <w:t xml:space="preserve">Los autores no tienen agradecimientos que declarar.</w:t>
      </w:r>
    </w:p>
    <w:p>
      <w:pPr>
        <w:pStyle w:val="BodyText"/>
      </w:pPr>
      <w:r>
        <w:rPr>
          <w:b/>
          <w:bCs/>
        </w:rPr>
        <w:t xml:space="preserve">Conflicto de intereses</w:t>
      </w:r>
    </w:p>
    <w:p>
      <w:pPr>
        <w:pStyle w:val="BodyText"/>
      </w:pPr>
      <w:r>
        <w:t xml:space="preserve">Los autores declaran que la investigación se llevó a cabo en ausencia de relaciones comerciales o financieras que pudieran interpretarse como un potencial conflicto de intereses.</w:t>
      </w:r>
    </w:p>
    <w:p>
      <w:pPr>
        <w:pStyle w:val="BodyText"/>
      </w:pPr>
      <w:r>
        <w:rPr>
          <w:b/>
          <w:bCs/>
        </w:rPr>
        <w:t xml:space="preserve">Disponibilidad de datos y código</w:t>
      </w:r>
    </w:p>
    <w:p>
      <w:pPr>
        <w:pStyle w:val="BodyText"/>
      </w:pPr>
      <w:r>
        <w:t xml:space="preserve">La base de datos anonimizada que sustenta los resultados de este estudio se encuentra disponible en Mendeley Data:</w:t>
      </w:r>
      <w:r>
        <w:t xml:space="preserve"> </w:t>
      </w:r>
      <w:hyperlink r:id="rId11">
        <w:r>
          <w:rPr>
            <w:rStyle w:val="Hyperlink"/>
            <w:b/>
            <w:bCs/>
          </w:rPr>
          <w:t xml:space="preserve">https://doi.org/10.17632/jbbp5vb6fy.1</w:t>
        </w:r>
      </w:hyperlink>
      <w:r>
        <w:t xml:space="preserve">. Los scripts de R utilizados para la depuración y desduplicación de los registros, los análisis estadísticos bayesianos, los análisis de sensibilidad y la generación de tablas y figuras están disponibles en Zenodo:</w:t>
      </w:r>
      <w:r>
        <w:t xml:space="preserve"> </w:t>
      </w:r>
      <w:r>
        <w:rPr>
          <w:b/>
          <w:bCs/>
          <w:u w:val="single"/>
        </w:rPr>
        <w:t xml:space="preserve">https://doi.org/10.5281/zenodo.21445981.</w:t>
      </w:r>
    </w:p>
    <w:p>
      <w:pPr>
        <w:pStyle w:val="BodyText"/>
      </w:pPr>
      <w:r>
        <w:rPr>
          <w:b/>
          <w:bCs/>
        </w:rPr>
        <w:t xml:space="preserve">Declaración sobre inteligencia artificial</w:t>
      </w:r>
    </w:p>
    <w:p>
      <w:pPr>
        <w:pStyle w:val="BodyText"/>
      </w:pPr>
      <w:r>
        <w:t xml:space="preserve">Los autores declaran que herramientas de inteligencia artificial (ChatGPT, OpenAI) fueron utilizadas exclusivamente para apoyo lingüístico y revisión de estilo. La interpretación científica, análisis estadístico, discusión y conclusiones fueron realizadas y verificadas íntegramente por los autores.</w:t>
      </w:r>
    </w:p>
    <w:p>
      <w:pPr>
        <w:pStyle w:val="BodyText"/>
      </w:pPr>
      <w:r>
        <w:rPr>
          <w:b/>
          <w:bCs/>
        </w:rPr>
        <w:t xml:space="preserve">Referencias</w:t>
      </w:r>
    </w:p>
    <w:p>
      <w:pPr>
        <w:pStyle w:val="BodyText"/>
      </w:pPr>
      <w:r>
        <w:rPr>
          <w:b/>
          <w:bCs/>
        </w:rPr>
        <w:t xml:space="preserve">1. Pietras J, Jarząbek-Bielecka G, Mizgier M, Markowska A. Adolescent pregnancy – medical, legal and social issues. J Matern Fetal Neonatal Med. 2024;37(1):2391490. doi: 10.1080/14767058.2024.2391490.</w:t>
      </w:r>
    </w:p>
    <w:p>
      <w:pPr>
        <w:pStyle w:val="BodyText"/>
      </w:pPr>
      <w:r>
        <w:rPr>
          <w:b/>
          <w:bCs/>
        </w:rPr>
        <w:t xml:space="preserve">2. Marvin-Dowle K, Kilner K, Burley VJ, Soltani H. Impact of adolescent age on maternal and neonatal outcomes in the Born in Bradford cohort. BMJ Open. 2018;8(3):e016258. doi: 10.1136/bmjopen-2017-016258.</w:t>
      </w:r>
    </w:p>
    <w:p>
      <w:pPr>
        <w:pStyle w:val="BodyText"/>
      </w:pPr>
      <w:r>
        <w:rPr>
          <w:b/>
          <w:bCs/>
        </w:rPr>
        <w:t xml:space="preserve">3. Zhang T, Wang H, Wang X, Yang Y, Zhang Y, Tang Z, et al. The adverse maternal and perinatal outcomes of adolescent pregnancy: a cross sectional study in Hebei, China. BMC Pregnancy Childbirth. 2020;20(1):339. doi: 10.1186/s12884-020-03022-7.</w:t>
      </w:r>
    </w:p>
    <w:p>
      <w:pPr>
        <w:pStyle w:val="BodyText"/>
      </w:pPr>
      <w:r>
        <w:rPr>
          <w:b/>
          <w:bCs/>
        </w:rPr>
        <w:t xml:space="preserve">4. Mann L, Bateson D, Black KI. Teenage pregnancy. Aust J Gen Pract. 2020;49(6):310–316. doi: 10.31128/AJGP-02-20-5224.</w:t>
      </w:r>
    </w:p>
    <w:p>
      <w:pPr>
        <w:pStyle w:val="BodyText"/>
      </w:pPr>
      <w:r>
        <w:rPr>
          <w:b/>
          <w:bCs/>
        </w:rPr>
        <w:t xml:space="preserve">5. Organización Mundial de la Salud (OMS). Aceleración mundial de las medidas para promover la salud de los adolescentes (Guía AA-HA). Washington, D.C: Organización Panamericana de la Salud; 2018.</w:t>
      </w:r>
    </w:p>
    <w:p>
      <w:pPr>
        <w:pStyle w:val="BodyText"/>
      </w:pPr>
      <w:r>
        <w:rPr>
          <w:b/>
          <w:bCs/>
        </w:rPr>
        <w:t xml:space="preserve">6. Sanhueza A, Costa JC, Mújica OJ, Carvajal-Velez L, Caffe S, Victora C, et al. Trends and inequities in adolescent childbearing in Latin American and Caribbean countries across generations and over time: a population-based study. Lancet Child Adolesc Health. 2023;7(6):392–404. doi: 10.1016/S2352-4642(23)00077-9.</w:t>
      </w:r>
    </w:p>
    <w:p>
      <w:pPr>
        <w:pStyle w:val="BodyText"/>
      </w:pPr>
      <w:r>
        <w:rPr>
          <w:b/>
          <w:bCs/>
        </w:rPr>
        <w:t xml:space="preserve">7. World Health Organization. Adolescent pregnancy [Internet]. Geneva: World Health Organization; 2024 [cited 2024 Aug 9]. Available from: https://www.who.int/es/news-room/fact-sheets/detail/adolescent-pregnancy.</w:t>
      </w:r>
    </w:p>
    <w:p>
      <w:pPr>
        <w:pStyle w:val="BodyText"/>
      </w:pPr>
      <w:r>
        <w:rPr>
          <w:b/>
          <w:bCs/>
        </w:rPr>
        <w:t xml:space="preserve">8. Rodríguez Ribas C. Adolescent pregnancy, public policies, and targeted programs in Latin America and the Caribbean: a systematic review. Rev Panam Salud Publica. 2021;45:e144. doi: 10.26633/RPSP.2021.144.</w:t>
      </w:r>
    </w:p>
    <w:p>
      <w:pPr>
        <w:pStyle w:val="BodyText"/>
      </w:pPr>
      <w:r>
        <w:rPr>
          <w:b/>
          <w:bCs/>
        </w:rPr>
        <w:t xml:space="preserve">9. UNFPA Ecuador, UNICEF Ecuador, UNFPA LAC, Ministerio de Salud Pública. Consecuencias socioeconómicas del embarazo en la adolescencia en Ecuador: implementación de la metodología para estimar el impacto socioeconómico del embarazo y la maternidad adolescentes en países de América Latina y el Caribe–Milena 1.0 [Internet]. Quito: UNFPA Ecuador; 2020 [cited 2026 Aug 7]. Available from: https://ecuador.unfpa.org/sites/default/files/pub-pdf/consecuencias_socioeconomicas_del_embarazo_adolescente_en_ecuador_1.pdf.</w:t>
      </w:r>
    </w:p>
    <w:p>
      <w:pPr>
        <w:pStyle w:val="BodyText"/>
      </w:pPr>
      <w:r>
        <w:rPr>
          <w:b/>
          <w:bCs/>
        </w:rPr>
        <w:t xml:space="preserve">10. Hayer S, Fuentes-Rivera E, Schiavon R, Darney BG. Prenatal care utilization and perinatal outcomes among pregnant adolescents in Mexico, 2008–2019. Int J Gynaecol Obstet. 2024;165(3):1047–1055. doi: 10.1002/ijgo.15303.</w:t>
      </w:r>
    </w:p>
    <w:p>
      <w:pPr>
        <w:pStyle w:val="BodyText"/>
      </w:pPr>
      <w:r>
        <w:rPr>
          <w:b/>
          <w:bCs/>
        </w:rPr>
        <w:t xml:space="preserve">11. Ministerio de Salud Pública del Ecuador. Salud de adolescentes: guía de supervisión. 1a ed. Quito: Dirección Nacional de Normatización, Ministerio de Salud Pública; 2014.</w:t>
      </w:r>
    </w:p>
    <w:p>
      <w:pPr>
        <w:pStyle w:val="BodyText"/>
      </w:pPr>
      <w:r>
        <w:rPr>
          <w:b/>
          <w:bCs/>
        </w:rPr>
        <w:t xml:space="preserve">12. Peñaherrera Cepeda G. Historia e importancia de la ginecología en la infancia y adolescencia. MetroCiencia. 2022;30(4):55–59. doi: 10.47464/MetroCiencia/vol30/4/2022/55-59.</w:t>
      </w:r>
    </w:p>
    <w:p>
      <w:pPr>
        <w:pStyle w:val="BodyText"/>
      </w:pPr>
      <w:r>
        <w:rPr>
          <w:b/>
          <w:bCs/>
        </w:rPr>
        <w:t xml:space="preserve">13. Ecuador, Presidencia de la República. Reglamento General a la Ley Orgánica de Educación Intercultural [Internet]. Quito: Presidencia de la República; 2012 [cited 2026 Aug 7]. Available from: https://www.evaluacion.gob.ec/wp-content/uploads/downloads/2016/05/Reglamento_LOEI-enero2013.pdf.</w:t>
      </w:r>
    </w:p>
    <w:p>
      <w:pPr>
        <w:pStyle w:val="BodyText"/>
      </w:pPr>
      <w:r>
        <w:rPr>
          <w:b/>
          <w:bCs/>
        </w:rPr>
        <w:t xml:space="preserve">14. Ministerio de Educación y Cultura. Reglamento General de la Ley de Educación de la Estructura del Sistema Educativo [Internet]. Quito: Registro Oficial de la República del Ecuador; 1985 [cited 2026 Aug 7]. Available from: https://www.acnur.org/fileadmin/Documentos/BDL/2008/6625.pdf.</w:t>
      </w:r>
    </w:p>
    <w:p>
      <w:pPr>
        <w:pStyle w:val="BodyText"/>
      </w:pPr>
      <w:r>
        <w:rPr>
          <w:b/>
          <w:bCs/>
        </w:rPr>
        <w:t xml:space="preserve">15. World Health Organization. WHO recommendations on antenatal care for a positive pregnancy experience. Geneva: World Health Organization; 2016. Available from: https://www.who.int/publications/i/item/9789241549912.</w:t>
      </w:r>
    </w:p>
    <w:p>
      <w:pPr>
        <w:pStyle w:val="BodyText"/>
      </w:pPr>
      <w:r>
        <w:rPr>
          <w:b/>
          <w:bCs/>
        </w:rPr>
        <w:t xml:space="preserve">16. Mejia JR, Quincho-Estares ÁJ, Flores-Rondon AJ, Reyes-Beltran G, Arias-Sulca IL, Palomino-Hilario E, et al. Determinants of adolescent pregnancy in indigenous communities from the Peruvian central jungle: a case–control study. Reprod Health. 2021;18(1):203. doi: 10.1186/s12978-021-01247-z.</w:t>
      </w:r>
    </w:p>
    <w:p>
      <w:pPr>
        <w:pStyle w:val="BodyText"/>
      </w:pPr>
      <w:r>
        <w:rPr>
          <w:b/>
          <w:bCs/>
        </w:rPr>
        <w:t xml:space="preserve">17. Caira-Chuquineyra B, Fernandez-Guzman D, Meza-Gómez A, Luque-Mamani BM, Medina-Carpio SL, Mamani-García CS, et al. Prevalence and factors associated with adolescent pregnancy among sexually active adolescent girls in Peru: evidence from Demographic and Family Health Survey, 2015–2019 [version 2; peer review: 1 approved, 2 approved with reservations]. F1000Res. 2023;11:566. doi: 10.12688/f1000research.108837.2.</w:t>
      </w:r>
    </w:p>
    <w:p>
      <w:pPr>
        <w:pStyle w:val="BodyText"/>
      </w:pPr>
      <w:r>
        <w:rPr>
          <w:b/>
          <w:bCs/>
        </w:rPr>
        <w:t xml:space="preserve">18. United Nations, Department of Economic and Social Affairs, Population Division. Fertility among young adolescents aged 10 to 14 years [Internet]. New York: United Nations; 2020 [cited 2026 Aug 7]. Available from: https://www.un.org/en/development/desa/population/publications/pdf/fertility/Fertility-young-adolescents-2020.pdf.</w:t>
      </w:r>
    </w:p>
    <w:p>
      <w:pPr>
        <w:pStyle w:val="BodyText"/>
      </w:pPr>
      <w:r>
        <w:rPr>
          <w:b/>
          <w:bCs/>
        </w:rPr>
        <w:t xml:space="preserve">19. Borges ALV, Chofakian CB do N, Sato APS, Fujimori E, Duarte LS, Gomes MN. Fertility rates among very young adolescent women: temporal and spatial trends in Brazil. BMC Pregnancy Childbirth. 2016;16:98. doi: 10.1186/s12884-016-0843-x.</w:t>
      </w:r>
    </w:p>
    <w:p>
      <w:pPr>
        <w:pStyle w:val="BodyText"/>
      </w:pPr>
      <w:r>
        <w:rPr>
          <w:b/>
          <w:bCs/>
        </w:rPr>
        <w:t xml:space="preserve">20. Monteiro DLM, Monteiro IP, Machado MSC, Bruno ZV, Silveira FA da, Rehme MFB, et al. Trends in teenage pregnancy in Brazil in the last 20 years (2000–2019). Rev Assoc Med Bras. 2021;67(5):759–765. doi: 10.1590/1806-9282.20210265.</w:t>
      </w:r>
    </w:p>
    <w:p>
      <w:pPr>
        <w:pStyle w:val="BodyText"/>
      </w:pPr>
      <w:r>
        <w:rPr>
          <w:b/>
          <w:bCs/>
        </w:rPr>
        <w:t xml:space="preserve">21. Lopes MC de L, Oliveira RR de, Silva M de AP da, Padovani C, Oliveira NLB de, Higarashi IH. Tendência temporal e fatores associados à gravidez na adolescência. Rev Esc Enferm USP. 2020;54:e03639. doi: 10.1590/S1980-220X2019020403639.</w:t>
      </w:r>
    </w:p>
    <w:p>
      <w:pPr>
        <w:pStyle w:val="BodyText"/>
      </w:pPr>
      <w:r>
        <w:rPr>
          <w:b/>
          <w:bCs/>
        </w:rPr>
        <w:t xml:space="preserve">22. Diabelková J, Rimárová K, Dorko E, Urdzík P, Houžvičková A, Argalášová Ľ. Adolescent pregnancy outcomes and risk factors. Int J Environ Res Public Health. 2023;20(5):4113. doi: 10.3390/ijerph20054113.</w:t>
      </w:r>
    </w:p>
    <w:p>
      <w:pPr>
        <w:pStyle w:val="BodyText"/>
      </w:pPr>
      <w:r>
        <w:rPr>
          <w:b/>
          <w:bCs/>
        </w:rPr>
        <w:t xml:space="preserve">23. Assis T de SC, Martinelli KG, Gama SGN da, Santos Neto ET dos. Reincidência de gravidez na adolescência: fatores associados e desfechos maternos e neonatais. Cien Saude Colet. 2022;27(8):3261–3271. doi: 10.1590/1413-81232022278.00292022.</w:t>
      </w:r>
    </w:p>
    <w:p>
      <w:pPr>
        <w:pStyle w:val="BodyText"/>
      </w:pPr>
      <w:r>
        <w:rPr>
          <w:b/>
          <w:bCs/>
        </w:rPr>
        <w:t xml:space="preserve">24. Ramage K, Tough S, Scott C, McLaughlin AM, Metcalfe A. Trends in adolescent rapid repeat pregnancy in Canada. J Obstet Gynaecol Can. 2021;43(5):589–595. doi: 10.1016/j.jogc.2020.09.024.</w:t>
      </w:r>
    </w:p>
    <w:p>
      <w:pPr>
        <w:pStyle w:val="BodyText"/>
      </w:pPr>
      <w:r>
        <w:rPr>
          <w:b/>
          <w:bCs/>
        </w:rPr>
        <w:t xml:space="preserve">25. Bennetsen AKK, Faber MT, Nygaard M, Sundström K, Hansen BT, Thomsen LT, et al. Factors associated with teenage pregnancy in the Scandinavian countries. Scand J Public Health. 2024;52(6):616–623. doi: 10.1177/14034948231172819.</w:t>
      </w:r>
    </w:p>
    <w:p>
      <w:pPr>
        <w:pStyle w:val="BodyText"/>
      </w:pPr>
      <w:r>
        <w:rPr>
          <w:b/>
          <w:bCs/>
        </w:rPr>
        <w:t xml:space="preserve">26. Traisrisilp K, Jaiprom J, Luewan S, Tongsong T. Pregnancy outcomes among mothers aged 15 years or less. J Obstet Gynaecol Res. 2015;41(11):1726–1731. doi: 10.1111/jog.12789.</w:t>
      </w:r>
    </w:p>
    <w:p>
      <w:pPr>
        <w:pStyle w:val="BodyText"/>
      </w:pPr>
      <w:r>
        <w:rPr>
          <w:b/>
          <w:bCs/>
        </w:rPr>
        <w:t xml:space="preserve">27. Lastinger J, Enengl S, Neururer S, Leitner H, Oppelt P, Stelzl P. Teenage pregnancies in Austria: an epidemiological study on prevalence and perinatal outcome. Geburtshilfe Frauenheilkd. 2023;83(2):212–219. doi: 10.1055/a-1911-1996.</w:t>
      </w:r>
    </w:p>
    <w:p>
      <w:pPr>
        <w:pStyle w:val="BodyText"/>
      </w:pPr>
      <w:r>
        <w:drawing>
          <wp:inline>
            <wp:extent cx="5334000" cy="4295018"/>
            <wp:effectExtent b="0" l="0" r="0" t="0"/>
            <wp:docPr descr="" title="" id="13" name="Picture"/>
            <a:graphic>
              <a:graphicData uri="http://schemas.openxmlformats.org/drawingml/2006/picture">
                <pic:pic>
                  <pic:nvPicPr>
                    <pic:cNvPr descr="media/media/image1.png" id="14" name="Picture"/>
                    <pic:cNvPicPr>
                      <a:picLocks noChangeArrowheads="1" noChangeAspect="1"/>
                    </pic:cNvPicPr>
                  </pic:nvPicPr>
                  <pic:blipFill>
                    <a:blip r:embed="rId12"/>
                    <a:stretch>
                      <a:fillRect/>
                    </a:stretch>
                  </pic:blipFill>
                  <pic:spPr bwMode="auto">
                    <a:xfrm>
                      <a:off x="0" y="0"/>
                      <a:ext cx="5334000" cy="4295018"/>
                    </a:xfrm>
                    <a:prstGeom prst="rect">
                      <a:avLst/>
                    </a:prstGeom>
                    <a:noFill/>
                    <a:ln w="9525">
                      <a:noFill/>
                      <a:headEnd/>
                      <a:tailEnd/>
                    </a:ln>
                  </pic:spPr>
                </pic:pic>
              </a:graphicData>
            </a:graphic>
          </wp:inline>
        </w:drawing>
      </w:r>
    </w:p>
    <w:p>
      <w:pPr>
        <w:pStyle w:val="BodyText"/>
      </w:pPr>
      <w:r>
        <w:rPr>
          <w:b/>
          <w:bCs/>
        </w:rPr>
        <w:t xml:space="preserve">Figura 1.</w:t>
      </w:r>
      <w:r>
        <w:t xml:space="preserve"> </w:t>
      </w:r>
      <w:r>
        <w:t xml:space="preserve">Marco de selección y muestras analíticas del estudio.</w:t>
      </w:r>
    </w:p>
    <w:p>
      <w:pPr>
        <w:pStyle w:val="BodyText"/>
      </w:pPr>
      <w:r>
        <w:rPr>
          <w:b/>
          <w:bCs/>
        </w:rPr>
        <w:t xml:space="preserve">Nota:</w:t>
      </w:r>
      <w:r>
        <w:t xml:space="preserve"> </w:t>
      </w:r>
      <w:r>
        <w:t xml:space="preserve">la base SIP accesible ya estaba condicionada por admisión neonatal antes de su disponibilidad para el estudio; la población institucional completa y los partos no incluidos no fueron observados. Los factores sociodemográficos, reproductivos/obstétricos y de atención prenatal se muestran como posibles determinantes del mecanismo de selección, no como causas ni efectos causales estimados. Después de eliminar duplicados exactos y consolidar registros de gestaciones múltiples, la muestra final incluyó 7.035 eventos obstétricos maternos; la descripción neonatal se restringió a 6.790 nacimientos únicos. La inferencia se limita a la población seleccionada analizada.</w:t>
      </w:r>
    </w:p>
    <w:p>
      <w:pPr>
        <w:pStyle w:val="BodyText"/>
      </w:pPr>
      <w:r>
        <w:drawing>
          <wp:inline>
            <wp:extent cx="5334000" cy="4234593"/>
            <wp:effectExtent b="0" l="0" r="0" t="0"/>
            <wp:docPr descr="" title="" id="16" name="Picture"/>
            <a:graphic>
              <a:graphicData uri="http://schemas.openxmlformats.org/drawingml/2006/picture">
                <pic:pic>
                  <pic:nvPicPr>
                    <pic:cNvPr descr="media/media/image2.png" id="17" name="Picture"/>
                    <pic:cNvPicPr>
                      <a:picLocks noChangeArrowheads="1" noChangeAspect="1"/>
                    </pic:cNvPicPr>
                  </pic:nvPicPr>
                  <pic:blipFill>
                    <a:blip r:embed="rId15"/>
                    <a:stretch>
                      <a:fillRect/>
                    </a:stretch>
                  </pic:blipFill>
                  <pic:spPr bwMode="auto">
                    <a:xfrm>
                      <a:off x="0" y="0"/>
                      <a:ext cx="5334000" cy="4234593"/>
                    </a:xfrm>
                    <a:prstGeom prst="rect">
                      <a:avLst/>
                    </a:prstGeom>
                    <a:noFill/>
                    <a:ln w="9525">
                      <a:noFill/>
                      <a:headEnd/>
                      <a:tailEnd/>
                    </a:ln>
                  </pic:spPr>
                </pic:pic>
              </a:graphicData>
            </a:graphic>
          </wp:inline>
        </w:drawing>
      </w:r>
    </w:p>
    <w:p>
      <w:pPr>
        <w:pStyle w:val="BodyText"/>
      </w:pPr>
      <w:r>
        <w:rPr>
          <w:b/>
          <w:bCs/>
        </w:rPr>
        <w:t xml:space="preserve">Figura 2.</w:t>
      </w:r>
      <w:r>
        <w:t xml:space="preserve"> </w:t>
      </w:r>
      <w:r>
        <w:t xml:space="preserve">Flujograma de selección de participantes.</w:t>
      </w:r>
    </w:p>
    <w:p>
      <w:pPr>
        <w:pStyle w:val="BodyText"/>
      </w:pPr>
      <w:r>
        <w:rPr>
          <w:i/>
          <w:iCs/>
        </w:rPr>
        <w:t xml:space="preserve">La población fuente estuvo constituida por registros madre–recién nacido de adolescentes de 10–19 años cuyos recién nacidos fueron admitidos en Neonatología durante enero de 2009–junio de 2024. No se identificaron registros de madres menores de 10 años. Los registros sin edad materna consignada no fueron elegibles para la clasificación etaria y no se incluyeron en la base inicial de 7.202 registros. Los óbitos fetales y las pérdidas gestacionales no formaron parte de esta población fuente.</w:t>
      </w:r>
    </w:p>
    <w:p>
      <w:pPr>
        <w:pStyle w:val="BodyText"/>
      </w:pPr>
      <w:r>
        <w:drawing>
          <wp:inline>
            <wp:extent cx="5334000" cy="3167063"/>
            <wp:effectExtent b="0" l="0" r="0" t="0"/>
            <wp:docPr descr="" title="" id="19" name="Picture"/>
            <a:graphic>
              <a:graphicData uri="http://schemas.openxmlformats.org/drawingml/2006/picture">
                <pic:pic>
                  <pic:nvPicPr>
                    <pic:cNvPr descr="media/media/image3.jpeg" id="20" name="Picture"/>
                    <pic:cNvPicPr>
                      <a:picLocks noChangeArrowheads="1" noChangeAspect="1"/>
                    </pic:cNvPicPr>
                  </pic:nvPicPr>
                  <pic:blipFill>
                    <a:blip r:embed="rId18"/>
                    <a:stretch>
                      <a:fillRect/>
                    </a:stretch>
                  </pic:blipFill>
                  <pic:spPr bwMode="auto">
                    <a:xfrm>
                      <a:off x="0" y="0"/>
                      <a:ext cx="5334000" cy="3167063"/>
                    </a:xfrm>
                    <a:prstGeom prst="rect">
                      <a:avLst/>
                    </a:prstGeom>
                    <a:noFill/>
                    <a:ln w="9525">
                      <a:noFill/>
                      <a:headEnd/>
                      <a:tailEnd/>
                    </a:ln>
                  </pic:spPr>
                </pic:pic>
              </a:graphicData>
            </a:graphic>
          </wp:inline>
        </w:drawing>
      </w:r>
    </w:p>
    <w:p>
      <w:pPr>
        <w:pStyle w:val="BodyText"/>
      </w:pPr>
      <w:r>
        <w:rPr>
          <w:b/>
          <w:bCs/>
        </w:rPr>
        <w:t xml:space="preserve">Figura 3.</w:t>
      </w:r>
      <w:r>
        <w:t xml:space="preserve"> </w:t>
      </w:r>
      <w:r>
        <w:t xml:space="preserve">Distribución anual de eventos obstétricos maternos según grupo etario, enero de 2009–junio de 2024.</w:t>
      </w:r>
    </w:p>
    <w:p>
      <w:pPr>
        <w:pStyle w:val="BodyText"/>
      </w:pPr>
      <w:r>
        <w:rPr>
          <w:b/>
          <w:bCs/>
        </w:rPr>
        <w:t xml:space="preserve">Nota:</w:t>
      </w:r>
      <w:r>
        <w:t xml:space="preserve"> </w:t>
      </w:r>
      <w:r>
        <w:t xml:space="preserve">las barras muestran proporciones dentro de la base SIP ya seleccionada por admisión neonatal; el número sobre cada barra corresponde al total anual de eventos obstétricos maternos y el número dentro del segmento oscuro a los eventos de adolescentes de 10–14 años. El dato de 2024 incluye exclusivamente enero–junio, se presenta separado y rotulado como período parcial, no se anualizó ni se comparó directamente con los años completos de 2009–2023.</w:t>
      </w:r>
    </w:p>
    <w:bookmarkEnd w:id="21"/>
    <w:bookmarkStart w:id="22" w:name="Xe4fb4ee9967ca736f61e04e82221b7da644345e"/>
    <w:p>
      <w:pPr>
        <w:pStyle w:val="Heading1"/>
      </w:pPr>
      <w:r>
        <w:t xml:space="preserve">1. </w:t>
      </w:r>
      <w:r>
        <w:rPr>
          <w:b/>
          <w:bCs/>
        </w:rPr>
        <w:t xml:space="preserve">Tabla 1. Características sociodemográficas, reproductivas y obstétricas</w:t>
      </w:r>
    </w:p>
    <w:tbl>
      <w:tblPr>
        <w:tblStyle w:val="Table"/>
        <w:tblW w:type="pct" w:w="5000"/>
        <w:tblLayout w:type="fixed"/>
        <w:tblLook w:firstRow="0" w:lastRow="0" w:firstColumn="0" w:lastColumn="0" w:noHBand="0" w:noVBand="0" w:val="0000"/>
      </w:tblPr>
      <w:tblGrid>
        <w:gridCol w:w="1844"/>
        <w:gridCol w:w="1518"/>
        <w:gridCol w:w="1518"/>
        <w:gridCol w:w="1518"/>
        <w:gridCol w:w="1518"/>
      </w:tblGrid>
      <w:tr>
        <w:tc>
          <w:tcPr/>
          <w:p>
            <w:pPr>
              <w:pStyle w:val="Compact"/>
              <w:jc w:val="left"/>
            </w:pPr>
            <w:r>
              <w:rPr>
                <w:b/>
                <w:bCs/>
              </w:rPr>
              <w:t xml:space="preserve">Variable</w:t>
            </w:r>
          </w:p>
        </w:tc>
        <w:tc>
          <w:tcPr/>
          <w:p>
            <w:pPr>
              <w:pStyle w:val="Compact"/>
              <w:jc w:val="left"/>
            </w:pPr>
            <w:r>
              <w:rPr>
                <w:b/>
                <w:bCs/>
              </w:rPr>
              <w:t xml:space="preserve">n</w:t>
            </w:r>
          </w:p>
        </w:tc>
        <w:tc>
          <w:tcPr/>
          <w:p>
            <w:pPr>
              <w:pStyle w:val="Compact"/>
              <w:jc w:val="left"/>
            </w:pPr>
            <w:r>
              <w:rPr>
                <w:b/>
                <w:bCs/>
              </w:rPr>
              <w:t xml:space="preserve">15–19 años</w:t>
            </w:r>
          </w:p>
        </w:tc>
        <w:tc>
          <w:tcPr/>
          <w:p>
            <w:pPr>
              <w:pStyle w:val="Compact"/>
              <w:jc w:val="left"/>
            </w:pPr>
            <w:r>
              <w:rPr>
                <w:b/>
                <w:bCs/>
              </w:rPr>
              <w:t xml:space="preserve">n</w:t>
            </w:r>
          </w:p>
        </w:tc>
        <w:tc>
          <w:tcPr/>
          <w:p>
            <w:pPr>
              <w:pStyle w:val="Compact"/>
              <w:jc w:val="left"/>
            </w:pPr>
            <w:r>
              <w:rPr>
                <w:b/>
                <w:bCs/>
              </w:rPr>
              <w:t xml:space="preserve">10–14 años</w:t>
            </w:r>
          </w:p>
        </w:tc>
      </w:tr>
      <w:tr>
        <w:tc>
          <w:tcPr/>
          <w:p>
            <w:pPr>
              <w:pStyle w:val="Compact"/>
              <w:jc w:val="left"/>
            </w:pPr>
            <w:r>
              <w:rPr>
                <w:b/>
                <w:bCs/>
                <w:i/>
                <w:iCs/>
              </w:rPr>
              <w:t xml:space="preserve">Variables sociodemográficas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Pareja estable</w:t>
            </w:r>
          </w:p>
        </w:tc>
        <w:tc>
          <w:tcPr/>
          <w:p>
            <w:pPr>
              <w:pStyle w:val="Compact"/>
              <w:jc w:val="left"/>
            </w:pPr>
            <w:r>
              <w:t xml:space="preserve">6649</w:t>
            </w:r>
          </w:p>
        </w:tc>
        <w:tc>
          <w:tcPr/>
          <w:p>
            <w:pPr>
              <w:pStyle w:val="Compact"/>
              <w:jc w:val="left"/>
            </w:pPr>
            <w:r>
              <w:t xml:space="preserve">55,9 %</w:t>
            </w:r>
          </w:p>
        </w:tc>
        <w:tc>
          <w:tcPr/>
          <w:p>
            <w:pPr>
              <w:pStyle w:val="Compact"/>
              <w:jc w:val="left"/>
            </w:pPr>
            <w:r>
              <w:t xml:space="preserve">386</w:t>
            </w:r>
          </w:p>
        </w:tc>
        <w:tc>
          <w:tcPr/>
          <w:p>
            <w:pPr>
              <w:pStyle w:val="Compact"/>
              <w:jc w:val="left"/>
            </w:pPr>
            <w:r>
              <w:t xml:space="preserve">47,9 %</w:t>
            </w:r>
          </w:p>
        </w:tc>
      </w:tr>
      <w:tr>
        <w:tc>
          <w:tcPr/>
          <w:p>
            <w:pPr>
              <w:pStyle w:val="Compact"/>
              <w:jc w:val="left"/>
            </w:pPr>
            <w:r>
              <w:t xml:space="preserve">Menor nivel educativo registradoᵃ</w:t>
            </w:r>
          </w:p>
        </w:tc>
        <w:tc>
          <w:tcPr/>
          <w:p>
            <w:pPr>
              <w:pStyle w:val="Compact"/>
              <w:jc w:val="left"/>
            </w:pPr>
            <w:r>
              <w:t xml:space="preserve">6649</w:t>
            </w:r>
          </w:p>
        </w:tc>
        <w:tc>
          <w:tcPr/>
          <w:p>
            <w:pPr>
              <w:pStyle w:val="Compact"/>
              <w:jc w:val="left"/>
            </w:pPr>
            <w:r>
              <w:t xml:space="preserve">15,1 %</w:t>
            </w:r>
          </w:p>
        </w:tc>
        <w:tc>
          <w:tcPr/>
          <w:p>
            <w:pPr>
              <w:pStyle w:val="Compact"/>
              <w:jc w:val="left"/>
            </w:pPr>
            <w:r>
              <w:t xml:space="preserve">386</w:t>
            </w:r>
          </w:p>
        </w:tc>
        <w:tc>
          <w:tcPr/>
          <w:p>
            <w:pPr>
              <w:pStyle w:val="Compact"/>
              <w:jc w:val="left"/>
            </w:pPr>
            <w:r>
              <w:t xml:space="preserve">65,8 %</w:t>
            </w:r>
          </w:p>
        </w:tc>
      </w:tr>
      <w:tr>
        <w:tc>
          <w:tcPr/>
          <w:p>
            <w:pPr>
              <w:pStyle w:val="Compact"/>
              <w:jc w:val="left"/>
            </w:pPr>
            <w:r>
              <w:t xml:space="preserve">Etnia minoritaria (autoidentificación)</w:t>
            </w:r>
          </w:p>
        </w:tc>
        <w:tc>
          <w:tcPr/>
          <w:p>
            <w:pPr>
              <w:pStyle w:val="Compact"/>
              <w:jc w:val="left"/>
            </w:pPr>
            <w:r>
              <w:t xml:space="preserve">6649</w:t>
            </w:r>
          </w:p>
        </w:tc>
        <w:tc>
          <w:tcPr/>
          <w:p>
            <w:pPr>
              <w:pStyle w:val="Compact"/>
              <w:jc w:val="left"/>
            </w:pPr>
            <w:r>
              <w:t xml:space="preserve">4,9 %</w:t>
            </w:r>
          </w:p>
        </w:tc>
        <w:tc>
          <w:tcPr/>
          <w:p>
            <w:pPr>
              <w:pStyle w:val="Compact"/>
              <w:jc w:val="left"/>
            </w:pPr>
            <w:r>
              <w:t xml:space="preserve">386</w:t>
            </w:r>
          </w:p>
        </w:tc>
        <w:tc>
          <w:tcPr/>
          <w:p>
            <w:pPr>
              <w:pStyle w:val="Compact"/>
              <w:jc w:val="left"/>
            </w:pPr>
            <w:r>
              <w:t xml:space="preserve">8,8 %</w:t>
            </w:r>
          </w:p>
        </w:tc>
      </w:tr>
      <w:tr>
        <w:tc>
          <w:tcPr/>
          <w:p>
            <w:pPr>
              <w:pStyle w:val="Compact"/>
              <w:jc w:val="left"/>
            </w:pPr>
            <w:r>
              <w:t xml:space="preserve">Rezago escolar (≥2 años respecto de lo esperado para la edad)</w:t>
            </w:r>
          </w:p>
        </w:tc>
        <w:tc>
          <w:tcPr/>
          <w:p>
            <w:pPr>
              <w:pStyle w:val="Compact"/>
              <w:jc w:val="left"/>
            </w:pPr>
            <w:r>
              <w:t xml:space="preserve">6645</w:t>
            </w:r>
          </w:p>
        </w:tc>
        <w:tc>
          <w:tcPr/>
          <w:p>
            <w:pPr>
              <w:pStyle w:val="Compact"/>
              <w:jc w:val="left"/>
            </w:pPr>
            <w:r>
              <w:t xml:space="preserve">16,6 %</w:t>
            </w:r>
          </w:p>
        </w:tc>
        <w:tc>
          <w:tcPr/>
          <w:p>
            <w:pPr>
              <w:pStyle w:val="Compact"/>
              <w:jc w:val="left"/>
            </w:pPr>
            <w:r>
              <w:t xml:space="preserve">382</w:t>
            </w:r>
          </w:p>
        </w:tc>
        <w:tc>
          <w:tcPr/>
          <w:p>
            <w:pPr>
              <w:pStyle w:val="Compact"/>
              <w:jc w:val="left"/>
            </w:pPr>
            <w:r>
              <w:t xml:space="preserve">34,6 %</w:t>
            </w:r>
          </w:p>
        </w:tc>
      </w:tr>
      <w:tr>
        <w:tc>
          <w:tcPr/>
          <w:p>
            <w:pPr>
              <w:pStyle w:val="Compact"/>
              <w:jc w:val="left"/>
            </w:pPr>
            <w:r>
              <w:rPr>
                <w:b/>
                <w:bCs/>
                <w:i/>
                <w:iCs/>
              </w:rPr>
              <w:t xml:space="preserve">Antecedentes reproductivos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Gestas previas</w:t>
            </w:r>
          </w:p>
        </w:tc>
        <w:tc>
          <w:tcPr/>
          <w:p>
            <w:pPr>
              <w:pStyle w:val="Compact"/>
              <w:jc w:val="left"/>
            </w:pPr>
            <w:r>
              <w:t xml:space="preserve">6649</w:t>
            </w:r>
          </w:p>
        </w:tc>
        <w:tc>
          <w:tcPr/>
          <w:p>
            <w:pPr>
              <w:pStyle w:val="Compact"/>
              <w:jc w:val="left"/>
            </w:pPr>
            <w:r>
              <w:t xml:space="preserve">18,3 %</w:t>
            </w:r>
          </w:p>
        </w:tc>
        <w:tc>
          <w:tcPr/>
          <w:p>
            <w:pPr>
              <w:pStyle w:val="Compact"/>
              <w:jc w:val="left"/>
            </w:pPr>
            <w:r>
              <w:t xml:space="preserve">386</w:t>
            </w:r>
          </w:p>
        </w:tc>
        <w:tc>
          <w:tcPr/>
          <w:p>
            <w:pPr>
              <w:pStyle w:val="Compact"/>
              <w:jc w:val="left"/>
            </w:pPr>
            <w:r>
              <w:t xml:space="preserve">2,8 %</w:t>
            </w:r>
          </w:p>
        </w:tc>
      </w:tr>
      <w:tr>
        <w:tc>
          <w:tcPr/>
          <w:p>
            <w:pPr>
              <w:pStyle w:val="Compact"/>
              <w:jc w:val="left"/>
            </w:pPr>
            <w:r>
              <w:t xml:space="preserve">Embarazo múltiple</w:t>
            </w:r>
          </w:p>
        </w:tc>
        <w:tc>
          <w:tcPr/>
          <w:p>
            <w:pPr>
              <w:pStyle w:val="Compact"/>
              <w:jc w:val="left"/>
            </w:pPr>
            <w:r>
              <w:t xml:space="preserve">6649</w:t>
            </w:r>
          </w:p>
        </w:tc>
        <w:tc>
          <w:tcPr/>
          <w:p>
            <w:pPr>
              <w:pStyle w:val="Compact"/>
              <w:jc w:val="left"/>
            </w:pPr>
            <w:r>
              <w:t xml:space="preserve">3,6 %</w:t>
            </w:r>
          </w:p>
        </w:tc>
        <w:tc>
          <w:tcPr/>
          <w:p>
            <w:pPr>
              <w:pStyle w:val="Compact"/>
              <w:jc w:val="left"/>
            </w:pPr>
            <w:r>
              <w:t xml:space="preserve">386</w:t>
            </w:r>
          </w:p>
        </w:tc>
        <w:tc>
          <w:tcPr/>
          <w:p>
            <w:pPr>
              <w:pStyle w:val="Compact"/>
              <w:jc w:val="left"/>
            </w:pPr>
            <w:r>
              <w:t xml:space="preserve">1,3 %</w:t>
            </w:r>
          </w:p>
        </w:tc>
      </w:tr>
      <w:tr>
        <w:tc>
          <w:tcPr/>
          <w:p>
            <w:pPr>
              <w:pStyle w:val="Compact"/>
              <w:jc w:val="left"/>
            </w:pPr>
            <w:r>
              <w:t xml:space="preserve">Embarazo planeado (registrado)</w:t>
            </w:r>
          </w:p>
        </w:tc>
        <w:tc>
          <w:tcPr/>
          <w:p>
            <w:pPr>
              <w:pStyle w:val="Compact"/>
              <w:jc w:val="left"/>
            </w:pPr>
            <w:r>
              <w:t xml:space="preserve">6649</w:t>
            </w:r>
          </w:p>
        </w:tc>
        <w:tc>
          <w:tcPr/>
          <w:p>
            <w:pPr>
              <w:pStyle w:val="Compact"/>
              <w:jc w:val="left"/>
            </w:pPr>
            <w:r>
              <w:t xml:space="preserve">22,9 %</w:t>
            </w:r>
          </w:p>
        </w:tc>
        <w:tc>
          <w:tcPr/>
          <w:p>
            <w:pPr>
              <w:pStyle w:val="Compact"/>
              <w:jc w:val="left"/>
            </w:pPr>
            <w:r>
              <w:t xml:space="preserve">386</w:t>
            </w:r>
          </w:p>
        </w:tc>
        <w:tc>
          <w:tcPr/>
          <w:p>
            <w:pPr>
              <w:pStyle w:val="Compact"/>
              <w:jc w:val="left"/>
            </w:pPr>
            <w:r>
              <w:t xml:space="preserve">14,2 %</w:t>
            </w:r>
          </w:p>
        </w:tc>
      </w:tr>
      <w:tr>
        <w:tc>
          <w:tcPr/>
          <w:p>
            <w:pPr>
              <w:pStyle w:val="Compact"/>
              <w:jc w:val="left"/>
            </w:pPr>
            <w:r>
              <w:t xml:space="preserve">Falla de método anticonceptivo (registrada)</w:t>
            </w:r>
          </w:p>
        </w:tc>
        <w:tc>
          <w:tcPr/>
          <w:p>
            <w:pPr>
              <w:pStyle w:val="Compact"/>
              <w:jc w:val="left"/>
            </w:pPr>
            <w:r>
              <w:t xml:space="preserve">6649</w:t>
            </w:r>
          </w:p>
        </w:tc>
        <w:tc>
          <w:tcPr/>
          <w:p>
            <w:pPr>
              <w:pStyle w:val="Compact"/>
              <w:jc w:val="left"/>
            </w:pPr>
            <w:r>
              <w:t xml:space="preserve">17,4 %</w:t>
            </w:r>
          </w:p>
        </w:tc>
        <w:tc>
          <w:tcPr/>
          <w:p>
            <w:pPr>
              <w:pStyle w:val="Compact"/>
              <w:jc w:val="left"/>
            </w:pPr>
            <w:r>
              <w:t xml:space="preserve">386</w:t>
            </w:r>
          </w:p>
        </w:tc>
        <w:tc>
          <w:tcPr/>
          <w:p>
            <w:pPr>
              <w:pStyle w:val="Compact"/>
              <w:jc w:val="left"/>
            </w:pPr>
            <w:r>
              <w:t xml:space="preserve">7,3 %</w:t>
            </w:r>
          </w:p>
        </w:tc>
      </w:tr>
      <w:tr>
        <w:tc>
          <w:tcPr/>
          <w:p>
            <w:pPr>
              <w:pStyle w:val="Compact"/>
              <w:jc w:val="left"/>
            </w:pPr>
            <w:r>
              <w:rPr>
                <w:b/>
                <w:bCs/>
                <w:i/>
                <w:iCs/>
              </w:rPr>
              <w:t xml:space="preserve">Atención prenatal</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N.º de consultas prenatales, mediana [RIC]</w:t>
            </w:r>
          </w:p>
        </w:tc>
        <w:tc>
          <w:tcPr/>
          <w:p>
            <w:pPr>
              <w:pStyle w:val="Compact"/>
              <w:jc w:val="left"/>
            </w:pPr>
            <w:r>
              <w:t xml:space="preserve">6511</w:t>
            </w:r>
          </w:p>
        </w:tc>
        <w:tc>
          <w:tcPr/>
          <w:p>
            <w:pPr>
              <w:pStyle w:val="Compact"/>
              <w:jc w:val="left"/>
            </w:pPr>
            <w:r>
              <w:t xml:space="preserve">6 [4–8]</w:t>
            </w:r>
          </w:p>
        </w:tc>
        <w:tc>
          <w:tcPr/>
          <w:p>
            <w:pPr>
              <w:pStyle w:val="Compact"/>
              <w:jc w:val="left"/>
            </w:pPr>
            <w:r>
              <w:t xml:space="preserve">373</w:t>
            </w:r>
          </w:p>
        </w:tc>
        <w:tc>
          <w:tcPr/>
          <w:p>
            <w:pPr>
              <w:pStyle w:val="Compact"/>
              <w:jc w:val="left"/>
            </w:pPr>
            <w:r>
              <w:t xml:space="preserve">5 [3–7]</w:t>
            </w:r>
          </w:p>
        </w:tc>
      </w:tr>
      <w:tr>
        <w:tc>
          <w:tcPr/>
          <w:p>
            <w:pPr>
              <w:pStyle w:val="Compact"/>
              <w:jc w:val="left"/>
            </w:pPr>
            <w:r>
              <w:t xml:space="preserve">Adecuación del control prenatal — categoría</w:t>
            </w:r>
            <w:r>
              <w:t xml:space="preserve"> </w:t>
            </w:r>
            <w:r>
              <w:t xml:space="preserve">“adecuado”</w:t>
            </w:r>
          </w:p>
        </w:tc>
        <w:tc>
          <w:tcPr/>
          <w:p>
            <w:pPr>
              <w:pStyle w:val="Compact"/>
              <w:jc w:val="left"/>
            </w:pPr>
            <w:r>
              <w:t xml:space="preserve">6487</w:t>
            </w:r>
          </w:p>
        </w:tc>
        <w:tc>
          <w:tcPr/>
          <w:p>
            <w:pPr>
              <w:pStyle w:val="Compact"/>
              <w:jc w:val="left"/>
            </w:pPr>
            <w:r>
              <w:t xml:space="preserve">61,6 %</w:t>
            </w:r>
          </w:p>
        </w:tc>
        <w:tc>
          <w:tcPr/>
          <w:p>
            <w:pPr>
              <w:pStyle w:val="Compact"/>
              <w:jc w:val="left"/>
            </w:pPr>
            <w:r>
              <w:t xml:space="preserve">373</w:t>
            </w:r>
          </w:p>
        </w:tc>
        <w:tc>
          <w:tcPr/>
          <w:p>
            <w:pPr>
              <w:pStyle w:val="Compact"/>
              <w:jc w:val="left"/>
            </w:pPr>
            <w:r>
              <w:t xml:space="preserve">53,4 %</w:t>
            </w:r>
          </w:p>
        </w:tc>
      </w:tr>
      <w:tr>
        <w:tc>
          <w:tcPr/>
          <w:p>
            <w:pPr>
              <w:pStyle w:val="Compact"/>
              <w:jc w:val="left"/>
            </w:pPr>
            <w:r>
              <w:rPr>
                <w:b/>
                <w:bCs/>
                <w:i/>
                <w:iCs/>
              </w:rPr>
              <w:t xml:space="preserve">Condiciones obstétricas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Infección urinaria</w:t>
            </w:r>
          </w:p>
        </w:tc>
        <w:tc>
          <w:tcPr/>
          <w:p>
            <w:pPr>
              <w:pStyle w:val="Compact"/>
              <w:jc w:val="left"/>
            </w:pPr>
            <w:r>
              <w:t xml:space="preserve">6561</w:t>
            </w:r>
          </w:p>
        </w:tc>
        <w:tc>
          <w:tcPr/>
          <w:p>
            <w:pPr>
              <w:pStyle w:val="Compact"/>
              <w:jc w:val="left"/>
            </w:pPr>
            <w:r>
              <w:t xml:space="preserve">52,7 %</w:t>
            </w:r>
          </w:p>
        </w:tc>
        <w:tc>
          <w:tcPr/>
          <w:p>
            <w:pPr>
              <w:pStyle w:val="Compact"/>
              <w:jc w:val="left"/>
            </w:pPr>
            <w:r>
              <w:t xml:space="preserve">378</w:t>
            </w:r>
          </w:p>
        </w:tc>
        <w:tc>
          <w:tcPr/>
          <w:p>
            <w:pPr>
              <w:pStyle w:val="Compact"/>
              <w:jc w:val="left"/>
            </w:pPr>
            <w:r>
              <w:t xml:space="preserve">42,6 %</w:t>
            </w:r>
          </w:p>
        </w:tc>
      </w:tr>
      <w:tr>
        <w:tc>
          <w:tcPr/>
          <w:p>
            <w:pPr>
              <w:pStyle w:val="Compact"/>
              <w:jc w:val="left"/>
            </w:pPr>
            <w:r>
              <w:t xml:space="preserve">Compromiso del bienestar fetal</w:t>
            </w:r>
          </w:p>
        </w:tc>
        <w:tc>
          <w:tcPr/>
          <w:p>
            <w:pPr>
              <w:pStyle w:val="Compact"/>
              <w:jc w:val="left"/>
            </w:pPr>
            <w:r>
              <w:t xml:space="preserve">6649</w:t>
            </w:r>
          </w:p>
        </w:tc>
        <w:tc>
          <w:tcPr/>
          <w:p>
            <w:pPr>
              <w:pStyle w:val="Compact"/>
              <w:jc w:val="left"/>
            </w:pPr>
            <w:r>
              <w:t xml:space="preserve">10,3 %</w:t>
            </w:r>
          </w:p>
        </w:tc>
        <w:tc>
          <w:tcPr/>
          <w:p>
            <w:pPr>
              <w:pStyle w:val="Compact"/>
              <w:jc w:val="left"/>
            </w:pPr>
            <w:r>
              <w:t xml:space="preserve">386</w:t>
            </w:r>
          </w:p>
        </w:tc>
        <w:tc>
          <w:tcPr/>
          <w:p>
            <w:pPr>
              <w:pStyle w:val="Compact"/>
              <w:jc w:val="left"/>
            </w:pPr>
            <w:r>
              <w:t xml:space="preserve">6,0 %</w:t>
            </w:r>
          </w:p>
        </w:tc>
      </w:tr>
      <w:tr>
        <w:tc>
          <w:tcPr/>
          <w:p>
            <w:pPr>
              <w:pStyle w:val="Compact"/>
              <w:jc w:val="left"/>
            </w:pPr>
            <w:r>
              <w:t xml:space="preserve">Trastorno hipertensivo del embarazo</w:t>
            </w:r>
          </w:p>
        </w:tc>
        <w:tc>
          <w:tcPr/>
          <w:p>
            <w:pPr>
              <w:pStyle w:val="Compact"/>
              <w:jc w:val="left"/>
            </w:pPr>
            <w:r>
              <w:t xml:space="preserve">6532</w:t>
            </w:r>
          </w:p>
        </w:tc>
        <w:tc>
          <w:tcPr/>
          <w:p>
            <w:pPr>
              <w:pStyle w:val="Compact"/>
              <w:jc w:val="left"/>
            </w:pPr>
            <w:r>
              <w:t xml:space="preserve">18,3 %</w:t>
            </w:r>
          </w:p>
        </w:tc>
        <w:tc>
          <w:tcPr/>
          <w:p>
            <w:pPr>
              <w:pStyle w:val="Compact"/>
              <w:jc w:val="left"/>
            </w:pPr>
            <w:r>
              <w:t xml:space="preserve">379</w:t>
            </w:r>
          </w:p>
        </w:tc>
        <w:tc>
          <w:tcPr/>
          <w:p>
            <w:pPr>
              <w:pStyle w:val="Compact"/>
              <w:jc w:val="left"/>
            </w:pPr>
            <w:r>
              <w:t xml:space="preserve">14,2 %</w:t>
            </w:r>
          </w:p>
        </w:tc>
      </w:tr>
      <w:tr>
        <w:tc>
          <w:tcPr/>
          <w:p>
            <w:pPr>
              <w:pStyle w:val="Compact"/>
              <w:jc w:val="left"/>
            </w:pPr>
            <w:r>
              <w:t xml:space="preserve">Parto vía vaginal</w:t>
            </w:r>
          </w:p>
        </w:tc>
        <w:tc>
          <w:tcPr/>
          <w:p>
            <w:pPr>
              <w:pStyle w:val="Compact"/>
              <w:jc w:val="left"/>
            </w:pPr>
            <w:r>
              <w:t xml:space="preserve">6644</w:t>
            </w:r>
          </w:p>
        </w:tc>
        <w:tc>
          <w:tcPr/>
          <w:p>
            <w:pPr>
              <w:pStyle w:val="Compact"/>
              <w:jc w:val="left"/>
            </w:pPr>
            <w:r>
              <w:t xml:space="preserve">59,8 %</w:t>
            </w:r>
          </w:p>
        </w:tc>
        <w:tc>
          <w:tcPr/>
          <w:p>
            <w:pPr>
              <w:pStyle w:val="Compact"/>
              <w:jc w:val="left"/>
            </w:pPr>
            <w:r>
              <w:t xml:space="preserve">386</w:t>
            </w:r>
          </w:p>
        </w:tc>
        <w:tc>
          <w:tcPr/>
          <w:p>
            <w:pPr>
              <w:pStyle w:val="Compact"/>
              <w:jc w:val="left"/>
            </w:pPr>
            <w:r>
              <w:t xml:space="preserve">69,9 %</w:t>
            </w:r>
          </w:p>
        </w:tc>
      </w:tr>
      <w:tr>
        <w:tc>
          <w:tcPr/>
          <w:p>
            <w:pPr>
              <w:pStyle w:val="Compact"/>
              <w:jc w:val="left"/>
            </w:pPr>
            <w:r>
              <w:rPr>
                <w:b/>
                <w:bCs/>
                <w:i/>
                <w:iCs/>
              </w:rPr>
              <w:t xml:space="preserve">Variables neonatales (subpoblación admitida en Neonatología) ᵇ</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Edad gestacional al parto, mediana [RIC], semanas</w:t>
            </w:r>
          </w:p>
        </w:tc>
        <w:tc>
          <w:tcPr/>
          <w:p>
            <w:pPr>
              <w:pStyle w:val="Compact"/>
              <w:jc w:val="left"/>
            </w:pPr>
            <w:r>
              <w:t xml:space="preserve">6384</w:t>
            </w:r>
          </w:p>
        </w:tc>
        <w:tc>
          <w:tcPr/>
          <w:p>
            <w:pPr>
              <w:pStyle w:val="Compact"/>
              <w:jc w:val="left"/>
            </w:pPr>
            <w:r>
              <w:t xml:space="preserve">38 [36–39]</w:t>
            </w:r>
          </w:p>
        </w:tc>
        <w:tc>
          <w:tcPr/>
          <w:p>
            <w:pPr>
              <w:pStyle w:val="Compact"/>
              <w:jc w:val="left"/>
            </w:pPr>
            <w:r>
              <w:t xml:space="preserve">381</w:t>
            </w:r>
          </w:p>
        </w:tc>
        <w:tc>
          <w:tcPr/>
          <w:p>
            <w:pPr>
              <w:pStyle w:val="Compact"/>
              <w:jc w:val="left"/>
            </w:pPr>
            <w:r>
              <w:t xml:space="preserve">38 [36–39]</w:t>
            </w:r>
          </w:p>
        </w:tc>
      </w:tr>
      <w:tr>
        <w:tc>
          <w:tcPr/>
          <w:p>
            <w:pPr>
              <w:pStyle w:val="Compact"/>
              <w:jc w:val="left"/>
            </w:pPr>
            <w:r>
              <w:t xml:space="preserve">Peso al nacer, mediana [RIC], g</w:t>
            </w:r>
          </w:p>
        </w:tc>
        <w:tc>
          <w:tcPr/>
          <w:p>
            <w:pPr>
              <w:pStyle w:val="Compact"/>
              <w:jc w:val="left"/>
            </w:pPr>
            <w:r>
              <w:t xml:space="preserve">6408</w:t>
            </w:r>
          </w:p>
        </w:tc>
        <w:tc>
          <w:tcPr/>
          <w:p>
            <w:pPr>
              <w:pStyle w:val="Compact"/>
              <w:jc w:val="left"/>
            </w:pPr>
            <w:r>
              <w:t xml:space="preserve">2665 [2110–3080]</w:t>
            </w:r>
          </w:p>
        </w:tc>
        <w:tc>
          <w:tcPr/>
          <w:p>
            <w:pPr>
              <w:pStyle w:val="Compact"/>
              <w:jc w:val="left"/>
            </w:pPr>
            <w:r>
              <w:t xml:space="preserve">381</w:t>
            </w:r>
          </w:p>
        </w:tc>
        <w:tc>
          <w:tcPr/>
          <w:p>
            <w:pPr>
              <w:pStyle w:val="Compact"/>
              <w:jc w:val="left"/>
            </w:pPr>
            <w:r>
              <w:t xml:space="preserve">2710 [2215–3030]</w:t>
            </w:r>
          </w:p>
        </w:tc>
      </w:tr>
      <w:tr>
        <w:tc>
          <w:tcPr/>
          <w:p>
            <w:pPr>
              <w:pStyle w:val="Compact"/>
              <w:jc w:val="left"/>
            </w:pPr>
            <w:r>
              <w:t xml:space="preserve">Prematuro (&lt;37 semanas)</w:t>
            </w:r>
          </w:p>
        </w:tc>
        <w:tc>
          <w:tcPr/>
          <w:p>
            <w:pPr>
              <w:pStyle w:val="Compact"/>
              <w:jc w:val="left"/>
            </w:pPr>
            <w:r>
              <w:t xml:space="preserve">6371</w:t>
            </w:r>
          </w:p>
        </w:tc>
        <w:tc>
          <w:tcPr/>
          <w:p>
            <w:pPr>
              <w:pStyle w:val="Compact"/>
              <w:jc w:val="left"/>
            </w:pPr>
            <w:r>
              <w:t xml:space="preserve">31,5 %</w:t>
            </w:r>
          </w:p>
        </w:tc>
        <w:tc>
          <w:tcPr/>
          <w:p>
            <w:pPr>
              <w:pStyle w:val="Compact"/>
              <w:jc w:val="left"/>
            </w:pPr>
            <w:r>
              <w:t xml:space="preserve">376</w:t>
            </w:r>
          </w:p>
        </w:tc>
        <w:tc>
          <w:tcPr/>
          <w:p>
            <w:pPr>
              <w:pStyle w:val="Compact"/>
              <w:jc w:val="left"/>
            </w:pPr>
            <w:r>
              <w:t xml:space="preserve">34,8 %</w:t>
            </w:r>
          </w:p>
        </w:tc>
      </w:tr>
      <w:tr>
        <w:tc>
          <w:tcPr/>
          <w:p>
            <w:pPr>
              <w:pStyle w:val="Compact"/>
              <w:jc w:val="left"/>
            </w:pPr>
            <w:r>
              <w:t xml:space="preserve">Apgar 1 min bajo</w:t>
            </w:r>
          </w:p>
        </w:tc>
        <w:tc>
          <w:tcPr/>
          <w:p>
            <w:pPr>
              <w:pStyle w:val="Compact"/>
              <w:jc w:val="left"/>
            </w:pPr>
            <w:r>
              <w:t xml:space="preserve">6291</w:t>
            </w:r>
          </w:p>
        </w:tc>
        <w:tc>
          <w:tcPr/>
          <w:p>
            <w:pPr>
              <w:pStyle w:val="Compact"/>
              <w:jc w:val="left"/>
            </w:pPr>
            <w:r>
              <w:t xml:space="preserve">19,4 %</w:t>
            </w:r>
          </w:p>
        </w:tc>
        <w:tc>
          <w:tcPr/>
          <w:p>
            <w:pPr>
              <w:pStyle w:val="Compact"/>
              <w:jc w:val="left"/>
            </w:pPr>
            <w:r>
              <w:t xml:space="preserve">374</w:t>
            </w:r>
          </w:p>
        </w:tc>
        <w:tc>
          <w:tcPr/>
          <w:p>
            <w:pPr>
              <w:pStyle w:val="Compact"/>
              <w:jc w:val="left"/>
            </w:pPr>
            <w:r>
              <w:t xml:space="preserve">20,6 %</w:t>
            </w:r>
          </w:p>
        </w:tc>
      </w:tr>
      <w:tr>
        <w:tc>
          <w:tcPr/>
          <w:p>
            <w:pPr>
              <w:pStyle w:val="Compact"/>
              <w:jc w:val="left"/>
            </w:pPr>
            <w:r>
              <w:t xml:space="preserve">Apgar 5 min bajo</w:t>
            </w:r>
          </w:p>
        </w:tc>
        <w:tc>
          <w:tcPr/>
          <w:p>
            <w:pPr>
              <w:pStyle w:val="Compact"/>
              <w:jc w:val="left"/>
            </w:pPr>
            <w:r>
              <w:t xml:space="preserve">6299</w:t>
            </w:r>
          </w:p>
        </w:tc>
        <w:tc>
          <w:tcPr/>
          <w:p>
            <w:pPr>
              <w:pStyle w:val="Compact"/>
              <w:jc w:val="left"/>
            </w:pPr>
            <w:r>
              <w:t xml:space="preserve">3,7 %</w:t>
            </w:r>
          </w:p>
        </w:tc>
        <w:tc>
          <w:tcPr/>
          <w:p>
            <w:pPr>
              <w:pStyle w:val="Compact"/>
              <w:jc w:val="left"/>
            </w:pPr>
            <w:r>
              <w:t xml:space="preserve">374</w:t>
            </w:r>
          </w:p>
        </w:tc>
        <w:tc>
          <w:tcPr/>
          <w:p>
            <w:pPr>
              <w:pStyle w:val="Compact"/>
              <w:jc w:val="left"/>
            </w:pPr>
            <w:r>
              <w:t xml:space="preserve">4,8 %</w:t>
            </w:r>
          </w:p>
        </w:tc>
      </w:tr>
      <w:tr>
        <w:tc>
          <w:tcPr/>
          <w:p>
            <w:pPr>
              <w:pStyle w:val="Compact"/>
              <w:jc w:val="left"/>
            </w:pPr>
            <w:r>
              <w:t xml:space="preserve">Pequeño para la edad gestacional (Fenton, &lt;p10)</w:t>
            </w:r>
          </w:p>
        </w:tc>
        <w:tc>
          <w:tcPr/>
          <w:p>
            <w:pPr>
              <w:pStyle w:val="Compact"/>
              <w:jc w:val="left"/>
            </w:pPr>
            <w:r>
              <w:t xml:space="preserve">6408</w:t>
            </w:r>
          </w:p>
        </w:tc>
        <w:tc>
          <w:tcPr/>
          <w:p>
            <w:pPr>
              <w:pStyle w:val="Compact"/>
              <w:jc w:val="left"/>
            </w:pPr>
            <w:r>
              <w:t xml:space="preserve">30,5 %</w:t>
            </w:r>
          </w:p>
        </w:tc>
        <w:tc>
          <w:tcPr/>
          <w:p>
            <w:pPr>
              <w:pStyle w:val="Compact"/>
              <w:jc w:val="left"/>
            </w:pPr>
            <w:r>
              <w:t xml:space="preserve">381</w:t>
            </w:r>
          </w:p>
        </w:tc>
        <w:tc>
          <w:tcPr/>
          <w:p>
            <w:pPr>
              <w:pStyle w:val="Compact"/>
              <w:jc w:val="left"/>
            </w:pPr>
            <w:r>
              <w:t xml:space="preserve">24,9 %</w:t>
            </w:r>
          </w:p>
        </w:tc>
      </w:tr>
      <w:tr>
        <w:tc>
          <w:tcPr/>
          <w:p>
            <w:pPr>
              <w:pStyle w:val="Compact"/>
              <w:jc w:val="left"/>
            </w:pPr>
            <w:r>
              <w:t xml:space="preserve">Macrosómico (≥4000 g)ᶜ</w:t>
            </w:r>
          </w:p>
        </w:tc>
        <w:tc>
          <w:tcPr/>
          <w:p>
            <w:pPr>
              <w:pStyle w:val="Compact"/>
              <w:jc w:val="left"/>
            </w:pPr>
            <w:r>
              <w:t xml:space="preserve">6409</w:t>
            </w:r>
          </w:p>
        </w:tc>
        <w:tc>
          <w:tcPr/>
          <w:p>
            <w:pPr>
              <w:pStyle w:val="Compact"/>
              <w:jc w:val="left"/>
            </w:pPr>
            <w:r>
              <w:t xml:space="preserve">3,6 %</w:t>
            </w:r>
          </w:p>
        </w:tc>
        <w:tc>
          <w:tcPr/>
          <w:p>
            <w:pPr>
              <w:pStyle w:val="Compact"/>
              <w:jc w:val="left"/>
            </w:pPr>
            <w:r>
              <w:t xml:space="preserve">381</w:t>
            </w:r>
          </w:p>
        </w:tc>
        <w:tc>
          <w:tcPr/>
          <w:p>
            <w:pPr>
              <w:pStyle w:val="Compact"/>
              <w:jc w:val="left"/>
            </w:pPr>
            <w:r>
              <w:t xml:space="preserve">1,6 %</w:t>
            </w:r>
          </w:p>
        </w:tc>
      </w:tr>
      <w:tr>
        <w:tc>
          <w:tcPr/>
          <w:p>
            <w:pPr>
              <w:pStyle w:val="Compact"/>
              <w:jc w:val="left"/>
            </w:pPr>
            <w:r>
              <w:t xml:space="preserve">Ictericia neonatal</w:t>
            </w:r>
          </w:p>
        </w:tc>
        <w:tc>
          <w:tcPr/>
          <w:p>
            <w:pPr>
              <w:pStyle w:val="Compact"/>
              <w:jc w:val="left"/>
            </w:pPr>
            <w:r>
              <w:t xml:space="preserve">6409</w:t>
            </w:r>
          </w:p>
        </w:tc>
        <w:tc>
          <w:tcPr/>
          <w:p>
            <w:pPr>
              <w:pStyle w:val="Compact"/>
              <w:jc w:val="left"/>
            </w:pPr>
            <w:r>
              <w:t xml:space="preserve">34,5 %</w:t>
            </w:r>
          </w:p>
        </w:tc>
        <w:tc>
          <w:tcPr/>
          <w:p>
            <w:pPr>
              <w:pStyle w:val="Compact"/>
              <w:jc w:val="left"/>
            </w:pPr>
            <w:r>
              <w:t xml:space="preserve">381</w:t>
            </w:r>
          </w:p>
        </w:tc>
        <w:tc>
          <w:tcPr/>
          <w:p>
            <w:pPr>
              <w:pStyle w:val="Compact"/>
              <w:jc w:val="left"/>
            </w:pPr>
            <w:r>
              <w:t xml:space="preserve">26,2 %</w:t>
            </w:r>
          </w:p>
        </w:tc>
      </w:tr>
      <w:tr>
        <w:tc>
          <w:tcPr/>
          <w:p>
            <w:pPr>
              <w:pStyle w:val="Compact"/>
              <w:jc w:val="left"/>
            </w:pPr>
            <w:r>
              <w:t xml:space="preserve">Registro de recién nacido vivo al egreso</w:t>
            </w:r>
          </w:p>
        </w:tc>
        <w:tc>
          <w:tcPr/>
          <w:p>
            <w:pPr>
              <w:pStyle w:val="Compact"/>
              <w:jc w:val="left"/>
            </w:pPr>
            <w:r>
              <w:t xml:space="preserve">6397</w:t>
            </w:r>
          </w:p>
        </w:tc>
        <w:tc>
          <w:tcPr/>
          <w:p>
            <w:pPr>
              <w:pStyle w:val="Compact"/>
              <w:jc w:val="left"/>
            </w:pPr>
            <w:r>
              <w:t xml:space="preserve">94,0 %</w:t>
            </w:r>
          </w:p>
        </w:tc>
        <w:tc>
          <w:tcPr/>
          <w:p>
            <w:pPr>
              <w:pStyle w:val="Compact"/>
              <w:jc w:val="left"/>
            </w:pPr>
            <w:r>
              <w:t xml:space="preserve">381</w:t>
            </w:r>
          </w:p>
        </w:tc>
        <w:tc>
          <w:tcPr/>
          <w:p>
            <w:pPr>
              <w:pStyle w:val="Compact"/>
              <w:jc w:val="left"/>
            </w:pPr>
            <w:r>
              <w:t xml:space="preserve">92,1 %</w:t>
            </w:r>
          </w:p>
        </w:tc>
      </w:tr>
      <w:tr>
        <w:tc>
          <w:tcPr/>
          <w:p>
            <w:pPr>
              <w:pStyle w:val="Compact"/>
              <w:jc w:val="left"/>
            </w:pPr>
            <w:r>
              <w:t xml:space="preserve">Lactancia exclusiva al egresoᵈ</w:t>
            </w:r>
          </w:p>
        </w:tc>
        <w:tc>
          <w:tcPr/>
          <w:p>
            <w:pPr>
              <w:pStyle w:val="Compact"/>
              <w:jc w:val="left"/>
            </w:pPr>
            <w:r>
              <w:t xml:space="preserve">5485</w:t>
            </w:r>
          </w:p>
        </w:tc>
        <w:tc>
          <w:tcPr/>
          <w:p>
            <w:pPr>
              <w:pStyle w:val="Compact"/>
              <w:jc w:val="left"/>
            </w:pPr>
            <w:r>
              <w:t xml:space="preserve">97,3 %</w:t>
            </w:r>
          </w:p>
        </w:tc>
        <w:tc>
          <w:tcPr/>
          <w:p>
            <w:pPr>
              <w:pStyle w:val="Compact"/>
              <w:jc w:val="left"/>
            </w:pPr>
            <w:r>
              <w:t xml:space="preserve">324</w:t>
            </w:r>
          </w:p>
        </w:tc>
        <w:tc>
          <w:tcPr/>
          <w:p>
            <w:pPr>
              <w:pStyle w:val="Compact"/>
              <w:jc w:val="left"/>
            </w:pPr>
            <w:r>
              <w:t xml:space="preserve">97,2 %</w:t>
            </w:r>
          </w:p>
        </w:tc>
      </w:tr>
    </w:tbl>
    <w:p>
      <w:pPr>
        <w:pStyle w:val="BodyText"/>
      </w:pPr>
      <w:r>
        <w:t xml:space="preserve">Nota: Los porcentajes se calcularon sobre los registros con información disponible para cada variable. Las variables continuas se presentan como mediana [rango intercuartílico]. RIC: rango intercuartílico; p10: percentil 10.</w:t>
      </w:r>
    </w:p>
    <w:p>
      <w:pPr>
        <w:pStyle w:val="BodyText"/>
      </w:pPr>
      <w:r>
        <w:t xml:space="preserve">ᵃ Definido como ninguna escolaridad o educación primaria; su interpretación se complementa con el indicador de rezago escolar ajustado por edad.</w:t>
      </w:r>
    </w:p>
    <w:p>
      <w:pPr>
        <w:pStyle w:val="BodyText"/>
      </w:pPr>
      <w:r>
        <w:t xml:space="preserve">ᵇ Variables neonatales descritas únicamente en nacimientos únicos admitidos en Neonatología. En esta submuestra neonatal única se excluyeron los 245 embarazos múltiples que permanecen en la muestra materna de 7.035 eventos. Los denominadores de la Tabla 1 difieren por variable según la disponibilidad de datos en los 6.790 nacimientos únicos.</w:t>
      </w:r>
    </w:p>
    <w:p>
      <w:pPr>
        <w:pStyle w:val="BodyText"/>
      </w:pPr>
      <w:r>
        <w:t xml:space="preserve">ᶜ Macrosomía definida como peso al nacer ≥4.000 g.</w:t>
      </w:r>
    </w:p>
    <w:p>
      <w:pPr>
        <w:pStyle w:val="BodyText"/>
      </w:pPr>
      <w:r>
        <w:t xml:space="preserve">ᵈ Variable con la mayor proporción de datos faltantes.</w:t>
      </w:r>
    </w:p>
    <w:bookmarkEnd w:id="22"/>
    <w:bookmarkStart w:id="23" w:name="Xbb0e63069e68b2bd02720599e736861ff447812"/>
    <w:p>
      <w:pPr>
        <w:pStyle w:val="Heading1"/>
      </w:pPr>
      <w:r>
        <w:t xml:space="preserve">2. </w:t>
      </w:r>
      <w:r>
        <w:rPr>
          <w:b/>
          <w:bCs/>
        </w:rPr>
        <w:t xml:space="preserve">Tabla 2. Comparaciones bivariadas modeladas entre adolescentes de 10–14 años y adolescentes de 15–19 años</w:t>
      </w:r>
    </w:p>
    <w:tbl>
      <w:tblPr>
        <w:tblStyle w:val="Table"/>
        <w:tblW w:type="pct" w:w="5000"/>
        <w:tblLayout w:type="fixed"/>
        <w:tblLook w:firstRow="1" w:lastRow="0" w:firstColumn="0" w:lastColumn="0" w:noHBand="0" w:noVBand="0" w:val="0020"/>
      </w:tblPr>
      <w:tblGrid>
        <w:gridCol w:w="1844"/>
        <w:gridCol w:w="1518"/>
        <w:gridCol w:w="1518"/>
        <w:gridCol w:w="1518"/>
        <w:gridCol w:w="1518"/>
      </w:tblGrid>
      <w:tr>
        <w:trPr>
          <w:tblHeader w:val="on"/>
        </w:trPr>
        <w:tc>
          <w:tcPr/>
          <w:p>
            <w:pPr>
              <w:pStyle w:val="Compact"/>
              <w:jc w:val="left"/>
            </w:pPr>
            <w:r>
              <w:rPr>
                <w:b/>
                <w:bCs/>
              </w:rPr>
              <w:t xml:space="preserve">Panel A. Características sociodemográficas, reproductivas y obstétricas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Característica</w:t>
            </w:r>
          </w:p>
        </w:tc>
        <w:tc>
          <w:tcPr/>
          <w:p>
            <w:pPr>
              <w:pStyle w:val="Compact"/>
            </w:pPr>
            <w:r>
              <w:rPr>
                <w:b/>
                <w:bCs/>
              </w:rPr>
              <w:t xml:space="preserve">n</w:t>
            </w:r>
          </w:p>
        </w:tc>
        <w:tc>
          <w:tcPr/>
          <w:p>
            <w:pPr>
              <w:pStyle w:val="Compact"/>
            </w:pPr>
            <w:r>
              <w:rPr>
                <w:b/>
                <w:bCs/>
              </w:rPr>
              <w:t xml:space="preserve">Eventos</w:t>
            </w:r>
          </w:p>
        </w:tc>
        <w:tc>
          <w:tcPr/>
          <w:p>
            <w:pPr>
              <w:pStyle w:val="Compact"/>
            </w:pPr>
            <w:r>
              <w:rPr>
                <w:b/>
                <w:bCs/>
              </w:rPr>
              <w:t xml:space="preserve">RP (ICr 95 %)</w:t>
            </w:r>
            <w:r>
              <w:rPr>
                <w:b/>
                <w:bCs/>
              </w:rPr>
              <w:t xml:space="preserve"> </w:t>
            </w:r>
            <w:r>
              <w:rPr>
                <w:b/>
                <w:bCs/>
                <w:vertAlign w:val="superscript"/>
              </w:rPr>
              <w:t xml:space="preserve">a</w:t>
            </w:r>
          </w:p>
        </w:tc>
        <w:tc>
          <w:tcPr/>
          <w:p>
            <w:pPr>
              <w:pStyle w:val="Compact"/>
            </w:pPr>
            <w:r>
              <w:rPr>
                <w:b/>
                <w:bCs/>
              </w:rPr>
              <w:t xml:space="preserve">pd</w:t>
            </w:r>
          </w:p>
        </w:tc>
      </w:tr>
      <w:tr>
        <w:tc>
          <w:tcPr/>
          <w:p>
            <w:pPr>
              <w:pStyle w:val="Compact"/>
              <w:jc w:val="left"/>
            </w:pPr>
            <w:r>
              <w:t xml:space="preserve">Pareja estable</w:t>
            </w:r>
          </w:p>
        </w:tc>
        <w:tc>
          <w:tcPr/>
          <w:p>
            <w:pPr>
              <w:pStyle w:val="Compact"/>
            </w:pPr>
            <w:r>
              <w:t xml:space="preserve">7035</w:t>
            </w:r>
          </w:p>
        </w:tc>
        <w:tc>
          <w:tcPr/>
          <w:p>
            <w:pPr>
              <w:pStyle w:val="Compact"/>
            </w:pPr>
            <w:r>
              <w:t xml:space="preserve">3901</w:t>
            </w:r>
          </w:p>
        </w:tc>
        <w:tc>
          <w:tcPr/>
          <w:p>
            <w:pPr>
              <w:pStyle w:val="Compact"/>
            </w:pPr>
            <w:r>
              <w:t xml:space="preserve">0,86 (0,77–0,95)</w:t>
            </w:r>
          </w:p>
        </w:tc>
        <w:tc>
          <w:tcPr/>
          <w:p>
            <w:pPr>
              <w:pStyle w:val="Compact"/>
            </w:pPr>
            <w:r>
              <w:t xml:space="preserve">99,8 %</w:t>
            </w:r>
          </w:p>
        </w:tc>
      </w:tr>
      <w:tr>
        <w:tc>
          <w:tcPr/>
          <w:p>
            <w:pPr>
              <w:pStyle w:val="Compact"/>
              <w:jc w:val="left"/>
            </w:pPr>
            <w:r>
              <w:t xml:space="preserve">Etnia minoritaria</w:t>
            </w:r>
          </w:p>
        </w:tc>
        <w:tc>
          <w:tcPr/>
          <w:p>
            <w:pPr>
              <w:pStyle w:val="Compact"/>
            </w:pPr>
            <w:r>
              <w:t xml:space="preserve">7035</w:t>
            </w:r>
          </w:p>
        </w:tc>
        <w:tc>
          <w:tcPr/>
          <w:p>
            <w:pPr>
              <w:pStyle w:val="Compact"/>
            </w:pPr>
            <w:r>
              <w:t xml:space="preserve">360</w:t>
            </w:r>
          </w:p>
        </w:tc>
        <w:tc>
          <w:tcPr/>
          <w:p>
            <w:pPr>
              <w:pStyle w:val="Compact"/>
            </w:pPr>
            <w:r>
              <w:t xml:space="preserve">1,77 (1,24–2,44)</w:t>
            </w:r>
          </w:p>
        </w:tc>
        <w:tc>
          <w:tcPr/>
          <w:p>
            <w:pPr>
              <w:pStyle w:val="Compact"/>
            </w:pPr>
            <w:r>
              <w:t xml:space="preserve">99,9 %</w:t>
            </w:r>
          </w:p>
        </w:tc>
      </w:tr>
      <w:tr>
        <w:tc>
          <w:tcPr/>
          <w:p>
            <w:pPr>
              <w:pStyle w:val="Compact"/>
              <w:jc w:val="left"/>
            </w:pPr>
            <w:r>
              <w:t xml:space="preserve">Gestas previas</w:t>
            </w:r>
          </w:p>
        </w:tc>
        <w:tc>
          <w:tcPr/>
          <w:p>
            <w:pPr>
              <w:pStyle w:val="Compact"/>
            </w:pPr>
            <w:r>
              <w:t xml:space="preserve">7035</w:t>
            </w:r>
          </w:p>
        </w:tc>
        <w:tc>
          <w:tcPr/>
          <w:p>
            <w:pPr>
              <w:pStyle w:val="Compact"/>
            </w:pPr>
            <w:r>
              <w:t xml:space="preserve">1225</w:t>
            </w:r>
          </w:p>
        </w:tc>
        <w:tc>
          <w:tcPr/>
          <w:p>
            <w:pPr>
              <w:pStyle w:val="Compact"/>
            </w:pPr>
            <w:r>
              <w:t xml:space="preserve">0,17 (0,09–0,27)</w:t>
            </w:r>
          </w:p>
        </w:tc>
        <w:tc>
          <w:tcPr/>
          <w:p>
            <w:pPr>
              <w:pStyle w:val="Compact"/>
            </w:pPr>
            <w:r>
              <w:t xml:space="preserve">&gt;99,9 %</w:t>
            </w:r>
          </w:p>
        </w:tc>
      </w:tr>
      <w:tr>
        <w:tc>
          <w:tcPr/>
          <w:p>
            <w:pPr>
              <w:pStyle w:val="Compact"/>
              <w:jc w:val="left"/>
            </w:pPr>
            <w:r>
              <w:t xml:space="preserve">Embarazo múltiple</w:t>
            </w:r>
          </w:p>
        </w:tc>
        <w:tc>
          <w:tcPr/>
          <w:p>
            <w:pPr>
              <w:pStyle w:val="Compact"/>
            </w:pPr>
            <w:r>
              <w:t xml:space="preserve">7035</w:t>
            </w:r>
          </w:p>
        </w:tc>
        <w:tc>
          <w:tcPr/>
          <w:p>
            <w:pPr>
              <w:pStyle w:val="Compact"/>
            </w:pPr>
            <w:r>
              <w:t xml:space="preserve">245</w:t>
            </w:r>
          </w:p>
        </w:tc>
        <w:tc>
          <w:tcPr/>
          <w:p>
            <w:pPr>
              <w:pStyle w:val="Compact"/>
            </w:pPr>
            <w:r>
              <w:t xml:space="preserve">0,37 (0,14–0,79)</w:t>
            </w:r>
          </w:p>
        </w:tc>
        <w:tc>
          <w:tcPr/>
          <w:p>
            <w:pPr>
              <w:pStyle w:val="Compact"/>
            </w:pPr>
            <w:r>
              <w:t xml:space="preserve">99,5 %</w:t>
            </w:r>
          </w:p>
        </w:tc>
      </w:tr>
      <w:tr>
        <w:tc>
          <w:tcPr/>
          <w:p>
            <w:pPr>
              <w:pStyle w:val="Compact"/>
              <w:jc w:val="left"/>
            </w:pPr>
            <w:r>
              <w:t xml:space="preserve">Embarazo planeado</w:t>
            </w:r>
          </w:p>
        </w:tc>
        <w:tc>
          <w:tcPr/>
          <w:p>
            <w:pPr>
              <w:pStyle w:val="Compact"/>
            </w:pPr>
            <w:r>
              <w:t xml:space="preserve">7035</w:t>
            </w:r>
          </w:p>
        </w:tc>
        <w:tc>
          <w:tcPr/>
          <w:p>
            <w:pPr>
              <w:pStyle w:val="Compact"/>
            </w:pPr>
            <w:r>
              <w:t xml:space="preserve">1580</w:t>
            </w:r>
          </w:p>
        </w:tc>
        <w:tc>
          <w:tcPr/>
          <w:p>
            <w:pPr>
              <w:pStyle w:val="Compact"/>
            </w:pPr>
            <w:r>
              <w:t xml:space="preserve">0,62 (0,48–0,79)</w:t>
            </w:r>
          </w:p>
        </w:tc>
        <w:tc>
          <w:tcPr/>
          <w:p>
            <w:pPr>
              <w:pStyle w:val="Compact"/>
            </w:pPr>
            <w:r>
              <w:t xml:space="preserve">&gt;99,9 %</w:t>
            </w:r>
          </w:p>
        </w:tc>
      </w:tr>
      <w:tr>
        <w:tc>
          <w:tcPr/>
          <w:p>
            <w:pPr>
              <w:pStyle w:val="Compact"/>
              <w:jc w:val="left"/>
            </w:pPr>
            <w:r>
              <w:t xml:space="preserve">Falla de método anticonceptivo</w:t>
            </w:r>
          </w:p>
        </w:tc>
        <w:tc>
          <w:tcPr/>
          <w:p>
            <w:pPr>
              <w:pStyle w:val="Compact"/>
            </w:pPr>
            <w:r>
              <w:t xml:space="preserve">7035</w:t>
            </w:r>
          </w:p>
        </w:tc>
        <w:tc>
          <w:tcPr/>
          <w:p>
            <w:pPr>
              <w:pStyle w:val="Compact"/>
            </w:pPr>
            <w:r>
              <w:t xml:space="preserve">1183</w:t>
            </w:r>
          </w:p>
        </w:tc>
        <w:tc>
          <w:tcPr/>
          <w:p>
            <w:pPr>
              <w:pStyle w:val="Compact"/>
            </w:pPr>
            <w:r>
              <w:t xml:space="preserve">0,42 (0,28–0,59)</w:t>
            </w:r>
          </w:p>
        </w:tc>
        <w:tc>
          <w:tcPr/>
          <w:p>
            <w:pPr>
              <w:pStyle w:val="Compact"/>
            </w:pPr>
            <w:r>
              <w:t xml:space="preserve">&gt;99,9 %</w:t>
            </w:r>
          </w:p>
        </w:tc>
      </w:tr>
      <w:tr>
        <w:tc>
          <w:tcPr/>
          <w:p>
            <w:pPr>
              <w:pStyle w:val="Compact"/>
              <w:jc w:val="left"/>
            </w:pPr>
            <w:r>
              <w:t xml:space="preserve">Infección urinaria</w:t>
            </w:r>
          </w:p>
        </w:tc>
        <w:tc>
          <w:tcPr/>
          <w:p>
            <w:pPr>
              <w:pStyle w:val="Compact"/>
            </w:pPr>
            <w:r>
              <w:t xml:space="preserve">6939</w:t>
            </w:r>
          </w:p>
        </w:tc>
        <w:tc>
          <w:tcPr/>
          <w:p>
            <w:pPr>
              <w:pStyle w:val="Compact"/>
            </w:pPr>
            <w:r>
              <w:t xml:space="preserve">3617</w:t>
            </w:r>
          </w:p>
        </w:tc>
        <w:tc>
          <w:tcPr/>
          <w:p>
            <w:pPr>
              <w:pStyle w:val="Compact"/>
            </w:pPr>
            <w:r>
              <w:t xml:space="preserve">0,81 (0,71–0,91)</w:t>
            </w:r>
          </w:p>
        </w:tc>
        <w:tc>
          <w:tcPr/>
          <w:p>
            <w:pPr>
              <w:pStyle w:val="Compact"/>
            </w:pPr>
            <w:r>
              <w:t xml:space="preserve">99,9 %</w:t>
            </w:r>
          </w:p>
        </w:tc>
      </w:tr>
      <w:tr>
        <w:tc>
          <w:tcPr/>
          <w:p>
            <w:pPr>
              <w:pStyle w:val="Compact"/>
              <w:jc w:val="left"/>
            </w:pPr>
            <w:r>
              <w:t xml:space="preserve">Compromiso del bienestar fetal</w:t>
            </w:r>
          </w:p>
        </w:tc>
        <w:tc>
          <w:tcPr/>
          <w:p>
            <w:pPr>
              <w:pStyle w:val="Compact"/>
            </w:pPr>
            <w:r>
              <w:t xml:space="preserve">7035</w:t>
            </w:r>
          </w:p>
        </w:tc>
        <w:tc>
          <w:tcPr/>
          <w:p>
            <w:pPr>
              <w:pStyle w:val="Compact"/>
            </w:pPr>
            <w:r>
              <w:t xml:space="preserve">708</w:t>
            </w:r>
          </w:p>
        </w:tc>
        <w:tc>
          <w:tcPr/>
          <w:p>
            <w:pPr>
              <w:pStyle w:val="Compact"/>
            </w:pPr>
            <w:r>
              <w:t xml:space="preserve">0,58 (0,38–0,83)</w:t>
            </w:r>
          </w:p>
        </w:tc>
        <w:tc>
          <w:tcPr/>
          <w:p>
            <w:pPr>
              <w:pStyle w:val="Compact"/>
            </w:pPr>
            <w:r>
              <w:t xml:space="preserve">99,9 %</w:t>
            </w:r>
          </w:p>
        </w:tc>
      </w:tr>
      <w:tr>
        <w:tc>
          <w:tcPr/>
          <w:p>
            <w:pPr>
              <w:pStyle w:val="Compact"/>
              <w:jc w:val="left"/>
            </w:pPr>
            <w:r>
              <w:t xml:space="preserve">Trastorno hipertensivo del embarazo</w:t>
            </w:r>
          </w:p>
        </w:tc>
        <w:tc>
          <w:tcPr/>
          <w:p>
            <w:pPr>
              <w:pStyle w:val="Compact"/>
            </w:pPr>
            <w:r>
              <w:t xml:space="preserve">6911</w:t>
            </w:r>
          </w:p>
        </w:tc>
        <w:tc>
          <w:tcPr/>
          <w:p>
            <w:pPr>
              <w:pStyle w:val="Compact"/>
            </w:pPr>
            <w:r>
              <w:t xml:space="preserve">1249</w:t>
            </w:r>
          </w:p>
        </w:tc>
        <w:tc>
          <w:tcPr/>
          <w:p>
            <w:pPr>
              <w:pStyle w:val="Compact"/>
            </w:pPr>
            <w:r>
              <w:t xml:space="preserve">0,78 (0,60–1,00)</w:t>
            </w:r>
          </w:p>
        </w:tc>
        <w:tc>
          <w:tcPr/>
          <w:p>
            <w:pPr>
              <w:pStyle w:val="Compact"/>
            </w:pPr>
            <w:r>
              <w:t xml:space="preserve">97,7 %</w:t>
            </w:r>
          </w:p>
        </w:tc>
      </w:tr>
      <w:tr>
        <w:tc>
          <w:tcPr/>
          <w:p>
            <w:pPr>
              <w:pStyle w:val="Compact"/>
              <w:jc w:val="left"/>
            </w:pPr>
            <w:r>
              <w:t xml:space="preserve">Parto vía vaginal</w:t>
            </w:r>
          </w:p>
        </w:tc>
        <w:tc>
          <w:tcPr/>
          <w:p>
            <w:pPr>
              <w:pStyle w:val="Compact"/>
            </w:pPr>
            <w:r>
              <w:t xml:space="preserve">7030</w:t>
            </w:r>
          </w:p>
        </w:tc>
        <w:tc>
          <w:tcPr/>
          <w:p>
            <w:pPr>
              <w:pStyle w:val="Compact"/>
            </w:pPr>
            <w:r>
              <w:t xml:space="preserve">4243</w:t>
            </w:r>
          </w:p>
        </w:tc>
        <w:tc>
          <w:tcPr/>
          <w:p>
            <w:pPr>
              <w:pStyle w:val="Compact"/>
            </w:pPr>
            <w:r>
              <w:t xml:space="preserve">1,17 (1,09–1,25)</w:t>
            </w:r>
          </w:p>
        </w:tc>
        <w:tc>
          <w:tcPr/>
          <w:p>
            <w:pPr>
              <w:pStyle w:val="Compact"/>
            </w:pPr>
            <w:r>
              <w:t xml:space="preserve">&gt;99,9 %</w:t>
            </w:r>
          </w:p>
        </w:tc>
      </w:tr>
      <w:tr>
        <w:tc>
          <w:tcPr/>
          <w:p>
            <w:pPr>
              <w:pStyle w:val="Compact"/>
              <w:jc w:val="left"/>
            </w:pPr>
            <w:r>
              <w:t xml:space="preserve">Control prenatal adecuado: sí/no</w:t>
            </w:r>
          </w:p>
        </w:tc>
        <w:tc>
          <w:tcPr/>
          <w:p>
            <w:pPr>
              <w:pStyle w:val="Compact"/>
            </w:pPr>
            <w:r>
              <w:t xml:space="preserve">6860</w:t>
            </w:r>
          </w:p>
        </w:tc>
        <w:tc>
          <w:tcPr/>
          <w:p>
            <w:pPr>
              <w:pStyle w:val="Compact"/>
            </w:pPr>
            <w:r>
              <w:t xml:space="preserve">4198</w:t>
            </w:r>
          </w:p>
        </w:tc>
        <w:tc>
          <w:tcPr/>
          <w:p>
            <w:pPr>
              <w:pStyle w:val="Compact"/>
            </w:pPr>
            <w:r>
              <w:t xml:space="preserve">0,87 (0,78–0,95)</w:t>
            </w:r>
          </w:p>
        </w:tc>
        <w:tc>
          <w:tcPr/>
          <w:p>
            <w:pPr>
              <w:pStyle w:val="Compact"/>
            </w:pPr>
            <w:r>
              <w:t xml:space="preserve">99,9 %</w:t>
            </w:r>
          </w:p>
        </w:tc>
      </w:tr>
      <w:tr>
        <w:tc>
          <w:tcPr/>
          <w:p>
            <w:pPr>
              <w:pStyle w:val="Compact"/>
              <w:jc w:val="left"/>
            </w:pPr>
            <w:r>
              <w:rPr>
                <w:b/>
                <w:bCs/>
              </w:rPr>
              <w:t xml:space="preserve">Panel B. Comparación entre los indicadores educativos crudo y ajustado por edad</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Indicador educativo</w:t>
            </w:r>
          </w:p>
        </w:tc>
        <w:tc>
          <w:tcPr/>
          <w:p>
            <w:pPr>
              <w:pStyle w:val="Compact"/>
            </w:pPr>
            <w:r>
              <w:rPr>
                <w:b/>
                <w:bCs/>
              </w:rPr>
              <w:t xml:space="preserve">n</w:t>
            </w:r>
          </w:p>
        </w:tc>
        <w:tc>
          <w:tcPr/>
          <w:p>
            <w:pPr>
              <w:pStyle w:val="Compact"/>
            </w:pPr>
            <w:r>
              <w:rPr>
                <w:b/>
                <w:bCs/>
              </w:rPr>
              <w:t xml:space="preserve">Eventos</w:t>
            </w:r>
          </w:p>
        </w:tc>
        <w:tc>
          <w:tcPr/>
          <w:p>
            <w:pPr>
              <w:pStyle w:val="Compact"/>
            </w:pPr>
            <w:r>
              <w:rPr>
                <w:b/>
                <w:bCs/>
              </w:rPr>
              <w:t xml:space="preserve">RP (ICr 95 %)</w:t>
            </w:r>
          </w:p>
        </w:tc>
        <w:tc>
          <w:tcPr/>
          <w:p>
            <w:pPr>
              <w:pStyle w:val="Compact"/>
            </w:pPr>
            <w:r>
              <w:rPr>
                <w:b/>
                <w:bCs/>
              </w:rPr>
              <w:t xml:space="preserve">DP (ICr 95 %)</w:t>
            </w:r>
            <w:r>
              <w:t xml:space="preserve"> </w:t>
            </w:r>
            <w:r>
              <w:rPr>
                <w:i/>
                <w:iCs/>
                <w:vertAlign w:val="superscript"/>
              </w:rPr>
              <w:t xml:space="preserve">c</w:t>
            </w:r>
          </w:p>
        </w:tc>
      </w:tr>
      <w:tr>
        <w:tc>
          <w:tcPr/>
          <w:p>
            <w:pPr>
              <w:pStyle w:val="Compact"/>
              <w:jc w:val="left"/>
            </w:pPr>
            <w:r>
              <w:t xml:space="preserve">Ninguna escolaridad o educación primaria (indicador crudo)</w:t>
            </w:r>
          </w:p>
        </w:tc>
        <w:tc>
          <w:tcPr/>
          <w:p>
            <w:pPr>
              <w:pStyle w:val="Compact"/>
            </w:pPr>
            <w:r>
              <w:t xml:space="preserve">7035</w:t>
            </w:r>
          </w:p>
        </w:tc>
        <w:tc>
          <w:tcPr/>
          <w:p>
            <w:pPr>
              <w:pStyle w:val="Compact"/>
            </w:pPr>
            <w:r>
              <w:t xml:space="preserve">1259</w:t>
            </w:r>
          </w:p>
        </w:tc>
        <w:tc>
          <w:tcPr/>
          <w:p>
            <w:pPr>
              <w:pStyle w:val="Compact"/>
            </w:pPr>
            <w:r>
              <w:t xml:space="preserve">4,33 (3,94–4,74)</w:t>
            </w:r>
          </w:p>
        </w:tc>
        <w:tc>
          <w:tcPr/>
          <w:p>
            <w:pPr>
              <w:pStyle w:val="Compact"/>
            </w:pPr>
            <w:r>
              <w:t xml:space="preserve">0,50 (0,46–0,55)</w:t>
            </w:r>
          </w:p>
        </w:tc>
      </w:tr>
      <w:tr>
        <w:tc>
          <w:tcPr/>
          <w:p>
            <w:pPr>
              <w:pStyle w:val="Compact"/>
              <w:jc w:val="left"/>
            </w:pPr>
            <w:r>
              <w:t xml:space="preserve">Rezago escolar ≥2 años respecto de lo esperado para la edad</w:t>
            </w:r>
          </w:p>
        </w:tc>
        <w:tc>
          <w:tcPr/>
          <w:p>
            <w:pPr>
              <w:pStyle w:val="Compact"/>
            </w:pPr>
            <w:r>
              <w:t xml:space="preserve">7027</w:t>
            </w:r>
          </w:p>
        </w:tc>
        <w:tc>
          <w:tcPr/>
          <w:p>
            <w:pPr>
              <w:pStyle w:val="Compact"/>
            </w:pPr>
            <w:r>
              <w:t xml:space="preserve">1232</w:t>
            </w:r>
          </w:p>
        </w:tc>
        <w:tc>
          <w:tcPr/>
          <w:p>
            <w:pPr>
              <w:pStyle w:val="Compact"/>
            </w:pPr>
            <w:r>
              <w:t xml:space="preserve">2,07 (1,78–2,41)</w:t>
            </w:r>
          </w:p>
        </w:tc>
        <w:tc>
          <w:tcPr/>
          <w:p>
            <w:pPr>
              <w:pStyle w:val="Compact"/>
            </w:pPr>
            <w:r>
              <w:t xml:space="preserve">0,18 (0,13–0,23)</w:t>
            </w:r>
          </w:p>
        </w:tc>
      </w:tr>
    </w:tbl>
    <w:p>
      <w:pPr>
        <w:pStyle w:val="BodyText"/>
      </w:pPr>
      <w:r>
        <w:rPr>
          <w:b/>
          <w:bCs/>
        </w:rPr>
        <w:t xml:space="preserve">Notas:</w:t>
      </w:r>
      <w:r>
        <w:t xml:space="preserve"> </w:t>
      </w:r>
      <w:r>
        <w:t xml:space="preserve">RP: razón de prevalencias marginal estandarizada; DP: diferencia de prevalencias marginal estandarizada; ICr: intervalo de credibilidad; pd: probabilidad de dirección. Las estimaciones comparan adolescentes de 10–14 años con adolescentes de 15–19 años como grupo de referencia. El indicador crudo clasifica como menor nivel educativo la ausencia de escolaridad o la educación primaria; el indicador de rezago considera la diferencia entre los años de escolaridad observados y los esperados para la edad. Por construcción, la pd no alcanza el 100 % exacto; se muestra como</w:t>
      </w:r>
      <w:r>
        <w:t xml:space="preserve"> </w:t>
      </w:r>
      <w:r>
        <w:t xml:space="preserve">“&gt;99,9 %”</w:t>
      </w:r>
      <w:r>
        <w:t xml:space="preserve"> </w:t>
      </w:r>
      <w:r>
        <w:t xml:space="preserve">únicamente cuando el valor estimado no permite distinguirla de la unidad.</w:t>
      </w:r>
    </w:p>
    <w:p>
      <w:pPr>
        <w:pStyle w:val="BodyText"/>
      </w:pPr>
      <w:r>
        <w:t xml:space="preserve">a RP no ajustadas e independientes entre sí; no representan efectos causales ajustados por covariables.</w:t>
      </w:r>
    </w:p>
    <w:p>
      <w:pPr>
        <w:pStyle w:val="BodyText"/>
      </w:pPr>
      <w:r>
        <w:t xml:space="preserve">Nota adicional: Control prenatal adecuado compara ≥80 % de los contactos esperados frente a no adecuado (&lt;80 %). El desglose de las cuatro categorías ordinales se presenta en la Tabla S1 y su análisis secundario en la Tabla S3 del Material Suplementario.</w:t>
      </w:r>
    </w:p>
    <w:p>
      <w:pPr>
        <w:pStyle w:val="BodyText"/>
      </w:pPr>
      <w:r>
        <w:rPr>
          <w:i/>
          <w:iCs/>
          <w:vertAlign w:val="superscript"/>
        </w:rPr>
        <w:t xml:space="preserve">c</w:t>
      </w:r>
      <w:r>
        <w:t xml:space="preserve"> </w:t>
      </w:r>
      <w:r>
        <w:rPr>
          <w:i/>
          <w:iCs/>
        </w:rPr>
        <w:t xml:space="preserve">DP: diferencia de prevalencia marginal estandarizada, ICr 95 %.</w:t>
      </w:r>
    </w:p>
    <w:bookmarkEnd w:id="23"/>
    <w:bookmarkStart w:id="38" w:name="material-suplementario"/>
    <w:p>
      <w:pPr>
        <w:pStyle w:val="Heading1"/>
      </w:pPr>
      <w:r>
        <w:t xml:space="preserve">Material Suplementario</w:t>
      </w:r>
    </w:p>
    <w:bookmarkStart w:id="24" w:name="tabla-s13.-reconciliacion-final"/>
    <w:p>
      <w:pPr>
        <w:pStyle w:val="Heading2"/>
      </w:pPr>
      <w:r>
        <w:t xml:space="preserve">Tabla S13. Reconciliación final del flujo y de los denominadores neonatales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Etapa o variable</w:t>
            </w:r>
          </w:p>
        </w:tc>
        <w:tc>
          <w:tcPr/>
          <w:p>
            <w:pPr>
              <w:pStyle w:val="Compact"/>
              <w:jc w:val="right"/>
            </w:pPr>
            <w:r>
              <w:rPr>
                <w:b/>
                <w:bCs/>
              </w:rPr>
              <w:t xml:space="preserve">Total</w:t>
            </w:r>
          </w:p>
        </w:tc>
        <w:tc>
          <w:tcPr/>
          <w:p>
            <w:pPr>
              <w:pStyle w:val="Compact"/>
              <w:jc w:val="right"/>
            </w:pPr>
            <w:r>
              <w:rPr>
                <w:b/>
                <w:bCs/>
              </w:rPr>
              <w:t xml:space="preserve">10–14 años</w:t>
            </w:r>
          </w:p>
        </w:tc>
        <w:tc>
          <w:tcPr/>
          <w:p>
            <w:pPr>
              <w:pStyle w:val="Compact"/>
              <w:jc w:val="right"/>
            </w:pPr>
            <w:r>
              <w:rPr>
                <w:b/>
                <w:bCs/>
              </w:rPr>
              <w:t xml:space="preserve">15–19 años</w:t>
            </w:r>
          </w:p>
        </w:tc>
      </w:tr>
      <w:tr>
        <w:tc>
          <w:tcPr/>
          <w:p>
            <w:pPr>
              <w:pStyle w:val="Compact"/>
              <w:jc w:val="left"/>
            </w:pPr>
            <w:r>
              <w:t xml:space="preserve">Registros iniciales</w:t>
            </w:r>
          </w:p>
        </w:tc>
        <w:tc>
          <w:tcPr/>
          <w:p>
            <w:pPr>
              <w:pStyle w:val="Compact"/>
              <w:jc w:val="right"/>
            </w:pPr>
            <w:r>
              <w:t xml:space="preserve">7.202</w:t>
            </w:r>
          </w:p>
        </w:tc>
        <w:tc>
          <w:tcPr/>
          <w:p>
            <w:pPr>
              <w:pStyle w:val="Compact"/>
              <w:jc w:val="right"/>
            </w:pPr>
            <w:r>
              <w:t xml:space="preserve">387</w:t>
            </w:r>
          </w:p>
        </w:tc>
        <w:tc>
          <w:tcPr/>
          <w:p>
            <w:pPr>
              <w:pStyle w:val="Compact"/>
              <w:jc w:val="right"/>
            </w:pPr>
            <w:r>
              <w:t xml:space="preserve">6.815</w:t>
            </w:r>
          </w:p>
        </w:tc>
      </w:tr>
      <w:tr>
        <w:tc>
          <w:tcPr/>
          <w:p>
            <w:pPr>
              <w:pStyle w:val="Compact"/>
              <w:jc w:val="left"/>
            </w:pPr>
            <w:r>
              <w:t xml:space="preserve">Duplicados exactos eliminados</w:t>
            </w:r>
          </w:p>
        </w:tc>
        <w:tc>
          <w:tcPr/>
          <w:p>
            <w:pPr>
              <w:pStyle w:val="Compact"/>
              <w:jc w:val="right"/>
            </w:pPr>
            <w:r>
              <w:t xml:space="preserve">15</w:t>
            </w:r>
          </w:p>
        </w:tc>
        <w:tc>
          <w:tcPr/>
          <w:p>
            <w:pPr>
              <w:pStyle w:val="Compact"/>
              <w:jc w:val="right"/>
            </w:pPr>
            <w:r>
              <w:t xml:space="preserve">0</w:t>
            </w:r>
          </w:p>
        </w:tc>
        <w:tc>
          <w:tcPr/>
          <w:p>
            <w:pPr>
              <w:pStyle w:val="Compact"/>
              <w:jc w:val="right"/>
            </w:pPr>
            <w:r>
              <w:t xml:space="preserve">15</w:t>
            </w:r>
          </w:p>
        </w:tc>
      </w:tr>
      <w:tr>
        <w:tc>
          <w:tcPr/>
          <w:p>
            <w:pPr>
              <w:pStyle w:val="Compact"/>
              <w:jc w:val="left"/>
            </w:pPr>
            <w:r>
              <w:t xml:space="preserve">Registros después de duplicados exactos</w:t>
            </w:r>
          </w:p>
        </w:tc>
        <w:tc>
          <w:tcPr/>
          <w:p>
            <w:pPr>
              <w:pStyle w:val="Compact"/>
              <w:jc w:val="right"/>
            </w:pPr>
            <w:r>
              <w:t xml:space="preserve">7.187</w:t>
            </w:r>
          </w:p>
        </w:tc>
        <w:tc>
          <w:tcPr/>
          <w:p>
            <w:pPr>
              <w:pStyle w:val="Compact"/>
              <w:jc w:val="right"/>
            </w:pPr>
            <w:r>
              <w:t xml:space="preserve">387</w:t>
            </w:r>
          </w:p>
        </w:tc>
        <w:tc>
          <w:tcPr/>
          <w:p>
            <w:pPr>
              <w:pStyle w:val="Compact"/>
              <w:jc w:val="right"/>
            </w:pPr>
            <w:r>
              <w:t xml:space="preserve">6.800</w:t>
            </w:r>
          </w:p>
        </w:tc>
      </w:tr>
      <w:tr>
        <w:tc>
          <w:tcPr/>
          <w:p>
            <w:pPr>
              <w:pStyle w:val="Compact"/>
              <w:jc w:val="left"/>
            </w:pPr>
            <w:r>
              <w:t xml:space="preserve">Registros consolidados mediante linkage (umbral principal: 3 semanas)</w:t>
            </w:r>
          </w:p>
        </w:tc>
        <w:tc>
          <w:tcPr/>
          <w:p>
            <w:pPr>
              <w:pStyle w:val="Compact"/>
              <w:jc w:val="right"/>
            </w:pPr>
            <w:r>
              <w:t xml:space="preserve">152</w:t>
            </w:r>
          </w:p>
        </w:tc>
        <w:tc>
          <w:tcPr/>
          <w:p>
            <w:pPr>
              <w:pStyle w:val="Compact"/>
              <w:jc w:val="right"/>
            </w:pPr>
            <w:r>
              <w:t xml:space="preserve">1</w:t>
            </w:r>
          </w:p>
        </w:tc>
        <w:tc>
          <w:tcPr/>
          <w:p>
            <w:pPr>
              <w:pStyle w:val="Compact"/>
              <w:jc w:val="right"/>
            </w:pPr>
            <w:r>
              <w:t xml:space="preserve">151</w:t>
            </w:r>
          </w:p>
        </w:tc>
      </w:tr>
      <w:tr>
        <w:tc>
          <w:tcPr/>
          <w:p>
            <w:pPr>
              <w:pStyle w:val="Compact"/>
              <w:jc w:val="left"/>
            </w:pPr>
            <w:r>
              <w:t xml:space="preserve">Eventos obstétricos maternos finales</w:t>
            </w:r>
          </w:p>
        </w:tc>
        <w:tc>
          <w:tcPr/>
          <w:p>
            <w:pPr>
              <w:pStyle w:val="Compact"/>
              <w:jc w:val="right"/>
            </w:pPr>
            <w:r>
              <w:t xml:space="preserve">7.035</w:t>
            </w:r>
          </w:p>
        </w:tc>
        <w:tc>
          <w:tcPr/>
          <w:p>
            <w:pPr>
              <w:pStyle w:val="Compact"/>
              <w:jc w:val="right"/>
            </w:pPr>
            <w:r>
              <w:t xml:space="preserve">386</w:t>
            </w:r>
          </w:p>
        </w:tc>
        <w:tc>
          <w:tcPr/>
          <w:p>
            <w:pPr>
              <w:pStyle w:val="Compact"/>
              <w:jc w:val="right"/>
            </w:pPr>
            <w:r>
              <w:t xml:space="preserve">6.649</w:t>
            </w:r>
          </w:p>
        </w:tc>
      </w:tr>
      <w:tr>
        <w:tc>
          <w:tcPr/>
          <w:p>
            <w:pPr>
              <w:pStyle w:val="Compact"/>
              <w:jc w:val="left"/>
            </w:pPr>
            <w:r>
              <w:t xml:space="preserve">Embarazos múltiples excluidos de la descripción neonatal</w:t>
            </w:r>
          </w:p>
        </w:tc>
        <w:tc>
          <w:tcPr/>
          <w:p>
            <w:pPr>
              <w:pStyle w:val="Compact"/>
              <w:jc w:val="right"/>
            </w:pPr>
            <w:r>
              <w:t xml:space="preserve">245</w:t>
            </w:r>
          </w:p>
        </w:tc>
        <w:tc>
          <w:tcPr/>
          <w:p>
            <w:pPr>
              <w:pStyle w:val="Compact"/>
              <w:jc w:val="right"/>
            </w:pPr>
            <w:r>
              <w:t xml:space="preserve">5</w:t>
            </w:r>
          </w:p>
        </w:tc>
        <w:tc>
          <w:tcPr/>
          <w:p>
            <w:pPr>
              <w:pStyle w:val="Compact"/>
              <w:jc w:val="right"/>
            </w:pPr>
            <w:r>
              <w:t xml:space="preserve">240</w:t>
            </w:r>
          </w:p>
        </w:tc>
      </w:tr>
      <w:tr>
        <w:tc>
          <w:tcPr/>
          <w:p>
            <w:pPr>
              <w:pStyle w:val="Compact"/>
              <w:jc w:val="left"/>
            </w:pPr>
            <w:r>
              <w:t xml:space="preserve">Nacimientos únicos analizados (máximo neonatal)</w:t>
            </w:r>
          </w:p>
        </w:tc>
        <w:tc>
          <w:tcPr/>
          <w:p>
            <w:pPr>
              <w:pStyle w:val="Compact"/>
              <w:jc w:val="right"/>
            </w:pPr>
            <w:r>
              <w:t xml:space="preserve">6.790</w:t>
            </w:r>
          </w:p>
        </w:tc>
        <w:tc>
          <w:tcPr/>
          <w:p>
            <w:pPr>
              <w:pStyle w:val="Compact"/>
              <w:jc w:val="right"/>
            </w:pPr>
            <w:r>
              <w:t xml:space="preserve">381</w:t>
            </w:r>
          </w:p>
        </w:tc>
        <w:tc>
          <w:tcPr/>
          <w:p>
            <w:pPr>
              <w:pStyle w:val="Compact"/>
              <w:jc w:val="right"/>
            </w:pPr>
            <w:r>
              <w:t xml:space="preserve">6.409</w:t>
            </w:r>
          </w:p>
        </w:tc>
      </w:tr>
      <w:tr>
        <w:tc>
          <w:tcPr/>
          <w:p>
            <w:pPr>
              <w:pStyle w:val="Compact"/>
              <w:jc w:val="left"/>
            </w:pPr>
            <w:r>
              <w:t xml:space="preserve">Edad gestacional al parto</w:t>
            </w:r>
          </w:p>
        </w:tc>
        <w:tc>
          <w:tcPr/>
          <w:p>
            <w:pPr>
              <w:pStyle w:val="Compact"/>
              <w:jc w:val="right"/>
            </w:pPr>
            <w:r>
              <w:t xml:space="preserve">6.765</w:t>
            </w:r>
          </w:p>
        </w:tc>
        <w:tc>
          <w:tcPr/>
          <w:p>
            <w:pPr>
              <w:pStyle w:val="Compact"/>
              <w:jc w:val="right"/>
            </w:pPr>
            <w:r>
              <w:t xml:space="preserve">381</w:t>
            </w:r>
          </w:p>
        </w:tc>
        <w:tc>
          <w:tcPr/>
          <w:p>
            <w:pPr>
              <w:pStyle w:val="Compact"/>
              <w:jc w:val="right"/>
            </w:pPr>
            <w:r>
              <w:t xml:space="preserve">6.384</w:t>
            </w:r>
          </w:p>
        </w:tc>
      </w:tr>
      <w:tr>
        <w:tc>
          <w:tcPr/>
          <w:p>
            <w:pPr>
              <w:pStyle w:val="Compact"/>
              <w:jc w:val="left"/>
            </w:pPr>
            <w:r>
              <w:t xml:space="preserve">Peso al nacer</w:t>
            </w:r>
          </w:p>
        </w:tc>
        <w:tc>
          <w:tcPr/>
          <w:p>
            <w:pPr>
              <w:pStyle w:val="Compact"/>
              <w:jc w:val="right"/>
            </w:pPr>
            <w:r>
              <w:t xml:space="preserve">6.789</w:t>
            </w:r>
          </w:p>
        </w:tc>
        <w:tc>
          <w:tcPr/>
          <w:p>
            <w:pPr>
              <w:pStyle w:val="Compact"/>
              <w:jc w:val="right"/>
            </w:pPr>
            <w:r>
              <w:t xml:space="preserve">381</w:t>
            </w:r>
          </w:p>
        </w:tc>
        <w:tc>
          <w:tcPr/>
          <w:p>
            <w:pPr>
              <w:pStyle w:val="Compact"/>
              <w:jc w:val="right"/>
            </w:pPr>
            <w:r>
              <w:t xml:space="preserve">6.408</w:t>
            </w:r>
          </w:p>
        </w:tc>
      </w:tr>
      <w:tr>
        <w:tc>
          <w:tcPr/>
          <w:p>
            <w:pPr>
              <w:pStyle w:val="Compact"/>
              <w:jc w:val="left"/>
            </w:pPr>
            <w:r>
              <w:t xml:space="preserve">Prematuridad</w:t>
            </w:r>
          </w:p>
        </w:tc>
        <w:tc>
          <w:tcPr/>
          <w:p>
            <w:pPr>
              <w:pStyle w:val="Compact"/>
              <w:jc w:val="right"/>
            </w:pPr>
            <w:r>
              <w:t xml:space="preserve">6.747</w:t>
            </w:r>
          </w:p>
        </w:tc>
        <w:tc>
          <w:tcPr/>
          <w:p>
            <w:pPr>
              <w:pStyle w:val="Compact"/>
              <w:jc w:val="right"/>
            </w:pPr>
            <w:r>
              <w:t xml:space="preserve">376</w:t>
            </w:r>
          </w:p>
        </w:tc>
        <w:tc>
          <w:tcPr/>
          <w:p>
            <w:pPr>
              <w:pStyle w:val="Compact"/>
              <w:jc w:val="right"/>
            </w:pPr>
            <w:r>
              <w:t xml:space="preserve">6.371</w:t>
            </w:r>
          </w:p>
        </w:tc>
      </w:tr>
      <w:tr>
        <w:tc>
          <w:tcPr/>
          <w:p>
            <w:pPr>
              <w:pStyle w:val="Compact"/>
              <w:jc w:val="left"/>
            </w:pPr>
            <w:r>
              <w:t xml:space="preserve">Apgar &lt;7 al minuto 1</w:t>
            </w:r>
          </w:p>
        </w:tc>
        <w:tc>
          <w:tcPr/>
          <w:p>
            <w:pPr>
              <w:pStyle w:val="Compact"/>
              <w:jc w:val="right"/>
            </w:pPr>
            <w:r>
              <w:t xml:space="preserve">6.665</w:t>
            </w:r>
          </w:p>
        </w:tc>
        <w:tc>
          <w:tcPr/>
          <w:p>
            <w:pPr>
              <w:pStyle w:val="Compact"/>
              <w:jc w:val="right"/>
            </w:pPr>
            <w:r>
              <w:t xml:space="preserve">374</w:t>
            </w:r>
          </w:p>
        </w:tc>
        <w:tc>
          <w:tcPr/>
          <w:p>
            <w:pPr>
              <w:pStyle w:val="Compact"/>
              <w:jc w:val="right"/>
            </w:pPr>
            <w:r>
              <w:t xml:space="preserve">6.291</w:t>
            </w:r>
          </w:p>
        </w:tc>
      </w:tr>
      <w:tr>
        <w:tc>
          <w:tcPr/>
          <w:p>
            <w:pPr>
              <w:pStyle w:val="Compact"/>
              <w:jc w:val="left"/>
            </w:pPr>
            <w:r>
              <w:t xml:space="preserve">Apgar &lt;7 al minuto 5</w:t>
            </w:r>
          </w:p>
        </w:tc>
        <w:tc>
          <w:tcPr/>
          <w:p>
            <w:pPr>
              <w:pStyle w:val="Compact"/>
              <w:jc w:val="right"/>
            </w:pPr>
            <w:r>
              <w:t xml:space="preserve">6.673</w:t>
            </w:r>
          </w:p>
        </w:tc>
        <w:tc>
          <w:tcPr/>
          <w:p>
            <w:pPr>
              <w:pStyle w:val="Compact"/>
              <w:jc w:val="right"/>
            </w:pPr>
            <w:r>
              <w:t xml:space="preserve">374</w:t>
            </w:r>
          </w:p>
        </w:tc>
        <w:tc>
          <w:tcPr/>
          <w:p>
            <w:pPr>
              <w:pStyle w:val="Compact"/>
              <w:jc w:val="right"/>
            </w:pPr>
            <w:r>
              <w:t xml:space="preserve">6.299</w:t>
            </w:r>
          </w:p>
        </w:tc>
      </w:tr>
      <w:tr>
        <w:tc>
          <w:tcPr/>
          <w:p>
            <w:pPr>
              <w:pStyle w:val="Compact"/>
              <w:jc w:val="left"/>
            </w:pPr>
            <w:r>
              <w:t xml:space="preserve">Pequeño para la edad gestacional</w:t>
            </w:r>
          </w:p>
        </w:tc>
        <w:tc>
          <w:tcPr/>
          <w:p>
            <w:pPr>
              <w:pStyle w:val="Compact"/>
              <w:jc w:val="right"/>
            </w:pPr>
            <w:r>
              <w:t xml:space="preserve">6.789</w:t>
            </w:r>
          </w:p>
        </w:tc>
        <w:tc>
          <w:tcPr/>
          <w:p>
            <w:pPr>
              <w:pStyle w:val="Compact"/>
              <w:jc w:val="right"/>
            </w:pPr>
            <w:r>
              <w:t xml:space="preserve">381</w:t>
            </w:r>
          </w:p>
        </w:tc>
        <w:tc>
          <w:tcPr/>
          <w:p>
            <w:pPr>
              <w:pStyle w:val="Compact"/>
              <w:jc w:val="right"/>
            </w:pPr>
            <w:r>
              <w:t xml:space="preserve">6.408</w:t>
            </w:r>
          </w:p>
        </w:tc>
      </w:tr>
      <w:tr>
        <w:tc>
          <w:tcPr/>
          <w:p>
            <w:pPr>
              <w:pStyle w:val="Compact"/>
              <w:jc w:val="left"/>
            </w:pPr>
            <w:r>
              <w:t xml:space="preserve">Macrosomía</w:t>
            </w:r>
          </w:p>
        </w:tc>
        <w:tc>
          <w:tcPr/>
          <w:p>
            <w:pPr>
              <w:pStyle w:val="Compact"/>
              <w:jc w:val="right"/>
            </w:pPr>
            <w:r>
              <w:t xml:space="preserve">6.790</w:t>
            </w:r>
          </w:p>
        </w:tc>
        <w:tc>
          <w:tcPr/>
          <w:p>
            <w:pPr>
              <w:pStyle w:val="Compact"/>
              <w:jc w:val="right"/>
            </w:pPr>
            <w:r>
              <w:t xml:space="preserve">381</w:t>
            </w:r>
          </w:p>
        </w:tc>
        <w:tc>
          <w:tcPr/>
          <w:p>
            <w:pPr>
              <w:pStyle w:val="Compact"/>
              <w:jc w:val="right"/>
            </w:pPr>
            <w:r>
              <w:t xml:space="preserve">6.409</w:t>
            </w:r>
          </w:p>
        </w:tc>
      </w:tr>
      <w:tr>
        <w:tc>
          <w:tcPr/>
          <w:p>
            <w:pPr>
              <w:pStyle w:val="Compact"/>
              <w:jc w:val="left"/>
            </w:pPr>
            <w:r>
              <w:t xml:space="preserve">Ictericia neonatal</w:t>
            </w:r>
          </w:p>
        </w:tc>
        <w:tc>
          <w:tcPr/>
          <w:p>
            <w:pPr>
              <w:pStyle w:val="Compact"/>
              <w:jc w:val="right"/>
            </w:pPr>
            <w:r>
              <w:t xml:space="preserve">6.790</w:t>
            </w:r>
          </w:p>
        </w:tc>
        <w:tc>
          <w:tcPr/>
          <w:p>
            <w:pPr>
              <w:pStyle w:val="Compact"/>
              <w:jc w:val="right"/>
            </w:pPr>
            <w:r>
              <w:t xml:space="preserve">381</w:t>
            </w:r>
          </w:p>
        </w:tc>
        <w:tc>
          <w:tcPr/>
          <w:p>
            <w:pPr>
              <w:pStyle w:val="Compact"/>
              <w:jc w:val="right"/>
            </w:pPr>
            <w:r>
              <w:t xml:space="preserve">6.409</w:t>
            </w:r>
          </w:p>
        </w:tc>
      </w:tr>
      <w:tr>
        <w:tc>
          <w:tcPr/>
          <w:p>
            <w:pPr>
              <w:pStyle w:val="Compact"/>
              <w:jc w:val="left"/>
            </w:pPr>
            <w:r>
              <w:t xml:space="preserve">Registro de recién nacido vivo al egreso</w:t>
            </w:r>
          </w:p>
        </w:tc>
        <w:tc>
          <w:tcPr/>
          <w:p>
            <w:pPr>
              <w:pStyle w:val="Compact"/>
              <w:jc w:val="right"/>
            </w:pPr>
            <w:r>
              <w:t xml:space="preserve">6.778</w:t>
            </w:r>
          </w:p>
        </w:tc>
        <w:tc>
          <w:tcPr/>
          <w:p>
            <w:pPr>
              <w:pStyle w:val="Compact"/>
              <w:jc w:val="right"/>
            </w:pPr>
            <w:r>
              <w:t xml:space="preserve">381</w:t>
            </w:r>
          </w:p>
        </w:tc>
        <w:tc>
          <w:tcPr/>
          <w:p>
            <w:pPr>
              <w:pStyle w:val="Compact"/>
              <w:jc w:val="right"/>
            </w:pPr>
            <w:r>
              <w:t xml:space="preserve">6.397</w:t>
            </w:r>
          </w:p>
        </w:tc>
      </w:tr>
      <w:tr>
        <w:tc>
          <w:tcPr/>
          <w:p>
            <w:pPr>
              <w:pStyle w:val="Compact"/>
              <w:jc w:val="left"/>
            </w:pPr>
            <w:r>
              <w:t xml:space="preserve">Lactancia exclusiva al egreso</w:t>
            </w:r>
          </w:p>
        </w:tc>
        <w:tc>
          <w:tcPr/>
          <w:p>
            <w:pPr>
              <w:pStyle w:val="Compact"/>
              <w:jc w:val="right"/>
            </w:pPr>
            <w:r>
              <w:t xml:space="preserve">5.809</w:t>
            </w:r>
          </w:p>
        </w:tc>
        <w:tc>
          <w:tcPr/>
          <w:p>
            <w:pPr>
              <w:pStyle w:val="Compact"/>
              <w:jc w:val="right"/>
            </w:pPr>
            <w:r>
              <w:t xml:space="preserve">324</w:t>
            </w:r>
          </w:p>
        </w:tc>
        <w:tc>
          <w:tcPr/>
          <w:p>
            <w:pPr>
              <w:pStyle w:val="Compact"/>
              <w:jc w:val="right"/>
            </w:pPr>
            <w:r>
              <w:t xml:space="preserve">5.485</w:t>
            </w:r>
          </w:p>
        </w:tc>
      </w:tr>
    </w:tbl>
    <w:p>
      <w:pPr>
        <w:pStyle w:val="BodyText"/>
      </w:pPr>
      <w:r>
        <w:t xml:space="preserve">La resta entre etapas consecutivas reconcilia 7.202 − 15 − 152 = 7.035. La submuestra neonatal excluye los 245 embarazos múltiples: 7.035 − 245 = 6.790. Los denominadores específicos reflejan análisis de casos disponibles. Sensibilidad del linkage: con umbrales de 2, 3 y 4 semanas se consolidaron 146, 152 y 152 registros y quedaron 7.041, 7.035 y 7.035 eventos, respectivamente.</w:t>
      </w:r>
    </w:p>
    <w:bookmarkEnd w:id="24"/>
    <w:bookmarkStart w:id="25" w:name="X83e24cace5010e1c33250ba3c85270d3e584257"/>
    <w:p>
      <w:pPr>
        <w:pStyle w:val="Heading2"/>
      </w:pPr>
      <w:r>
        <w:t xml:space="preserve">Tabla S1. Categorías descriptivas de rezago escolar y de adecuación del control prenatal</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Variable</w:t>
            </w:r>
          </w:p>
        </w:tc>
        <w:tc>
          <w:tcPr/>
          <w:p>
            <w:pPr>
              <w:pStyle w:val="Compact"/>
              <w:jc w:val="left"/>
            </w:pPr>
            <w:r>
              <w:rPr>
                <w:b/>
                <w:bCs/>
              </w:rPr>
              <w:t xml:space="preserve">Categoría</w:t>
            </w:r>
          </w:p>
        </w:tc>
        <w:tc>
          <w:tcPr/>
          <w:p>
            <w:pPr>
              <w:pStyle w:val="Compact"/>
              <w:jc w:val="left"/>
            </w:pPr>
            <w:r>
              <w:rPr>
                <w:b/>
                <w:bCs/>
              </w:rPr>
              <w:t xml:space="preserve">n 15–19 años</w:t>
            </w:r>
          </w:p>
        </w:tc>
        <w:tc>
          <w:tcPr/>
          <w:p>
            <w:pPr>
              <w:pStyle w:val="Compact"/>
              <w:jc w:val="left"/>
            </w:pPr>
            <w:r>
              <w:rPr>
                <w:b/>
                <w:bCs/>
              </w:rPr>
              <w:t xml:space="preserve">n 10–14 años</w:t>
            </w:r>
          </w:p>
        </w:tc>
        <w:tc>
          <w:tcPr/>
          <w:p>
            <w:pPr>
              <w:pStyle w:val="Compact"/>
              <w:jc w:val="left"/>
            </w:pPr>
            <w:r>
              <w:rPr>
                <w:b/>
                <w:bCs/>
              </w:rPr>
              <w:t xml:space="preserve">% 15–19 años</w:t>
            </w:r>
          </w:p>
        </w:tc>
        <w:tc>
          <w:tcPr/>
          <w:p>
            <w:pPr>
              <w:pStyle w:val="Compact"/>
              <w:jc w:val="left"/>
            </w:pPr>
            <w:r>
              <w:rPr>
                <w:b/>
                <w:bCs/>
              </w:rPr>
              <w:t xml:space="preserve">% 10–14 años</w:t>
            </w:r>
          </w:p>
        </w:tc>
      </w:tr>
      <w:tr>
        <w:tc>
          <w:tcPr/>
          <w:p>
            <w:pPr>
              <w:pStyle w:val="Compact"/>
              <w:jc w:val="left"/>
            </w:pPr>
            <w:r>
              <w:t xml:space="preserve">Rezago escolar</w:t>
            </w:r>
          </w:p>
        </w:tc>
        <w:tc>
          <w:tcPr/>
          <w:p>
            <w:pPr>
              <w:pStyle w:val="Compact"/>
              <w:jc w:val="left"/>
            </w:pPr>
            <w:r>
              <w:t xml:space="preserve">Ausente</w:t>
            </w:r>
          </w:p>
        </w:tc>
        <w:tc>
          <w:tcPr/>
          <w:p>
            <w:pPr>
              <w:pStyle w:val="Compact"/>
              <w:jc w:val="left"/>
            </w:pPr>
            <w:r>
              <w:t xml:space="preserve">6645</w:t>
            </w:r>
          </w:p>
        </w:tc>
        <w:tc>
          <w:tcPr/>
          <w:p>
            <w:pPr>
              <w:pStyle w:val="Compact"/>
              <w:jc w:val="left"/>
            </w:pPr>
            <w:r>
              <w:t xml:space="preserve">382</w:t>
            </w:r>
          </w:p>
        </w:tc>
        <w:tc>
          <w:tcPr/>
          <w:p>
            <w:pPr>
              <w:pStyle w:val="Compact"/>
              <w:jc w:val="left"/>
            </w:pPr>
            <w:r>
              <w:t xml:space="preserve">83,4 %</w:t>
            </w:r>
          </w:p>
        </w:tc>
        <w:tc>
          <w:tcPr/>
          <w:p>
            <w:pPr>
              <w:pStyle w:val="Compact"/>
              <w:jc w:val="left"/>
            </w:pPr>
            <w:r>
              <w:t xml:space="preserve">65,4 %</w:t>
            </w:r>
          </w:p>
        </w:tc>
      </w:tr>
      <w:tr>
        <w:tc>
          <w:tcPr/>
          <w:p>
            <w:pPr>
              <w:pStyle w:val="Compact"/>
            </w:pPr>
          </w:p>
        </w:tc>
        <w:tc>
          <w:tcPr/>
          <w:p>
            <w:pPr>
              <w:pStyle w:val="Compact"/>
              <w:jc w:val="left"/>
            </w:pPr>
            <w:r>
              <w:t xml:space="preserve">Presente</w:t>
            </w:r>
          </w:p>
        </w:tc>
        <w:tc>
          <w:tcPr/>
          <w:p>
            <w:pPr>
              <w:pStyle w:val="Compact"/>
              <w:jc w:val="left"/>
            </w:pPr>
            <w:r>
              <w:t xml:space="preserve">6645</w:t>
            </w:r>
          </w:p>
        </w:tc>
        <w:tc>
          <w:tcPr/>
          <w:p>
            <w:pPr>
              <w:pStyle w:val="Compact"/>
              <w:jc w:val="left"/>
            </w:pPr>
            <w:r>
              <w:t xml:space="preserve">382</w:t>
            </w:r>
          </w:p>
        </w:tc>
        <w:tc>
          <w:tcPr/>
          <w:p>
            <w:pPr>
              <w:pStyle w:val="Compact"/>
              <w:jc w:val="left"/>
            </w:pPr>
            <w:r>
              <w:t xml:space="preserve">16,6 %</w:t>
            </w:r>
          </w:p>
        </w:tc>
        <w:tc>
          <w:tcPr/>
          <w:p>
            <w:pPr>
              <w:pStyle w:val="Compact"/>
              <w:jc w:val="left"/>
            </w:pPr>
            <w:r>
              <w:t xml:space="preserve">34,6 %</w:t>
            </w:r>
          </w:p>
        </w:tc>
      </w:tr>
      <w:tr>
        <w:tc>
          <w:tcPr/>
          <w:p>
            <w:pPr>
              <w:pStyle w:val="Compact"/>
              <w:jc w:val="left"/>
            </w:pPr>
            <w:r>
              <w:t xml:space="preserve">Adecuación del control prenatal</w:t>
            </w:r>
          </w:p>
        </w:tc>
        <w:tc>
          <w:tcPr/>
          <w:p>
            <w:pPr>
              <w:pStyle w:val="Compact"/>
              <w:jc w:val="left"/>
            </w:pPr>
            <w:r>
              <w:t xml:space="preserve">Sin controles</w:t>
            </w:r>
          </w:p>
        </w:tc>
        <w:tc>
          <w:tcPr/>
          <w:p>
            <w:pPr>
              <w:pStyle w:val="Compact"/>
              <w:jc w:val="left"/>
            </w:pPr>
            <w:r>
              <w:t xml:space="preserve">6487</w:t>
            </w:r>
          </w:p>
        </w:tc>
        <w:tc>
          <w:tcPr/>
          <w:p>
            <w:pPr>
              <w:pStyle w:val="Compact"/>
              <w:jc w:val="left"/>
            </w:pPr>
            <w:r>
              <w:t xml:space="preserve">373</w:t>
            </w:r>
          </w:p>
        </w:tc>
        <w:tc>
          <w:tcPr/>
          <w:p>
            <w:pPr>
              <w:pStyle w:val="Compact"/>
              <w:jc w:val="left"/>
            </w:pPr>
            <w:r>
              <w:t xml:space="preserve">2,6 %</w:t>
            </w:r>
          </w:p>
        </w:tc>
        <w:tc>
          <w:tcPr/>
          <w:p>
            <w:pPr>
              <w:pStyle w:val="Compact"/>
              <w:jc w:val="left"/>
            </w:pPr>
            <w:r>
              <w:t xml:space="preserve">4,0 %</w:t>
            </w:r>
          </w:p>
        </w:tc>
      </w:tr>
      <w:tr>
        <w:tc>
          <w:tcPr/>
          <w:p>
            <w:pPr>
              <w:pStyle w:val="Compact"/>
            </w:pPr>
          </w:p>
        </w:tc>
        <w:tc>
          <w:tcPr/>
          <w:p>
            <w:pPr>
              <w:pStyle w:val="Compact"/>
              <w:jc w:val="left"/>
            </w:pPr>
            <w:r>
              <w:t xml:space="preserve">Inadecuado</w:t>
            </w:r>
          </w:p>
        </w:tc>
        <w:tc>
          <w:tcPr/>
          <w:p>
            <w:pPr>
              <w:pStyle w:val="Compact"/>
              <w:jc w:val="left"/>
            </w:pPr>
            <w:r>
              <w:t xml:space="preserve">6487</w:t>
            </w:r>
          </w:p>
        </w:tc>
        <w:tc>
          <w:tcPr/>
          <w:p>
            <w:pPr>
              <w:pStyle w:val="Compact"/>
              <w:jc w:val="left"/>
            </w:pPr>
            <w:r>
              <w:t xml:space="preserve">373</w:t>
            </w:r>
          </w:p>
        </w:tc>
        <w:tc>
          <w:tcPr/>
          <w:p>
            <w:pPr>
              <w:pStyle w:val="Compact"/>
              <w:jc w:val="left"/>
            </w:pPr>
            <w:r>
              <w:t xml:space="preserve">10,8 %</w:t>
            </w:r>
          </w:p>
        </w:tc>
        <w:tc>
          <w:tcPr/>
          <w:p>
            <w:pPr>
              <w:pStyle w:val="Compact"/>
              <w:jc w:val="left"/>
            </w:pPr>
            <w:r>
              <w:t xml:space="preserve">16,4 %</w:t>
            </w:r>
          </w:p>
        </w:tc>
      </w:tr>
      <w:tr>
        <w:tc>
          <w:tcPr/>
          <w:p>
            <w:pPr>
              <w:pStyle w:val="Compact"/>
            </w:pPr>
          </w:p>
        </w:tc>
        <w:tc>
          <w:tcPr/>
          <w:p>
            <w:pPr>
              <w:pStyle w:val="Compact"/>
              <w:jc w:val="left"/>
            </w:pPr>
            <w:r>
              <w:t xml:space="preserve">Intermedio</w:t>
            </w:r>
          </w:p>
        </w:tc>
        <w:tc>
          <w:tcPr/>
          <w:p>
            <w:pPr>
              <w:pStyle w:val="Compact"/>
              <w:jc w:val="left"/>
            </w:pPr>
            <w:r>
              <w:t xml:space="preserve">6487</w:t>
            </w:r>
          </w:p>
        </w:tc>
        <w:tc>
          <w:tcPr/>
          <w:p>
            <w:pPr>
              <w:pStyle w:val="Compact"/>
              <w:jc w:val="left"/>
            </w:pPr>
            <w:r>
              <w:t xml:space="preserve">373</w:t>
            </w:r>
          </w:p>
        </w:tc>
        <w:tc>
          <w:tcPr/>
          <w:p>
            <w:pPr>
              <w:pStyle w:val="Compact"/>
              <w:jc w:val="left"/>
            </w:pPr>
            <w:r>
              <w:t xml:space="preserve">24,9 %</w:t>
            </w:r>
          </w:p>
        </w:tc>
        <w:tc>
          <w:tcPr/>
          <w:p>
            <w:pPr>
              <w:pStyle w:val="Compact"/>
              <w:jc w:val="left"/>
            </w:pPr>
            <w:r>
              <w:t xml:space="preserve">26,3 %</w:t>
            </w:r>
          </w:p>
        </w:tc>
      </w:tr>
      <w:tr>
        <w:tc>
          <w:tcPr/>
          <w:p>
            <w:pPr>
              <w:pStyle w:val="Compact"/>
            </w:pPr>
          </w:p>
        </w:tc>
        <w:tc>
          <w:tcPr/>
          <w:p>
            <w:pPr>
              <w:pStyle w:val="Compact"/>
              <w:jc w:val="left"/>
            </w:pPr>
            <w:r>
              <w:t xml:space="preserve">Adecuado</w:t>
            </w:r>
          </w:p>
        </w:tc>
        <w:tc>
          <w:tcPr/>
          <w:p>
            <w:pPr>
              <w:pStyle w:val="Compact"/>
              <w:jc w:val="left"/>
            </w:pPr>
            <w:r>
              <w:t xml:space="preserve">6487</w:t>
            </w:r>
          </w:p>
        </w:tc>
        <w:tc>
          <w:tcPr/>
          <w:p>
            <w:pPr>
              <w:pStyle w:val="Compact"/>
              <w:jc w:val="left"/>
            </w:pPr>
            <w:r>
              <w:t xml:space="preserve">373</w:t>
            </w:r>
          </w:p>
        </w:tc>
        <w:tc>
          <w:tcPr/>
          <w:p>
            <w:pPr>
              <w:pStyle w:val="Compact"/>
              <w:jc w:val="left"/>
            </w:pPr>
            <w:r>
              <w:t xml:space="preserve">61,6 %</w:t>
            </w:r>
          </w:p>
        </w:tc>
        <w:tc>
          <w:tcPr/>
          <w:p>
            <w:pPr>
              <w:pStyle w:val="Compact"/>
              <w:jc w:val="left"/>
            </w:pPr>
            <w:r>
              <w:t xml:space="preserve">53,4 %</w:t>
            </w:r>
          </w:p>
        </w:tc>
      </w:tr>
    </w:tbl>
    <w:p>
      <w:pPr>
        <w:pStyle w:val="BodyText"/>
      </w:pPr>
      <w:r>
        <w:rPr>
          <w:i/>
          <w:iCs/>
        </w:rPr>
        <w:t xml:space="preserve">a Columnas correspondientes a adolescentes de 15–19 años y adolescentes de 10–14 años.</w:t>
      </w:r>
    </w:p>
    <w:p>
      <w:pPr>
        <w:pStyle w:val="BodyText"/>
      </w:pPr>
      <w:r>
        <w:t xml:space="preserve">Complementa la Tabla 1 del cuerpo principal, desagregando las variables binarias</w:t>
      </w:r>
      <w:r>
        <w:t xml:space="preserve"> </w:t>
      </w:r>
      <w:r>
        <w:t xml:space="preserve">“Rezago escolar”</w:t>
      </w:r>
      <w:r>
        <w:t xml:space="preserve"> </w:t>
      </w:r>
      <w:r>
        <w:t xml:space="preserve">y</w:t>
      </w:r>
      <w:r>
        <w:t xml:space="preserve"> </w:t>
      </w:r>
      <w:r>
        <w:t xml:space="preserve">“Adecuación del control prenatal”</w:t>
      </w:r>
      <w:r>
        <w:t xml:space="preserve"> </w:t>
      </w:r>
      <w:r>
        <w:t xml:space="preserve">en sus categorías completas.</w:t>
      </w:r>
    </w:p>
    <w:bookmarkEnd w:id="25"/>
    <w:bookmarkStart w:id="26" w:name="X6f45c234816292f1ceb11dcadc7fcd32460cda8"/>
    <w:p>
      <w:pPr>
        <w:pStyle w:val="Heading2"/>
      </w:pPr>
      <w:r>
        <w:t xml:space="preserve">Tabla S2. Modelos bayesianos de razón de prevalencia (RP) — análisis principal (enero de 2009–junio de 2024) y sensibilidad por subperíodo</w:t>
      </w:r>
    </w:p>
    <w:tbl>
      <w:tblPr>
        <w:tblStyle w:val="Table"/>
        <w:tblW w:type="pct" w:w="5000"/>
        <w:tblLayout w:type="fixed"/>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jc w:val="left"/>
            </w:pPr>
            <w:r>
              <w:rPr>
                <w:b/>
                <w:bCs/>
              </w:rPr>
              <w:t xml:space="preserve">Subperíodo</w:t>
            </w:r>
          </w:p>
        </w:tc>
        <w:tc>
          <w:tcPr/>
          <w:p>
            <w:pPr>
              <w:pStyle w:val="Compact"/>
              <w:jc w:val="left"/>
            </w:pPr>
            <w:r>
              <w:rPr>
                <w:b/>
                <w:bCs/>
              </w:rPr>
              <w:t xml:space="preserve">Variable</w:t>
            </w:r>
          </w:p>
        </w:tc>
        <w:tc>
          <w:tcPr/>
          <w:p>
            <w:pPr>
              <w:pStyle w:val="Compact"/>
              <w:jc w:val="left"/>
            </w:pPr>
            <w:r>
              <w:rPr>
                <w:b/>
                <w:bCs/>
              </w:rPr>
              <w:t xml:space="preserve">n</w:t>
            </w:r>
          </w:p>
        </w:tc>
        <w:tc>
          <w:tcPr/>
          <w:p>
            <w:pPr>
              <w:pStyle w:val="Compact"/>
              <w:jc w:val="left"/>
            </w:pPr>
            <w:r>
              <w:rPr>
                <w:b/>
                <w:bCs/>
              </w:rPr>
              <w:t xml:space="preserve">ev.</w:t>
            </w:r>
          </w:p>
        </w:tc>
        <w:tc>
          <w:tcPr/>
          <w:p>
            <w:pPr>
              <w:pStyle w:val="Compact"/>
              <w:jc w:val="left"/>
            </w:pPr>
            <w:r>
              <w:rPr>
                <w:b/>
                <w:bCs/>
              </w:rPr>
              <w:t xml:space="preserve">RP (ICr95 %)</w:t>
            </w:r>
          </w:p>
        </w:tc>
        <w:tc>
          <w:tcPr/>
          <w:p>
            <w:pPr>
              <w:pStyle w:val="Compact"/>
              <w:jc w:val="left"/>
            </w:pPr>
            <w:r>
              <w:rPr>
                <w:b/>
                <w:bCs/>
              </w:rPr>
              <w:t xml:space="preserve">DP (ICr95 %)</w:t>
            </w:r>
          </w:p>
        </w:tc>
        <w:tc>
          <w:tcPr/>
          <w:p>
            <w:pPr>
              <w:pStyle w:val="Compact"/>
              <w:jc w:val="left"/>
            </w:pPr>
            <w:r>
              <w:rPr>
                <w:b/>
                <w:bCs/>
              </w:rPr>
              <w:t xml:space="preserve">pd</w:t>
            </w:r>
          </w:p>
        </w:tc>
        <w:tc>
          <w:tcPr/>
          <w:p>
            <w:pPr>
              <w:pStyle w:val="Compact"/>
              <w:jc w:val="left"/>
            </w:pPr>
            <w:r>
              <w:rPr>
                <w:b/>
                <w:bCs/>
              </w:rPr>
              <w:t xml:space="preserve">R-hat</w:t>
            </w:r>
          </w:p>
        </w:tc>
        <w:tc>
          <w:tcPr/>
          <w:p>
            <w:pPr>
              <w:pStyle w:val="Compact"/>
              <w:jc w:val="left"/>
            </w:pPr>
            <w:r>
              <w:rPr>
                <w:b/>
                <w:bCs/>
              </w:rPr>
              <w:t xml:space="preserve">ESSbulk</w:t>
            </w:r>
          </w:p>
        </w:tc>
        <w:tc>
          <w:tcPr/>
          <w:p>
            <w:pPr>
              <w:pStyle w:val="Compact"/>
              <w:jc w:val="left"/>
            </w:pPr>
            <w:r>
              <w:rPr>
                <w:b/>
                <w:bCs/>
              </w:rPr>
              <w:t xml:space="preserve">ESStail</w:t>
            </w:r>
          </w:p>
        </w:tc>
        <w:tc>
          <w:tcPr/>
          <w:p>
            <w:pPr>
              <w:pStyle w:val="Compact"/>
              <w:jc w:val="left"/>
            </w:pPr>
            <w:r>
              <w:rPr>
                <w:b/>
                <w:bCs/>
              </w:rPr>
              <w:t xml:space="preserve">E-BFMI</w:t>
            </w:r>
          </w:p>
        </w:tc>
        <w:tc>
          <w:tcPr/>
          <w:p>
            <w:pPr>
              <w:pStyle w:val="Compact"/>
              <w:jc w:val="left"/>
            </w:pPr>
            <w:r>
              <w:rPr>
                <w:b/>
                <w:bCs/>
              </w:rPr>
              <w:t xml:space="preserve">Div.</w:t>
            </w:r>
          </w:p>
        </w:tc>
      </w:tr>
      <w:tr>
        <w:tc>
          <w:tcPr/>
          <w:p>
            <w:pPr>
              <w:pStyle w:val="Compact"/>
              <w:jc w:val="left"/>
            </w:pPr>
            <w:r>
              <w:t xml:space="preserve">enero de 2009–junio de 2024 (total)</w:t>
            </w:r>
          </w:p>
        </w:tc>
        <w:tc>
          <w:tcPr/>
          <w:p>
            <w:pPr>
              <w:pStyle w:val="Compact"/>
              <w:jc w:val="left"/>
            </w:pPr>
            <w:r>
              <w:t xml:space="preserve">Pareja estable</w:t>
            </w:r>
          </w:p>
        </w:tc>
        <w:tc>
          <w:tcPr/>
          <w:p>
            <w:pPr>
              <w:pStyle w:val="Compact"/>
              <w:jc w:val="left"/>
            </w:pPr>
            <w:r>
              <w:t xml:space="preserve">7035</w:t>
            </w:r>
          </w:p>
        </w:tc>
        <w:tc>
          <w:tcPr/>
          <w:p>
            <w:pPr>
              <w:pStyle w:val="Compact"/>
              <w:jc w:val="left"/>
            </w:pPr>
            <w:r>
              <w:t xml:space="preserve">3901</w:t>
            </w:r>
          </w:p>
        </w:tc>
        <w:tc>
          <w:tcPr/>
          <w:p>
            <w:pPr>
              <w:pStyle w:val="Compact"/>
              <w:jc w:val="left"/>
            </w:pPr>
            <w:r>
              <w:t xml:space="preserve">0,86 (0,77–0,95)</w:t>
            </w:r>
          </w:p>
        </w:tc>
        <w:tc>
          <w:tcPr/>
          <w:p>
            <w:pPr>
              <w:pStyle w:val="Compact"/>
              <w:jc w:val="left"/>
            </w:pPr>
            <w:r>
              <w:t xml:space="preserve">-0,08 (-0,13 a -0,03)</w:t>
            </w:r>
          </w:p>
        </w:tc>
        <w:tc>
          <w:tcPr/>
          <w:p>
            <w:pPr>
              <w:pStyle w:val="Compact"/>
              <w:jc w:val="left"/>
            </w:pPr>
            <w:r>
              <w:t xml:space="preserve">99,8 %</w:t>
            </w:r>
          </w:p>
        </w:tc>
        <w:tc>
          <w:tcPr/>
          <w:p>
            <w:pPr>
              <w:pStyle w:val="Compact"/>
              <w:jc w:val="left"/>
            </w:pPr>
            <w:r>
              <w:t xml:space="preserve">1,0007</w:t>
            </w:r>
          </w:p>
        </w:tc>
        <w:tc>
          <w:tcPr/>
          <w:p>
            <w:pPr>
              <w:pStyle w:val="Compact"/>
              <w:jc w:val="left"/>
            </w:pPr>
            <w:r>
              <w:t xml:space="preserve">4126</w:t>
            </w:r>
          </w:p>
        </w:tc>
        <w:tc>
          <w:tcPr/>
          <w:p>
            <w:pPr>
              <w:pStyle w:val="Compact"/>
              <w:jc w:val="left"/>
            </w:pPr>
            <w:r>
              <w:t xml:space="preserve">5201</w:t>
            </w:r>
          </w:p>
        </w:tc>
        <w:tc>
          <w:tcPr/>
          <w:p>
            <w:pPr>
              <w:pStyle w:val="Compact"/>
              <w:jc w:val="left"/>
            </w:pPr>
            <w:r>
              <w:t xml:space="preserve">0,957</w:t>
            </w:r>
          </w:p>
        </w:tc>
        <w:tc>
          <w:tcPr/>
          <w:p>
            <w:pPr>
              <w:pStyle w:val="Compact"/>
              <w:jc w:val="left"/>
            </w:pPr>
            <w:r>
              <w:t xml:space="preserve">0</w:t>
            </w:r>
          </w:p>
        </w:tc>
      </w:tr>
      <w:tr>
        <w:tc>
          <w:tcPr/>
          <w:p>
            <w:pPr>
              <w:pStyle w:val="Compact"/>
              <w:jc w:val="left"/>
            </w:pPr>
            <w:r>
              <w:t xml:space="preserve">enero de 2009–junio de 2024 (total)</w:t>
            </w:r>
          </w:p>
        </w:tc>
        <w:tc>
          <w:tcPr/>
          <w:p>
            <w:pPr>
              <w:pStyle w:val="Compact"/>
              <w:jc w:val="left"/>
            </w:pPr>
            <w:r>
              <w:t xml:space="preserve">Ninguna escolaridad o educación primaria</w:t>
            </w:r>
          </w:p>
        </w:tc>
        <w:tc>
          <w:tcPr/>
          <w:p>
            <w:pPr>
              <w:pStyle w:val="Compact"/>
              <w:jc w:val="left"/>
            </w:pPr>
            <w:r>
              <w:t xml:space="preserve">7035</w:t>
            </w:r>
          </w:p>
        </w:tc>
        <w:tc>
          <w:tcPr/>
          <w:p>
            <w:pPr>
              <w:pStyle w:val="Compact"/>
              <w:jc w:val="left"/>
            </w:pPr>
            <w:r>
              <w:t xml:space="preserve">1259</w:t>
            </w:r>
          </w:p>
        </w:tc>
        <w:tc>
          <w:tcPr/>
          <w:p>
            <w:pPr>
              <w:pStyle w:val="Compact"/>
              <w:jc w:val="left"/>
            </w:pPr>
            <w:r>
              <w:t xml:space="preserve">4,33 (3,94–4,74)</w:t>
            </w:r>
          </w:p>
        </w:tc>
        <w:tc>
          <w:tcPr/>
          <w:p>
            <w:pPr>
              <w:pStyle w:val="Compact"/>
              <w:jc w:val="left"/>
            </w:pPr>
            <w:r>
              <w:t xml:space="preserve">0,50 (0,46–0,55)</w:t>
            </w:r>
          </w:p>
        </w:tc>
        <w:tc>
          <w:tcPr/>
          <w:p>
            <w:pPr>
              <w:pStyle w:val="Compact"/>
              <w:jc w:val="left"/>
            </w:pPr>
            <w:r>
              <w:t xml:space="preserve">&gt;99,9 %</w:t>
            </w:r>
          </w:p>
        </w:tc>
        <w:tc>
          <w:tcPr/>
          <w:p>
            <w:pPr>
              <w:pStyle w:val="Compact"/>
              <w:jc w:val="left"/>
            </w:pPr>
            <w:r>
              <w:t xml:space="preserve">1,0018</w:t>
            </w:r>
          </w:p>
        </w:tc>
        <w:tc>
          <w:tcPr/>
          <w:p>
            <w:pPr>
              <w:pStyle w:val="Compact"/>
              <w:jc w:val="left"/>
            </w:pPr>
            <w:r>
              <w:t xml:space="preserve">4380</w:t>
            </w:r>
          </w:p>
        </w:tc>
        <w:tc>
          <w:tcPr/>
          <w:p>
            <w:pPr>
              <w:pStyle w:val="Compact"/>
              <w:jc w:val="left"/>
            </w:pPr>
            <w:r>
              <w:t xml:space="preserve">5287</w:t>
            </w:r>
          </w:p>
        </w:tc>
        <w:tc>
          <w:tcPr/>
          <w:p>
            <w:pPr>
              <w:pStyle w:val="Compact"/>
              <w:jc w:val="left"/>
            </w:pPr>
            <w:r>
              <w:t xml:space="preserve">0,974</w:t>
            </w:r>
          </w:p>
        </w:tc>
        <w:tc>
          <w:tcPr/>
          <w:p>
            <w:pPr>
              <w:pStyle w:val="Compact"/>
              <w:jc w:val="left"/>
            </w:pPr>
            <w:r>
              <w:t xml:space="preserve">0</w:t>
            </w:r>
          </w:p>
        </w:tc>
      </w:tr>
      <w:tr>
        <w:tc>
          <w:tcPr/>
          <w:p>
            <w:pPr>
              <w:pStyle w:val="Compact"/>
              <w:jc w:val="left"/>
            </w:pPr>
            <w:r>
              <w:t xml:space="preserve">enero de 2009–junio de 2024 (total)</w:t>
            </w:r>
          </w:p>
        </w:tc>
        <w:tc>
          <w:tcPr/>
          <w:p>
            <w:pPr>
              <w:pStyle w:val="Compact"/>
              <w:jc w:val="left"/>
            </w:pPr>
            <w:r>
              <w:t xml:space="preserve">Etnia minoritaria</w:t>
            </w:r>
          </w:p>
        </w:tc>
        <w:tc>
          <w:tcPr/>
          <w:p>
            <w:pPr>
              <w:pStyle w:val="Compact"/>
              <w:jc w:val="left"/>
            </w:pPr>
            <w:r>
              <w:t xml:space="preserve">7035</w:t>
            </w:r>
          </w:p>
        </w:tc>
        <w:tc>
          <w:tcPr/>
          <w:p>
            <w:pPr>
              <w:pStyle w:val="Compact"/>
              <w:jc w:val="left"/>
            </w:pPr>
            <w:r>
              <w:t xml:space="preserve">360</w:t>
            </w:r>
          </w:p>
        </w:tc>
        <w:tc>
          <w:tcPr/>
          <w:p>
            <w:pPr>
              <w:pStyle w:val="Compact"/>
              <w:jc w:val="left"/>
            </w:pPr>
            <w:r>
              <w:t xml:space="preserve">1,77 (1,24–2,44)</w:t>
            </w:r>
          </w:p>
        </w:tc>
        <w:tc>
          <w:tcPr/>
          <w:p>
            <w:pPr>
              <w:pStyle w:val="Compact"/>
              <w:jc w:val="left"/>
            </w:pPr>
            <w:r>
              <w:t xml:space="preserve">0,04 (0,01–0,07)</w:t>
            </w:r>
          </w:p>
        </w:tc>
        <w:tc>
          <w:tcPr/>
          <w:p>
            <w:pPr>
              <w:pStyle w:val="Compact"/>
              <w:jc w:val="left"/>
            </w:pPr>
            <w:r>
              <w:t xml:space="preserve">99,9 %</w:t>
            </w:r>
          </w:p>
        </w:tc>
        <w:tc>
          <w:tcPr/>
          <w:p>
            <w:pPr>
              <w:pStyle w:val="Compact"/>
              <w:jc w:val="left"/>
            </w:pPr>
            <w:r>
              <w:t xml:space="preserve">1,0012</w:t>
            </w:r>
          </w:p>
        </w:tc>
        <w:tc>
          <w:tcPr/>
          <w:p>
            <w:pPr>
              <w:pStyle w:val="Compact"/>
              <w:jc w:val="left"/>
            </w:pPr>
            <w:r>
              <w:t xml:space="preserve">4209</w:t>
            </w:r>
          </w:p>
        </w:tc>
        <w:tc>
          <w:tcPr/>
          <w:p>
            <w:pPr>
              <w:pStyle w:val="Compact"/>
              <w:jc w:val="left"/>
            </w:pPr>
            <w:r>
              <w:t xml:space="preserve">5050</w:t>
            </w:r>
          </w:p>
        </w:tc>
        <w:tc>
          <w:tcPr/>
          <w:p>
            <w:pPr>
              <w:pStyle w:val="Compact"/>
              <w:jc w:val="left"/>
            </w:pPr>
            <w:r>
              <w:t xml:space="preserve">1,014</w:t>
            </w:r>
          </w:p>
        </w:tc>
        <w:tc>
          <w:tcPr/>
          <w:p>
            <w:pPr>
              <w:pStyle w:val="Compact"/>
              <w:jc w:val="left"/>
            </w:pPr>
            <w:r>
              <w:t xml:space="preserve">0</w:t>
            </w:r>
          </w:p>
        </w:tc>
      </w:tr>
      <w:tr>
        <w:tc>
          <w:tcPr/>
          <w:p>
            <w:pPr>
              <w:pStyle w:val="Compact"/>
              <w:jc w:val="left"/>
            </w:pPr>
            <w:r>
              <w:t xml:space="preserve">enero de 2009–junio de 2024 (total)</w:t>
            </w:r>
          </w:p>
        </w:tc>
        <w:tc>
          <w:tcPr/>
          <w:p>
            <w:pPr>
              <w:pStyle w:val="Compact"/>
              <w:jc w:val="left"/>
            </w:pPr>
            <w:r>
              <w:t xml:space="preserve">Gestas previas</w:t>
            </w:r>
          </w:p>
        </w:tc>
        <w:tc>
          <w:tcPr/>
          <w:p>
            <w:pPr>
              <w:pStyle w:val="Compact"/>
              <w:jc w:val="left"/>
            </w:pPr>
            <w:r>
              <w:t xml:space="preserve">7035</w:t>
            </w:r>
          </w:p>
        </w:tc>
        <w:tc>
          <w:tcPr/>
          <w:p>
            <w:pPr>
              <w:pStyle w:val="Compact"/>
              <w:jc w:val="left"/>
            </w:pPr>
            <w:r>
              <w:t xml:space="preserve">1225</w:t>
            </w:r>
          </w:p>
        </w:tc>
        <w:tc>
          <w:tcPr/>
          <w:p>
            <w:pPr>
              <w:pStyle w:val="Compact"/>
              <w:jc w:val="left"/>
            </w:pPr>
            <w:r>
              <w:t xml:space="preserve">0,17 (0,09–0,27)</w:t>
            </w:r>
          </w:p>
        </w:tc>
        <w:tc>
          <w:tcPr/>
          <w:p>
            <w:pPr>
              <w:pStyle w:val="Compact"/>
              <w:jc w:val="left"/>
            </w:pPr>
            <w:r>
              <w:t xml:space="preserve">-0,15 (-0,17 a -0,13)</w:t>
            </w:r>
          </w:p>
        </w:tc>
        <w:tc>
          <w:tcPr/>
          <w:p>
            <w:pPr>
              <w:pStyle w:val="Compact"/>
              <w:jc w:val="left"/>
            </w:pPr>
            <w:r>
              <w:t xml:space="preserve">&gt;99,9 %</w:t>
            </w:r>
          </w:p>
        </w:tc>
        <w:tc>
          <w:tcPr/>
          <w:p>
            <w:pPr>
              <w:pStyle w:val="Compact"/>
              <w:jc w:val="left"/>
            </w:pPr>
            <w:r>
              <w:t xml:space="preserve">1,0007</w:t>
            </w:r>
          </w:p>
        </w:tc>
        <w:tc>
          <w:tcPr/>
          <w:p>
            <w:pPr>
              <w:pStyle w:val="Compact"/>
              <w:jc w:val="left"/>
            </w:pPr>
            <w:r>
              <w:t xml:space="preserve">4632</w:t>
            </w:r>
          </w:p>
        </w:tc>
        <w:tc>
          <w:tcPr/>
          <w:p>
            <w:pPr>
              <w:pStyle w:val="Compact"/>
              <w:jc w:val="left"/>
            </w:pPr>
            <w:r>
              <w:t xml:space="preserve">5016</w:t>
            </w:r>
          </w:p>
        </w:tc>
        <w:tc>
          <w:tcPr/>
          <w:p>
            <w:pPr>
              <w:pStyle w:val="Compact"/>
              <w:jc w:val="left"/>
            </w:pPr>
            <w:r>
              <w:t xml:space="preserve">0,961</w:t>
            </w:r>
          </w:p>
        </w:tc>
        <w:tc>
          <w:tcPr/>
          <w:p>
            <w:pPr>
              <w:pStyle w:val="Compact"/>
              <w:jc w:val="left"/>
            </w:pPr>
            <w:r>
              <w:t xml:space="preserve">0</w:t>
            </w:r>
          </w:p>
        </w:tc>
      </w:tr>
      <w:tr>
        <w:tc>
          <w:tcPr/>
          <w:p>
            <w:pPr>
              <w:pStyle w:val="Compact"/>
              <w:jc w:val="left"/>
            </w:pPr>
            <w:r>
              <w:t xml:space="preserve">enero de 2009–junio de 2024 (total)</w:t>
            </w:r>
          </w:p>
        </w:tc>
        <w:tc>
          <w:tcPr/>
          <w:p>
            <w:pPr>
              <w:pStyle w:val="Compact"/>
              <w:jc w:val="left"/>
            </w:pPr>
            <w:r>
              <w:t xml:space="preserve">Embarazo múltiple</w:t>
            </w:r>
          </w:p>
        </w:tc>
        <w:tc>
          <w:tcPr/>
          <w:p>
            <w:pPr>
              <w:pStyle w:val="Compact"/>
              <w:jc w:val="left"/>
            </w:pPr>
            <w:r>
              <w:t xml:space="preserve">7035</w:t>
            </w:r>
          </w:p>
        </w:tc>
        <w:tc>
          <w:tcPr/>
          <w:p>
            <w:pPr>
              <w:pStyle w:val="Compact"/>
              <w:jc w:val="left"/>
            </w:pPr>
            <w:r>
              <w:t xml:space="preserve">245</w:t>
            </w:r>
          </w:p>
        </w:tc>
        <w:tc>
          <w:tcPr/>
          <w:p>
            <w:pPr>
              <w:pStyle w:val="Compact"/>
              <w:jc w:val="left"/>
            </w:pPr>
            <w:r>
              <w:t xml:space="preserve">0,37 (0,14–0,79)</w:t>
            </w:r>
          </w:p>
        </w:tc>
        <w:tc>
          <w:tcPr/>
          <w:p>
            <w:pPr>
              <w:pStyle w:val="Compact"/>
              <w:jc w:val="left"/>
            </w:pPr>
            <w:r>
              <w:t xml:space="preserve">-0,02 (-0,03 a -0,01)</w:t>
            </w:r>
          </w:p>
        </w:tc>
        <w:tc>
          <w:tcPr/>
          <w:p>
            <w:pPr>
              <w:pStyle w:val="Compact"/>
              <w:jc w:val="left"/>
            </w:pPr>
            <w:r>
              <w:t xml:space="preserve">99,5 %</w:t>
            </w:r>
          </w:p>
        </w:tc>
        <w:tc>
          <w:tcPr/>
          <w:p>
            <w:pPr>
              <w:pStyle w:val="Compact"/>
              <w:jc w:val="left"/>
            </w:pPr>
            <w:r>
              <w:t xml:space="preserve">1,0006</w:t>
            </w:r>
          </w:p>
        </w:tc>
        <w:tc>
          <w:tcPr/>
          <w:p>
            <w:pPr>
              <w:pStyle w:val="Compact"/>
              <w:jc w:val="left"/>
            </w:pPr>
            <w:r>
              <w:t xml:space="preserve">4150</w:t>
            </w:r>
          </w:p>
        </w:tc>
        <w:tc>
          <w:tcPr/>
          <w:p>
            <w:pPr>
              <w:pStyle w:val="Compact"/>
              <w:jc w:val="left"/>
            </w:pPr>
            <w:r>
              <w:t xml:space="preserve">4516</w:t>
            </w:r>
          </w:p>
        </w:tc>
        <w:tc>
          <w:tcPr/>
          <w:p>
            <w:pPr>
              <w:pStyle w:val="Compact"/>
              <w:jc w:val="left"/>
            </w:pPr>
            <w:r>
              <w:t xml:space="preserve">0,920</w:t>
            </w:r>
          </w:p>
        </w:tc>
        <w:tc>
          <w:tcPr/>
          <w:p>
            <w:pPr>
              <w:pStyle w:val="Compact"/>
              <w:jc w:val="left"/>
            </w:pPr>
            <w:r>
              <w:t xml:space="preserve">0</w:t>
            </w:r>
          </w:p>
        </w:tc>
      </w:tr>
      <w:tr>
        <w:tc>
          <w:tcPr/>
          <w:p>
            <w:pPr>
              <w:pStyle w:val="Compact"/>
              <w:jc w:val="left"/>
            </w:pPr>
            <w:r>
              <w:t xml:space="preserve">enero de 2009–junio de 2024 (total)</w:t>
            </w:r>
          </w:p>
        </w:tc>
        <w:tc>
          <w:tcPr/>
          <w:p>
            <w:pPr>
              <w:pStyle w:val="Compact"/>
              <w:jc w:val="left"/>
            </w:pPr>
            <w:r>
              <w:t xml:space="preserve">Embarazo planeado</w:t>
            </w:r>
          </w:p>
        </w:tc>
        <w:tc>
          <w:tcPr/>
          <w:p>
            <w:pPr>
              <w:pStyle w:val="Compact"/>
              <w:jc w:val="left"/>
            </w:pPr>
            <w:r>
              <w:t xml:space="preserve">7035</w:t>
            </w:r>
          </w:p>
        </w:tc>
        <w:tc>
          <w:tcPr/>
          <w:p>
            <w:pPr>
              <w:pStyle w:val="Compact"/>
              <w:jc w:val="left"/>
            </w:pPr>
            <w:r>
              <w:t xml:space="preserve">1580</w:t>
            </w:r>
          </w:p>
        </w:tc>
        <w:tc>
          <w:tcPr/>
          <w:p>
            <w:pPr>
              <w:pStyle w:val="Compact"/>
              <w:jc w:val="left"/>
            </w:pPr>
            <w:r>
              <w:t xml:space="preserve">0,62 (0,48–0,79)</w:t>
            </w:r>
          </w:p>
        </w:tc>
        <w:tc>
          <w:tcPr/>
          <w:p>
            <w:pPr>
              <w:pStyle w:val="Compact"/>
              <w:jc w:val="left"/>
            </w:pPr>
            <w:r>
              <w:t xml:space="preserve">-0,09 (-0,12 a -0,05)</w:t>
            </w:r>
          </w:p>
        </w:tc>
        <w:tc>
          <w:tcPr/>
          <w:p>
            <w:pPr>
              <w:pStyle w:val="Compact"/>
              <w:jc w:val="left"/>
            </w:pPr>
            <w:r>
              <w:t xml:space="preserve">&gt;99,9 %</w:t>
            </w:r>
          </w:p>
        </w:tc>
        <w:tc>
          <w:tcPr/>
          <w:p>
            <w:pPr>
              <w:pStyle w:val="Compact"/>
              <w:jc w:val="left"/>
            </w:pPr>
            <w:r>
              <w:t xml:space="preserve">1,0012</w:t>
            </w:r>
          </w:p>
        </w:tc>
        <w:tc>
          <w:tcPr/>
          <w:p>
            <w:pPr>
              <w:pStyle w:val="Compact"/>
              <w:jc w:val="left"/>
            </w:pPr>
            <w:r>
              <w:t xml:space="preserve">4297</w:t>
            </w:r>
          </w:p>
        </w:tc>
        <w:tc>
          <w:tcPr/>
          <w:p>
            <w:pPr>
              <w:pStyle w:val="Compact"/>
              <w:jc w:val="left"/>
            </w:pPr>
            <w:r>
              <w:t xml:space="preserve">5544</w:t>
            </w:r>
          </w:p>
        </w:tc>
        <w:tc>
          <w:tcPr/>
          <w:p>
            <w:pPr>
              <w:pStyle w:val="Compact"/>
              <w:jc w:val="left"/>
            </w:pPr>
            <w:r>
              <w:t xml:space="preserve">0,950</w:t>
            </w:r>
          </w:p>
        </w:tc>
        <w:tc>
          <w:tcPr/>
          <w:p>
            <w:pPr>
              <w:pStyle w:val="Compact"/>
              <w:jc w:val="left"/>
            </w:pPr>
            <w:r>
              <w:t xml:space="preserve">0</w:t>
            </w:r>
          </w:p>
        </w:tc>
      </w:tr>
      <w:tr>
        <w:tc>
          <w:tcPr/>
          <w:p>
            <w:pPr>
              <w:pStyle w:val="Compact"/>
              <w:jc w:val="left"/>
            </w:pPr>
            <w:r>
              <w:t xml:space="preserve">enero de 2009–junio de 2024 (total)</w:t>
            </w:r>
          </w:p>
        </w:tc>
        <w:tc>
          <w:tcPr/>
          <w:p>
            <w:pPr>
              <w:pStyle w:val="Compact"/>
              <w:jc w:val="left"/>
            </w:pPr>
            <w:r>
              <w:t xml:space="preserve">Falla de método anticonceptivo</w:t>
            </w:r>
          </w:p>
        </w:tc>
        <w:tc>
          <w:tcPr/>
          <w:p>
            <w:pPr>
              <w:pStyle w:val="Compact"/>
              <w:jc w:val="left"/>
            </w:pPr>
            <w:r>
              <w:t xml:space="preserve">7035</w:t>
            </w:r>
          </w:p>
        </w:tc>
        <w:tc>
          <w:tcPr/>
          <w:p>
            <w:pPr>
              <w:pStyle w:val="Compact"/>
              <w:jc w:val="left"/>
            </w:pPr>
            <w:r>
              <w:t xml:space="preserve">1183</w:t>
            </w:r>
          </w:p>
        </w:tc>
        <w:tc>
          <w:tcPr/>
          <w:p>
            <w:pPr>
              <w:pStyle w:val="Compact"/>
              <w:jc w:val="left"/>
            </w:pPr>
            <w:r>
              <w:t xml:space="preserve">0,42 (0,28–0,59)</w:t>
            </w:r>
          </w:p>
        </w:tc>
        <w:tc>
          <w:tcPr/>
          <w:p>
            <w:pPr>
              <w:pStyle w:val="Compact"/>
              <w:jc w:val="left"/>
            </w:pPr>
            <w:r>
              <w:t xml:space="preserve">-0,10 (-0,13 a -0,07)</w:t>
            </w:r>
          </w:p>
        </w:tc>
        <w:tc>
          <w:tcPr/>
          <w:p>
            <w:pPr>
              <w:pStyle w:val="Compact"/>
              <w:jc w:val="left"/>
            </w:pPr>
            <w:r>
              <w:t xml:space="preserve">&gt;99,9 %</w:t>
            </w:r>
          </w:p>
        </w:tc>
        <w:tc>
          <w:tcPr/>
          <w:p>
            <w:pPr>
              <w:pStyle w:val="Compact"/>
              <w:jc w:val="left"/>
            </w:pPr>
            <w:r>
              <w:t xml:space="preserve">1,0005</w:t>
            </w:r>
          </w:p>
        </w:tc>
        <w:tc>
          <w:tcPr/>
          <w:p>
            <w:pPr>
              <w:pStyle w:val="Compact"/>
              <w:jc w:val="left"/>
            </w:pPr>
            <w:r>
              <w:t xml:space="preserve">4547</w:t>
            </w:r>
          </w:p>
        </w:tc>
        <w:tc>
          <w:tcPr/>
          <w:p>
            <w:pPr>
              <w:pStyle w:val="Compact"/>
              <w:jc w:val="left"/>
            </w:pPr>
            <w:r>
              <w:t xml:space="preserve">5390</w:t>
            </w:r>
          </w:p>
        </w:tc>
        <w:tc>
          <w:tcPr/>
          <w:p>
            <w:pPr>
              <w:pStyle w:val="Compact"/>
              <w:jc w:val="left"/>
            </w:pPr>
            <w:r>
              <w:t xml:space="preserve">0,984</w:t>
            </w:r>
          </w:p>
        </w:tc>
        <w:tc>
          <w:tcPr/>
          <w:p>
            <w:pPr>
              <w:pStyle w:val="Compact"/>
              <w:jc w:val="left"/>
            </w:pPr>
            <w:r>
              <w:t xml:space="preserve">0</w:t>
            </w:r>
          </w:p>
        </w:tc>
      </w:tr>
      <w:tr>
        <w:tc>
          <w:tcPr/>
          <w:p>
            <w:pPr>
              <w:pStyle w:val="Compact"/>
              <w:jc w:val="left"/>
            </w:pPr>
            <w:r>
              <w:t xml:space="preserve">enero de 2009–junio de 2024 (total)</w:t>
            </w:r>
          </w:p>
        </w:tc>
        <w:tc>
          <w:tcPr/>
          <w:p>
            <w:pPr>
              <w:pStyle w:val="Compact"/>
              <w:jc w:val="left"/>
            </w:pPr>
            <w:r>
              <w:t xml:space="preserve">Infección urinaria</w:t>
            </w:r>
          </w:p>
        </w:tc>
        <w:tc>
          <w:tcPr/>
          <w:p>
            <w:pPr>
              <w:pStyle w:val="Compact"/>
              <w:jc w:val="left"/>
            </w:pPr>
            <w:r>
              <w:t xml:space="preserve">6939</w:t>
            </w:r>
          </w:p>
        </w:tc>
        <w:tc>
          <w:tcPr/>
          <w:p>
            <w:pPr>
              <w:pStyle w:val="Compact"/>
              <w:jc w:val="left"/>
            </w:pPr>
            <w:r>
              <w:t xml:space="preserve">3617</w:t>
            </w:r>
          </w:p>
        </w:tc>
        <w:tc>
          <w:tcPr/>
          <w:p>
            <w:pPr>
              <w:pStyle w:val="Compact"/>
              <w:jc w:val="left"/>
            </w:pPr>
            <w:r>
              <w:t xml:space="preserve">0,81 (0,71–0,91)</w:t>
            </w:r>
          </w:p>
        </w:tc>
        <w:tc>
          <w:tcPr/>
          <w:p>
            <w:pPr>
              <w:pStyle w:val="Compact"/>
              <w:jc w:val="left"/>
            </w:pPr>
            <w:r>
              <w:t xml:space="preserve">-0,10 (-0,15 a -0,05)</w:t>
            </w:r>
          </w:p>
        </w:tc>
        <w:tc>
          <w:tcPr/>
          <w:p>
            <w:pPr>
              <w:pStyle w:val="Compact"/>
              <w:jc w:val="left"/>
            </w:pPr>
            <w:r>
              <w:t xml:space="preserve">99,99 %</w:t>
            </w:r>
          </w:p>
        </w:tc>
        <w:tc>
          <w:tcPr/>
          <w:p>
            <w:pPr>
              <w:pStyle w:val="Compact"/>
              <w:jc w:val="left"/>
            </w:pPr>
            <w:r>
              <w:t xml:space="preserve">1,0009</w:t>
            </w:r>
          </w:p>
        </w:tc>
        <w:tc>
          <w:tcPr/>
          <w:p>
            <w:pPr>
              <w:pStyle w:val="Compact"/>
              <w:jc w:val="left"/>
            </w:pPr>
            <w:r>
              <w:t xml:space="preserve">4295</w:t>
            </w:r>
          </w:p>
        </w:tc>
        <w:tc>
          <w:tcPr/>
          <w:p>
            <w:pPr>
              <w:pStyle w:val="Compact"/>
              <w:jc w:val="left"/>
            </w:pPr>
            <w:r>
              <w:t xml:space="preserve">5306</w:t>
            </w:r>
          </w:p>
        </w:tc>
        <w:tc>
          <w:tcPr/>
          <w:p>
            <w:pPr>
              <w:pStyle w:val="Compact"/>
              <w:jc w:val="left"/>
            </w:pPr>
            <w:r>
              <w:t xml:space="preserve">0,909</w:t>
            </w:r>
          </w:p>
        </w:tc>
        <w:tc>
          <w:tcPr/>
          <w:p>
            <w:pPr>
              <w:pStyle w:val="Compact"/>
              <w:jc w:val="left"/>
            </w:pPr>
            <w:r>
              <w:t xml:space="preserve">0</w:t>
            </w:r>
          </w:p>
        </w:tc>
      </w:tr>
      <w:tr>
        <w:tc>
          <w:tcPr/>
          <w:p>
            <w:pPr>
              <w:pStyle w:val="Compact"/>
              <w:jc w:val="left"/>
            </w:pPr>
            <w:r>
              <w:t xml:space="preserve">enero de 2009–junio de 2024 (total)</w:t>
            </w:r>
          </w:p>
        </w:tc>
        <w:tc>
          <w:tcPr/>
          <w:p>
            <w:pPr>
              <w:pStyle w:val="Compact"/>
              <w:jc w:val="left"/>
            </w:pPr>
            <w:r>
              <w:t xml:space="preserve">Compromiso del bienestar fetal</w:t>
            </w:r>
          </w:p>
        </w:tc>
        <w:tc>
          <w:tcPr/>
          <w:p>
            <w:pPr>
              <w:pStyle w:val="Compact"/>
              <w:jc w:val="left"/>
            </w:pPr>
            <w:r>
              <w:t xml:space="preserve">7035</w:t>
            </w:r>
          </w:p>
        </w:tc>
        <w:tc>
          <w:tcPr/>
          <w:p>
            <w:pPr>
              <w:pStyle w:val="Compact"/>
              <w:jc w:val="left"/>
            </w:pPr>
            <w:r>
              <w:t xml:space="preserve">708</w:t>
            </w:r>
          </w:p>
        </w:tc>
        <w:tc>
          <w:tcPr/>
          <w:p>
            <w:pPr>
              <w:pStyle w:val="Compact"/>
              <w:jc w:val="left"/>
            </w:pPr>
            <w:r>
              <w:t xml:space="preserve">0,58 (0,38–0,83)</w:t>
            </w:r>
          </w:p>
        </w:tc>
        <w:tc>
          <w:tcPr/>
          <w:p>
            <w:pPr>
              <w:pStyle w:val="Compact"/>
              <w:jc w:val="left"/>
            </w:pPr>
            <w:r>
              <w:t xml:space="preserve">-0,04 (-0,07 a -0,02)</w:t>
            </w:r>
          </w:p>
        </w:tc>
        <w:tc>
          <w:tcPr/>
          <w:p>
            <w:pPr>
              <w:pStyle w:val="Compact"/>
              <w:jc w:val="left"/>
            </w:pPr>
            <w:r>
              <w:t xml:space="preserve">99,9 %</w:t>
            </w:r>
          </w:p>
        </w:tc>
        <w:tc>
          <w:tcPr/>
          <w:p>
            <w:pPr>
              <w:pStyle w:val="Compact"/>
              <w:jc w:val="left"/>
            </w:pPr>
            <w:r>
              <w:t xml:space="preserve">1,0015</w:t>
            </w:r>
          </w:p>
        </w:tc>
        <w:tc>
          <w:tcPr/>
          <w:p>
            <w:pPr>
              <w:pStyle w:val="Compact"/>
              <w:jc w:val="left"/>
            </w:pPr>
            <w:r>
              <w:t xml:space="preserve">4709</w:t>
            </w:r>
          </w:p>
        </w:tc>
        <w:tc>
          <w:tcPr/>
          <w:p>
            <w:pPr>
              <w:pStyle w:val="Compact"/>
              <w:jc w:val="left"/>
            </w:pPr>
            <w:r>
              <w:t xml:space="preserve">5195</w:t>
            </w:r>
          </w:p>
        </w:tc>
        <w:tc>
          <w:tcPr/>
          <w:p>
            <w:pPr>
              <w:pStyle w:val="Compact"/>
              <w:jc w:val="left"/>
            </w:pPr>
            <w:r>
              <w:t xml:space="preserve">1,021</w:t>
            </w:r>
          </w:p>
        </w:tc>
        <w:tc>
          <w:tcPr/>
          <w:p>
            <w:pPr>
              <w:pStyle w:val="Compact"/>
              <w:jc w:val="left"/>
            </w:pPr>
            <w:r>
              <w:t xml:space="preserve">0</w:t>
            </w:r>
          </w:p>
        </w:tc>
      </w:tr>
      <w:tr>
        <w:tc>
          <w:tcPr/>
          <w:p>
            <w:pPr>
              <w:pStyle w:val="Compact"/>
              <w:jc w:val="left"/>
            </w:pPr>
            <w:r>
              <w:t xml:space="preserve">enero de 2009–junio de 2024 (total)</w:t>
            </w:r>
          </w:p>
        </w:tc>
        <w:tc>
          <w:tcPr/>
          <w:p>
            <w:pPr>
              <w:pStyle w:val="Compact"/>
              <w:jc w:val="left"/>
            </w:pPr>
            <w:r>
              <w:t xml:space="preserve">Trastorno hipertensivo del embarazo</w:t>
            </w:r>
          </w:p>
        </w:tc>
        <w:tc>
          <w:tcPr/>
          <w:p>
            <w:pPr>
              <w:pStyle w:val="Compact"/>
              <w:jc w:val="left"/>
            </w:pPr>
            <w:r>
              <w:t xml:space="preserve">6911</w:t>
            </w:r>
          </w:p>
        </w:tc>
        <w:tc>
          <w:tcPr/>
          <w:p>
            <w:pPr>
              <w:pStyle w:val="Compact"/>
              <w:jc w:val="left"/>
            </w:pPr>
            <w:r>
              <w:t xml:space="preserve">1249</w:t>
            </w:r>
          </w:p>
        </w:tc>
        <w:tc>
          <w:tcPr/>
          <w:p>
            <w:pPr>
              <w:pStyle w:val="Compact"/>
              <w:jc w:val="left"/>
            </w:pPr>
            <w:r>
              <w:t xml:space="preserve">0,78 (0,60–1,00)</w:t>
            </w:r>
          </w:p>
        </w:tc>
        <w:tc>
          <w:tcPr/>
          <w:p>
            <w:pPr>
              <w:pStyle w:val="Compact"/>
              <w:jc w:val="left"/>
            </w:pPr>
            <w:r>
              <w:t xml:space="preserve">-0,04 (-0,07–0,00)</w:t>
            </w:r>
          </w:p>
        </w:tc>
        <w:tc>
          <w:tcPr/>
          <w:p>
            <w:pPr>
              <w:pStyle w:val="Compact"/>
              <w:jc w:val="left"/>
            </w:pPr>
            <w:r>
              <w:t xml:space="preserve">97,7 %</w:t>
            </w:r>
          </w:p>
        </w:tc>
        <w:tc>
          <w:tcPr/>
          <w:p>
            <w:pPr>
              <w:pStyle w:val="Compact"/>
              <w:jc w:val="left"/>
            </w:pPr>
            <w:r>
              <w:t xml:space="preserve">1,0006</w:t>
            </w:r>
          </w:p>
        </w:tc>
        <w:tc>
          <w:tcPr/>
          <w:p>
            <w:pPr>
              <w:pStyle w:val="Compact"/>
              <w:jc w:val="left"/>
            </w:pPr>
            <w:r>
              <w:t xml:space="preserve">4296</w:t>
            </w:r>
          </w:p>
        </w:tc>
        <w:tc>
          <w:tcPr/>
          <w:p>
            <w:pPr>
              <w:pStyle w:val="Compact"/>
              <w:jc w:val="left"/>
            </w:pPr>
            <w:r>
              <w:t xml:space="preserve">4945</w:t>
            </w:r>
          </w:p>
        </w:tc>
        <w:tc>
          <w:tcPr/>
          <w:p>
            <w:pPr>
              <w:pStyle w:val="Compact"/>
              <w:jc w:val="left"/>
            </w:pPr>
            <w:r>
              <w:t xml:space="preserve">0,995</w:t>
            </w:r>
          </w:p>
        </w:tc>
        <w:tc>
          <w:tcPr/>
          <w:p>
            <w:pPr>
              <w:pStyle w:val="Compact"/>
              <w:jc w:val="left"/>
            </w:pPr>
            <w:r>
              <w:t xml:space="preserve">0</w:t>
            </w:r>
          </w:p>
        </w:tc>
      </w:tr>
      <w:tr>
        <w:tc>
          <w:tcPr/>
          <w:p>
            <w:pPr>
              <w:pStyle w:val="Compact"/>
              <w:jc w:val="left"/>
            </w:pPr>
            <w:r>
              <w:t xml:space="preserve">enero de 2009–junio de 2024 (total)</w:t>
            </w:r>
          </w:p>
        </w:tc>
        <w:tc>
          <w:tcPr/>
          <w:p>
            <w:pPr>
              <w:pStyle w:val="Compact"/>
              <w:jc w:val="left"/>
            </w:pPr>
            <w:r>
              <w:t xml:space="preserve">Parto vía vaginal</w:t>
            </w:r>
          </w:p>
        </w:tc>
        <w:tc>
          <w:tcPr/>
          <w:p>
            <w:pPr>
              <w:pStyle w:val="Compact"/>
              <w:jc w:val="left"/>
            </w:pPr>
            <w:r>
              <w:t xml:space="preserve">7030</w:t>
            </w:r>
          </w:p>
        </w:tc>
        <w:tc>
          <w:tcPr/>
          <w:p>
            <w:pPr>
              <w:pStyle w:val="Compact"/>
              <w:jc w:val="left"/>
            </w:pPr>
            <w:r>
              <w:t xml:space="preserve">4243</w:t>
            </w:r>
          </w:p>
        </w:tc>
        <w:tc>
          <w:tcPr/>
          <w:p>
            <w:pPr>
              <w:pStyle w:val="Compact"/>
              <w:jc w:val="left"/>
            </w:pPr>
            <w:r>
              <w:t xml:space="preserve">1,17 (1,09–1,25)</w:t>
            </w:r>
          </w:p>
        </w:tc>
        <w:tc>
          <w:tcPr/>
          <w:p>
            <w:pPr>
              <w:pStyle w:val="Compact"/>
              <w:jc w:val="left"/>
            </w:pPr>
            <w:r>
              <w:t xml:space="preserve">0,10 (0,05–0,15)</w:t>
            </w:r>
          </w:p>
        </w:tc>
        <w:tc>
          <w:tcPr/>
          <w:p>
            <w:pPr>
              <w:pStyle w:val="Compact"/>
              <w:jc w:val="left"/>
            </w:pPr>
            <w:r>
              <w:t xml:space="preserve">&gt;99,9 %</w:t>
            </w:r>
          </w:p>
        </w:tc>
        <w:tc>
          <w:tcPr/>
          <w:p>
            <w:pPr>
              <w:pStyle w:val="Compact"/>
              <w:jc w:val="left"/>
            </w:pPr>
            <w:r>
              <w:t xml:space="preserve">1,0003</w:t>
            </w:r>
          </w:p>
        </w:tc>
        <w:tc>
          <w:tcPr/>
          <w:p>
            <w:pPr>
              <w:pStyle w:val="Compact"/>
              <w:jc w:val="left"/>
            </w:pPr>
            <w:r>
              <w:t xml:space="preserve">4259</w:t>
            </w:r>
          </w:p>
        </w:tc>
        <w:tc>
          <w:tcPr/>
          <w:p>
            <w:pPr>
              <w:pStyle w:val="Compact"/>
              <w:jc w:val="left"/>
            </w:pPr>
            <w:r>
              <w:t xml:space="preserve">5944</w:t>
            </w:r>
          </w:p>
        </w:tc>
        <w:tc>
          <w:tcPr/>
          <w:p>
            <w:pPr>
              <w:pStyle w:val="Compact"/>
              <w:jc w:val="left"/>
            </w:pPr>
            <w:r>
              <w:t xml:space="preserve">1,050</w:t>
            </w:r>
          </w:p>
        </w:tc>
        <w:tc>
          <w:tcPr/>
          <w:p>
            <w:pPr>
              <w:pStyle w:val="Compact"/>
              <w:jc w:val="left"/>
            </w:pPr>
            <w:r>
              <w:t xml:space="preserve">0</w:t>
            </w:r>
          </w:p>
        </w:tc>
      </w:tr>
      <w:tr>
        <w:tc>
          <w:tcPr/>
          <w:p>
            <w:pPr>
              <w:pStyle w:val="Compact"/>
              <w:jc w:val="left"/>
            </w:pPr>
            <w:r>
              <w:t xml:space="preserve">enero de 2009–junio de 2024 (total)</w:t>
            </w:r>
          </w:p>
        </w:tc>
        <w:tc>
          <w:tcPr/>
          <w:p>
            <w:pPr>
              <w:pStyle w:val="Compact"/>
              <w:jc w:val="left"/>
            </w:pPr>
            <w:r>
              <w:t xml:space="preserve">Rezago escolar ≥2 años respecto de lo esperado para la edad</w:t>
            </w:r>
          </w:p>
        </w:tc>
        <w:tc>
          <w:tcPr/>
          <w:p>
            <w:pPr>
              <w:pStyle w:val="Compact"/>
              <w:jc w:val="left"/>
            </w:pPr>
            <w:r>
              <w:t xml:space="preserve">7027</w:t>
            </w:r>
          </w:p>
        </w:tc>
        <w:tc>
          <w:tcPr/>
          <w:p>
            <w:pPr>
              <w:pStyle w:val="Compact"/>
              <w:jc w:val="left"/>
            </w:pPr>
            <w:r>
              <w:t xml:space="preserve">1232</w:t>
            </w:r>
          </w:p>
        </w:tc>
        <w:tc>
          <w:tcPr/>
          <w:p>
            <w:pPr>
              <w:pStyle w:val="Compact"/>
              <w:jc w:val="left"/>
            </w:pPr>
            <w:r>
              <w:t xml:space="preserve">2,07 (1,78–2,41)</w:t>
            </w:r>
          </w:p>
        </w:tc>
        <w:tc>
          <w:tcPr/>
          <w:p>
            <w:pPr>
              <w:pStyle w:val="Compact"/>
              <w:jc w:val="left"/>
            </w:pPr>
            <w:r>
              <w:t xml:space="preserve">0,18 (0,13–0,23)</w:t>
            </w:r>
          </w:p>
        </w:tc>
        <w:tc>
          <w:tcPr/>
          <w:p>
            <w:pPr>
              <w:pStyle w:val="Compact"/>
              <w:jc w:val="left"/>
            </w:pPr>
            <w:r>
              <w:t xml:space="preserve">&gt;99,9 %</w:t>
            </w:r>
          </w:p>
        </w:tc>
        <w:tc>
          <w:tcPr/>
          <w:p>
            <w:pPr>
              <w:pStyle w:val="Compact"/>
              <w:jc w:val="left"/>
            </w:pPr>
            <w:r>
              <w:t xml:space="preserve">1,0004</w:t>
            </w:r>
          </w:p>
        </w:tc>
        <w:tc>
          <w:tcPr/>
          <w:p>
            <w:pPr>
              <w:pStyle w:val="Compact"/>
              <w:jc w:val="left"/>
            </w:pPr>
            <w:r>
              <w:t xml:space="preserve">4195</w:t>
            </w:r>
          </w:p>
        </w:tc>
        <w:tc>
          <w:tcPr/>
          <w:p>
            <w:pPr>
              <w:pStyle w:val="Compact"/>
              <w:jc w:val="left"/>
            </w:pPr>
            <w:r>
              <w:t xml:space="preserve">4992</w:t>
            </w:r>
          </w:p>
        </w:tc>
        <w:tc>
          <w:tcPr/>
          <w:p>
            <w:pPr>
              <w:pStyle w:val="Compact"/>
              <w:jc w:val="left"/>
            </w:pPr>
            <w:r>
              <w:t xml:space="preserve">0,961</w:t>
            </w:r>
          </w:p>
        </w:tc>
        <w:tc>
          <w:tcPr/>
          <w:p>
            <w:pPr>
              <w:pStyle w:val="Compact"/>
              <w:jc w:val="left"/>
            </w:pPr>
            <w:r>
              <w:t xml:space="preserve">0</w:t>
            </w:r>
          </w:p>
        </w:tc>
      </w:tr>
      <w:tr>
        <w:tc>
          <w:tcPr/>
          <w:p>
            <w:pPr>
              <w:pStyle w:val="Compact"/>
              <w:jc w:val="left"/>
            </w:pPr>
            <w:r>
              <w:t xml:space="preserve">enero de 2009–junio de 2024 (total)</w:t>
            </w:r>
          </w:p>
        </w:tc>
        <w:tc>
          <w:tcPr/>
          <w:p>
            <w:pPr>
              <w:pStyle w:val="Compact"/>
              <w:jc w:val="left"/>
            </w:pPr>
            <w:r>
              <w:t xml:space="preserve">Control prenatal adecuado: sí/no</w:t>
            </w:r>
          </w:p>
        </w:tc>
        <w:tc>
          <w:tcPr/>
          <w:p>
            <w:pPr>
              <w:pStyle w:val="Compact"/>
              <w:jc w:val="left"/>
            </w:pPr>
            <w:r>
              <w:t xml:space="preserve">6860</w:t>
            </w:r>
          </w:p>
        </w:tc>
        <w:tc>
          <w:tcPr/>
          <w:p>
            <w:pPr>
              <w:pStyle w:val="Compact"/>
              <w:jc w:val="left"/>
            </w:pPr>
            <w:r>
              <w:t xml:space="preserve">4198</w:t>
            </w:r>
          </w:p>
        </w:tc>
        <w:tc>
          <w:tcPr/>
          <w:p>
            <w:pPr>
              <w:pStyle w:val="Compact"/>
              <w:jc w:val="left"/>
            </w:pPr>
            <w:r>
              <w:t xml:space="preserve">0,87 (0,78–0,95)</w:t>
            </w:r>
          </w:p>
        </w:tc>
        <w:tc>
          <w:tcPr/>
          <w:p>
            <w:pPr>
              <w:pStyle w:val="Compact"/>
              <w:jc w:val="left"/>
            </w:pPr>
            <w:r>
              <w:t xml:space="preserve">-0,08 (-0,13 a -0,03)</w:t>
            </w:r>
          </w:p>
        </w:tc>
        <w:tc>
          <w:tcPr/>
          <w:p>
            <w:pPr>
              <w:pStyle w:val="Compact"/>
              <w:jc w:val="left"/>
            </w:pPr>
            <w:r>
              <w:t xml:space="preserve">99,9 %</w:t>
            </w:r>
          </w:p>
        </w:tc>
        <w:tc>
          <w:tcPr/>
          <w:p>
            <w:pPr>
              <w:pStyle w:val="Compact"/>
              <w:jc w:val="left"/>
            </w:pPr>
            <w:r>
              <w:t xml:space="preserve">1,0014</w:t>
            </w:r>
          </w:p>
        </w:tc>
        <w:tc>
          <w:tcPr/>
          <w:p>
            <w:pPr>
              <w:pStyle w:val="Compact"/>
              <w:jc w:val="left"/>
            </w:pPr>
            <w:r>
              <w:t xml:space="preserve">4097</w:t>
            </w:r>
          </w:p>
        </w:tc>
        <w:tc>
          <w:tcPr/>
          <w:p>
            <w:pPr>
              <w:pStyle w:val="Compact"/>
              <w:jc w:val="left"/>
            </w:pPr>
            <w:r>
              <w:t xml:space="preserve">4821</w:t>
            </w:r>
          </w:p>
        </w:tc>
        <w:tc>
          <w:tcPr/>
          <w:p>
            <w:pPr>
              <w:pStyle w:val="Compact"/>
              <w:jc w:val="left"/>
            </w:pPr>
            <w:r>
              <w:t xml:space="preserve">0,948</w:t>
            </w:r>
          </w:p>
        </w:tc>
        <w:tc>
          <w:tcPr/>
          <w:p>
            <w:pPr>
              <w:pStyle w:val="Compact"/>
              <w:jc w:val="left"/>
            </w:pPr>
            <w:r>
              <w:t xml:space="preserve">0</w:t>
            </w:r>
          </w:p>
        </w:tc>
      </w:tr>
      <w:tr>
        <w:tc>
          <w:tcPr/>
          <w:p>
            <w:pPr>
              <w:pStyle w:val="Compact"/>
              <w:jc w:val="left"/>
            </w:pPr>
            <w:r>
              <w:t xml:space="preserve">2009–2014</w:t>
            </w:r>
          </w:p>
        </w:tc>
        <w:tc>
          <w:tcPr/>
          <w:p>
            <w:pPr>
              <w:pStyle w:val="Compact"/>
              <w:jc w:val="left"/>
            </w:pPr>
            <w:r>
              <w:t xml:space="preserve">Pareja estable</w:t>
            </w:r>
          </w:p>
        </w:tc>
        <w:tc>
          <w:tcPr/>
          <w:p>
            <w:pPr>
              <w:pStyle w:val="Compact"/>
              <w:jc w:val="left"/>
            </w:pPr>
            <w:r>
              <w:t xml:space="preserve">3631</w:t>
            </w:r>
          </w:p>
        </w:tc>
        <w:tc>
          <w:tcPr/>
          <w:p>
            <w:pPr>
              <w:pStyle w:val="Compact"/>
              <w:jc w:val="left"/>
            </w:pPr>
            <w:r>
              <w:t xml:space="preserve">2209</w:t>
            </w:r>
          </w:p>
        </w:tc>
        <w:tc>
          <w:tcPr/>
          <w:p>
            <w:pPr>
              <w:pStyle w:val="Compact"/>
              <w:jc w:val="left"/>
            </w:pPr>
            <w:r>
              <w:t xml:space="preserve">0,84 (0,71–0,98)</w:t>
            </w:r>
          </w:p>
        </w:tc>
        <w:tc>
          <w:tcPr/>
          <w:p>
            <w:pPr>
              <w:pStyle w:val="Compact"/>
              <w:jc w:val="left"/>
            </w:pPr>
            <w:r>
              <w:t xml:space="preserve">-0,10 (-0,18 a -0,02)</w:t>
            </w:r>
          </w:p>
        </w:tc>
        <w:tc>
          <w:tcPr/>
          <w:p>
            <w:pPr>
              <w:pStyle w:val="Compact"/>
              <w:jc w:val="left"/>
            </w:pPr>
            <w:r>
              <w:t xml:space="preserve">99,0 %</w:t>
            </w:r>
          </w:p>
        </w:tc>
        <w:tc>
          <w:tcPr/>
          <w:p>
            <w:pPr>
              <w:pStyle w:val="Compact"/>
              <w:jc w:val="left"/>
            </w:pPr>
            <w:r>
              <w:t xml:space="preserve">1,0016</w:t>
            </w:r>
          </w:p>
        </w:tc>
        <w:tc>
          <w:tcPr/>
          <w:p>
            <w:pPr>
              <w:pStyle w:val="Compact"/>
              <w:jc w:val="left"/>
            </w:pPr>
            <w:r>
              <w:t xml:space="preserve">4210</w:t>
            </w:r>
          </w:p>
        </w:tc>
        <w:tc>
          <w:tcPr/>
          <w:p>
            <w:pPr>
              <w:pStyle w:val="Compact"/>
              <w:jc w:val="left"/>
            </w:pPr>
            <w:r>
              <w:t xml:space="preserve">4874</w:t>
            </w:r>
          </w:p>
        </w:tc>
        <w:tc>
          <w:tcPr/>
          <w:p>
            <w:pPr>
              <w:pStyle w:val="Compact"/>
              <w:jc w:val="left"/>
            </w:pPr>
            <w:r>
              <w:t xml:space="preserve">1,016</w:t>
            </w:r>
          </w:p>
        </w:tc>
        <w:tc>
          <w:tcPr/>
          <w:p>
            <w:pPr>
              <w:pStyle w:val="Compact"/>
              <w:jc w:val="left"/>
            </w:pPr>
            <w:r>
              <w:t xml:space="preserve">0</w:t>
            </w:r>
          </w:p>
        </w:tc>
      </w:tr>
      <w:tr>
        <w:tc>
          <w:tcPr/>
          <w:p>
            <w:pPr>
              <w:pStyle w:val="Compact"/>
              <w:jc w:val="left"/>
            </w:pPr>
            <w:r>
              <w:t xml:space="preserve">2009–2014</w:t>
            </w:r>
          </w:p>
        </w:tc>
        <w:tc>
          <w:tcPr/>
          <w:p>
            <w:pPr>
              <w:pStyle w:val="Compact"/>
              <w:jc w:val="left"/>
            </w:pPr>
            <w:r>
              <w:t xml:space="preserve">Ninguna escolaridad o educación</w:t>
            </w:r>
          </w:p>
        </w:tc>
        <w:tc>
          <w:tcPr/>
          <w:p>
            <w:pPr>
              <w:pStyle w:val="Compact"/>
              <w:jc w:val="left"/>
            </w:pPr>
            <w:r>
              <w:t xml:space="preserve">3631</w:t>
            </w:r>
          </w:p>
        </w:tc>
        <w:tc>
          <w:tcPr/>
          <w:p>
            <w:pPr>
              <w:pStyle w:val="Compact"/>
              <w:jc w:val="left"/>
            </w:pPr>
            <w:r>
              <w:t xml:space="preserve">701</w:t>
            </w:r>
          </w:p>
        </w:tc>
        <w:tc>
          <w:tcPr/>
          <w:p>
            <w:pPr>
              <w:pStyle w:val="Compact"/>
              <w:jc w:val="left"/>
            </w:pPr>
            <w:r>
              <w:t xml:space="preserve">3,13 (2,65–3,64)</w:t>
            </w:r>
          </w:p>
        </w:tc>
        <w:tc>
          <w:tcPr/>
          <w:p>
            <w:pPr>
              <w:pStyle w:val="Compact"/>
              <w:jc w:val="left"/>
            </w:pPr>
            <w:r>
              <w:t xml:space="preserve">0,38 (0,30–0,46)</w:t>
            </w:r>
          </w:p>
        </w:tc>
        <w:tc>
          <w:tcPr/>
          <w:p>
            <w:pPr>
              <w:pStyle w:val="Compact"/>
              <w:jc w:val="left"/>
            </w:pPr>
            <w:r>
              <w:t xml:space="preserve">&gt;99,9 %</w:t>
            </w:r>
          </w:p>
        </w:tc>
        <w:tc>
          <w:tcPr/>
          <w:p>
            <w:pPr>
              <w:pStyle w:val="Compact"/>
              <w:jc w:val="left"/>
            </w:pPr>
            <w:r>
              <w:t xml:space="preserve">1,0006</w:t>
            </w:r>
          </w:p>
        </w:tc>
        <w:tc>
          <w:tcPr/>
          <w:p>
            <w:pPr>
              <w:pStyle w:val="Compact"/>
              <w:jc w:val="left"/>
            </w:pPr>
            <w:r>
              <w:t xml:space="preserve">3829</w:t>
            </w:r>
          </w:p>
        </w:tc>
        <w:tc>
          <w:tcPr/>
          <w:p>
            <w:pPr>
              <w:pStyle w:val="Compact"/>
              <w:jc w:val="left"/>
            </w:pPr>
            <w:r>
              <w:t xml:space="preserve">5097</w:t>
            </w:r>
          </w:p>
        </w:tc>
        <w:tc>
          <w:tcPr/>
          <w:p>
            <w:pPr>
              <w:pStyle w:val="Compact"/>
              <w:jc w:val="left"/>
            </w:pPr>
            <w:r>
              <w:t xml:space="preserve">0,979</w:t>
            </w:r>
          </w:p>
        </w:tc>
        <w:tc>
          <w:tcPr/>
          <w:p>
            <w:pPr>
              <w:pStyle w:val="Compact"/>
              <w:jc w:val="left"/>
            </w:pPr>
            <w:r>
              <w:t xml:space="preserve">0</w:t>
            </w:r>
          </w:p>
        </w:tc>
      </w:tr>
      <w:tr>
        <w:tc>
          <w:tcPr/>
          <w:p>
            <w:pPr>
              <w:pStyle w:val="Compact"/>
              <w:jc w:val="left"/>
            </w:pPr>
            <w:r>
              <w:t xml:space="preserve">2009–2014</w:t>
            </w:r>
          </w:p>
        </w:tc>
        <w:tc>
          <w:tcPr/>
          <w:p>
            <w:pPr>
              <w:pStyle w:val="Compact"/>
              <w:jc w:val="left"/>
            </w:pPr>
            <w:r>
              <w:t xml:space="preserve">Etnia minoritaria</w:t>
            </w:r>
          </w:p>
        </w:tc>
        <w:tc>
          <w:tcPr/>
          <w:p>
            <w:pPr>
              <w:pStyle w:val="Compact"/>
              <w:jc w:val="left"/>
            </w:pPr>
            <w:r>
              <w:t xml:space="preserve">3631</w:t>
            </w:r>
          </w:p>
        </w:tc>
        <w:tc>
          <w:tcPr/>
          <w:p>
            <w:pPr>
              <w:pStyle w:val="Compact"/>
              <w:jc w:val="left"/>
            </w:pPr>
            <w:r>
              <w:t xml:space="preserve">109</w:t>
            </w:r>
          </w:p>
        </w:tc>
        <w:tc>
          <w:tcPr/>
          <w:p>
            <w:pPr>
              <w:pStyle w:val="Compact"/>
              <w:jc w:val="left"/>
            </w:pPr>
            <w:r>
              <w:t xml:space="preserve">1,67 (0,76–3,11)</w:t>
            </w:r>
          </w:p>
        </w:tc>
        <w:tc>
          <w:tcPr/>
          <w:p>
            <w:pPr>
              <w:pStyle w:val="Compact"/>
              <w:jc w:val="left"/>
            </w:pPr>
            <w:r>
              <w:t xml:space="preserve">0,02 (-0,01–0,06)</w:t>
            </w:r>
          </w:p>
        </w:tc>
        <w:tc>
          <w:tcPr/>
          <w:p>
            <w:pPr>
              <w:pStyle w:val="Compact"/>
              <w:jc w:val="left"/>
            </w:pPr>
            <w:r>
              <w:t xml:space="preserve">90,9 %</w:t>
            </w:r>
          </w:p>
        </w:tc>
        <w:tc>
          <w:tcPr/>
          <w:p>
            <w:pPr>
              <w:pStyle w:val="Compact"/>
              <w:jc w:val="left"/>
            </w:pPr>
            <w:r>
              <w:t xml:space="preserve">1,0022</w:t>
            </w:r>
          </w:p>
        </w:tc>
        <w:tc>
          <w:tcPr/>
          <w:p>
            <w:pPr>
              <w:pStyle w:val="Compact"/>
              <w:jc w:val="left"/>
            </w:pPr>
            <w:r>
              <w:t xml:space="preserve">4048</w:t>
            </w:r>
          </w:p>
        </w:tc>
        <w:tc>
          <w:tcPr/>
          <w:p>
            <w:pPr>
              <w:pStyle w:val="Compact"/>
              <w:jc w:val="left"/>
            </w:pPr>
            <w:r>
              <w:t xml:space="preserve">4328</w:t>
            </w:r>
          </w:p>
        </w:tc>
        <w:tc>
          <w:tcPr/>
          <w:p>
            <w:pPr>
              <w:pStyle w:val="Compact"/>
              <w:jc w:val="left"/>
            </w:pPr>
            <w:r>
              <w:t xml:space="preserve">0,940</w:t>
            </w:r>
          </w:p>
        </w:tc>
        <w:tc>
          <w:tcPr/>
          <w:p>
            <w:pPr>
              <w:pStyle w:val="Compact"/>
              <w:jc w:val="left"/>
            </w:pPr>
            <w:r>
              <w:t xml:space="preserve">0</w:t>
            </w:r>
          </w:p>
        </w:tc>
      </w:tr>
      <w:tr>
        <w:tc>
          <w:tcPr/>
          <w:p>
            <w:pPr>
              <w:pStyle w:val="Compact"/>
              <w:jc w:val="left"/>
            </w:pPr>
            <w:r>
              <w:t xml:space="preserve">2009–2014</w:t>
            </w:r>
          </w:p>
        </w:tc>
        <w:tc>
          <w:tcPr/>
          <w:p>
            <w:pPr>
              <w:pStyle w:val="Compact"/>
              <w:jc w:val="left"/>
            </w:pPr>
            <w:r>
              <w:t xml:space="preserve">Gestas previas</w:t>
            </w:r>
          </w:p>
        </w:tc>
        <w:tc>
          <w:tcPr/>
          <w:p>
            <w:pPr>
              <w:pStyle w:val="Compact"/>
              <w:jc w:val="left"/>
            </w:pPr>
            <w:r>
              <w:t xml:space="preserve">3631</w:t>
            </w:r>
          </w:p>
        </w:tc>
        <w:tc>
          <w:tcPr/>
          <w:p>
            <w:pPr>
              <w:pStyle w:val="Compact"/>
              <w:jc w:val="left"/>
            </w:pPr>
            <w:r>
              <w:t xml:space="preserve">719</w:t>
            </w:r>
          </w:p>
        </w:tc>
        <w:tc>
          <w:tcPr/>
          <w:p>
            <w:pPr>
              <w:pStyle w:val="Compact"/>
              <w:jc w:val="left"/>
            </w:pPr>
            <w:r>
              <w:t xml:space="preserve">0,21 (0,09–0,39)</w:t>
            </w:r>
          </w:p>
        </w:tc>
        <w:tc>
          <w:tcPr/>
          <w:p>
            <w:pPr>
              <w:pStyle w:val="Compact"/>
              <w:jc w:val="left"/>
            </w:pPr>
            <w:r>
              <w:t xml:space="preserve">-0,16 (-0,19 a -0,12)</w:t>
            </w:r>
          </w:p>
        </w:tc>
        <w:tc>
          <w:tcPr/>
          <w:p>
            <w:pPr>
              <w:pStyle w:val="Compact"/>
              <w:jc w:val="left"/>
            </w:pPr>
            <w:r>
              <w:t xml:space="preserve">&gt;99,9 %</w:t>
            </w:r>
          </w:p>
        </w:tc>
        <w:tc>
          <w:tcPr/>
          <w:p>
            <w:pPr>
              <w:pStyle w:val="Compact"/>
              <w:jc w:val="left"/>
            </w:pPr>
            <w:r>
              <w:t xml:space="preserve">1,0010</w:t>
            </w:r>
          </w:p>
        </w:tc>
        <w:tc>
          <w:tcPr/>
          <w:p>
            <w:pPr>
              <w:pStyle w:val="Compact"/>
              <w:jc w:val="left"/>
            </w:pPr>
            <w:r>
              <w:t xml:space="preserve">4119</w:t>
            </w:r>
          </w:p>
        </w:tc>
        <w:tc>
          <w:tcPr/>
          <w:p>
            <w:pPr>
              <w:pStyle w:val="Compact"/>
              <w:jc w:val="left"/>
            </w:pPr>
            <w:r>
              <w:t xml:space="preserve">4315</w:t>
            </w:r>
          </w:p>
        </w:tc>
        <w:tc>
          <w:tcPr/>
          <w:p>
            <w:pPr>
              <w:pStyle w:val="Compact"/>
              <w:jc w:val="left"/>
            </w:pPr>
            <w:r>
              <w:t xml:space="preserve">0,940</w:t>
            </w:r>
          </w:p>
        </w:tc>
        <w:tc>
          <w:tcPr/>
          <w:p>
            <w:pPr>
              <w:pStyle w:val="Compact"/>
              <w:jc w:val="left"/>
            </w:pPr>
            <w:r>
              <w:t xml:space="preserve">0</w:t>
            </w:r>
          </w:p>
        </w:tc>
      </w:tr>
      <w:tr>
        <w:tc>
          <w:tcPr/>
          <w:p>
            <w:pPr>
              <w:pStyle w:val="Compact"/>
              <w:jc w:val="left"/>
            </w:pPr>
            <w:r>
              <w:t xml:space="preserve">2009–2014</w:t>
            </w:r>
          </w:p>
        </w:tc>
        <w:tc>
          <w:tcPr/>
          <w:p>
            <w:pPr>
              <w:pStyle w:val="Compact"/>
              <w:jc w:val="left"/>
            </w:pPr>
            <w:r>
              <w:t xml:space="preserve">Embarazo múltiple</w:t>
            </w:r>
          </w:p>
        </w:tc>
        <w:tc>
          <w:tcPr/>
          <w:p>
            <w:pPr>
              <w:pStyle w:val="Compact"/>
              <w:jc w:val="left"/>
            </w:pPr>
            <w:r>
              <w:t xml:space="preserve">3631</w:t>
            </w:r>
          </w:p>
        </w:tc>
        <w:tc>
          <w:tcPr/>
          <w:p>
            <w:pPr>
              <w:pStyle w:val="Compact"/>
              <w:jc w:val="left"/>
            </w:pPr>
            <w:r>
              <w:t xml:space="preserve">133</w:t>
            </w:r>
          </w:p>
        </w:tc>
        <w:tc>
          <w:tcPr/>
          <w:p>
            <w:pPr>
              <w:pStyle w:val="Compact"/>
              <w:jc w:val="left"/>
            </w:pPr>
            <w:r>
              <w:t xml:space="preserve">0,24 (0,05–0,80)</w:t>
            </w:r>
          </w:p>
        </w:tc>
        <w:tc>
          <w:tcPr/>
          <w:p>
            <w:pPr>
              <w:pStyle w:val="Compact"/>
              <w:jc w:val="left"/>
            </w:pPr>
            <w:r>
              <w:t xml:space="preserve">-0,03 (-0,04 a -0,01)</w:t>
            </w:r>
          </w:p>
        </w:tc>
        <w:tc>
          <w:tcPr/>
          <w:p>
            <w:pPr>
              <w:pStyle w:val="Compact"/>
              <w:jc w:val="left"/>
            </w:pPr>
            <w:r>
              <w:t xml:space="preserve">99,3 %</w:t>
            </w:r>
          </w:p>
        </w:tc>
        <w:tc>
          <w:tcPr/>
          <w:p>
            <w:pPr>
              <w:pStyle w:val="Compact"/>
              <w:jc w:val="left"/>
            </w:pPr>
            <w:r>
              <w:t xml:space="preserve">1,0008</w:t>
            </w:r>
          </w:p>
        </w:tc>
        <w:tc>
          <w:tcPr/>
          <w:p>
            <w:pPr>
              <w:pStyle w:val="Compact"/>
              <w:jc w:val="left"/>
            </w:pPr>
            <w:r>
              <w:t xml:space="preserve">3946</w:t>
            </w:r>
          </w:p>
        </w:tc>
        <w:tc>
          <w:tcPr/>
          <w:p>
            <w:pPr>
              <w:pStyle w:val="Compact"/>
              <w:jc w:val="left"/>
            </w:pPr>
            <w:r>
              <w:t xml:space="preserve">5235</w:t>
            </w:r>
          </w:p>
        </w:tc>
        <w:tc>
          <w:tcPr/>
          <w:p>
            <w:pPr>
              <w:pStyle w:val="Compact"/>
              <w:jc w:val="left"/>
            </w:pPr>
            <w:r>
              <w:t xml:space="preserve">1,007</w:t>
            </w:r>
          </w:p>
        </w:tc>
        <w:tc>
          <w:tcPr/>
          <w:p>
            <w:pPr>
              <w:pStyle w:val="Compact"/>
              <w:jc w:val="left"/>
            </w:pPr>
            <w:r>
              <w:t xml:space="preserve">0</w:t>
            </w:r>
          </w:p>
        </w:tc>
      </w:tr>
      <w:tr>
        <w:tc>
          <w:tcPr/>
          <w:p>
            <w:pPr>
              <w:pStyle w:val="Compact"/>
              <w:jc w:val="left"/>
            </w:pPr>
            <w:r>
              <w:t xml:space="preserve">2009–2014</w:t>
            </w:r>
          </w:p>
        </w:tc>
        <w:tc>
          <w:tcPr/>
          <w:p>
            <w:pPr>
              <w:pStyle w:val="Compact"/>
              <w:jc w:val="left"/>
            </w:pPr>
            <w:r>
              <w:t xml:space="preserve">Embarazo planeado</w:t>
            </w:r>
          </w:p>
        </w:tc>
        <w:tc>
          <w:tcPr/>
          <w:p>
            <w:pPr>
              <w:pStyle w:val="Compact"/>
              <w:jc w:val="left"/>
            </w:pPr>
            <w:r>
              <w:t xml:space="preserve">3631</w:t>
            </w:r>
          </w:p>
        </w:tc>
        <w:tc>
          <w:tcPr/>
          <w:p>
            <w:pPr>
              <w:pStyle w:val="Compact"/>
              <w:jc w:val="left"/>
            </w:pPr>
            <w:r>
              <w:t xml:space="preserve">955</w:t>
            </w:r>
          </w:p>
        </w:tc>
        <w:tc>
          <w:tcPr/>
          <w:p>
            <w:pPr>
              <w:pStyle w:val="Compact"/>
              <w:jc w:val="left"/>
            </w:pPr>
            <w:r>
              <w:t xml:space="preserve">0,78 (0,56–1,06)</w:t>
            </w:r>
          </w:p>
        </w:tc>
        <w:tc>
          <w:tcPr/>
          <w:p>
            <w:pPr>
              <w:pStyle w:val="Compact"/>
              <w:jc w:val="left"/>
            </w:pPr>
            <w:r>
              <w:t xml:space="preserve">-0,06 (-0,12–0,02)</w:t>
            </w:r>
          </w:p>
        </w:tc>
        <w:tc>
          <w:tcPr/>
          <w:p>
            <w:pPr>
              <w:pStyle w:val="Compact"/>
              <w:jc w:val="left"/>
            </w:pPr>
            <w:r>
              <w:t xml:space="preserve">94,4 %</w:t>
            </w:r>
          </w:p>
        </w:tc>
        <w:tc>
          <w:tcPr/>
          <w:p>
            <w:pPr>
              <w:pStyle w:val="Compact"/>
              <w:jc w:val="left"/>
            </w:pPr>
            <w:r>
              <w:t xml:space="preserve">1,0012</w:t>
            </w:r>
          </w:p>
        </w:tc>
        <w:tc>
          <w:tcPr/>
          <w:p>
            <w:pPr>
              <w:pStyle w:val="Compact"/>
              <w:jc w:val="left"/>
            </w:pPr>
            <w:r>
              <w:t xml:space="preserve">4171</w:t>
            </w:r>
          </w:p>
        </w:tc>
        <w:tc>
          <w:tcPr/>
          <w:p>
            <w:pPr>
              <w:pStyle w:val="Compact"/>
              <w:jc w:val="left"/>
            </w:pPr>
            <w:r>
              <w:t xml:space="preserve">4257</w:t>
            </w:r>
          </w:p>
        </w:tc>
        <w:tc>
          <w:tcPr/>
          <w:p>
            <w:pPr>
              <w:pStyle w:val="Compact"/>
              <w:jc w:val="left"/>
            </w:pPr>
            <w:r>
              <w:t xml:space="preserve">0,932</w:t>
            </w:r>
          </w:p>
        </w:tc>
        <w:tc>
          <w:tcPr/>
          <w:p>
            <w:pPr>
              <w:pStyle w:val="Compact"/>
              <w:jc w:val="left"/>
            </w:pPr>
            <w:r>
              <w:t xml:space="preserve">0</w:t>
            </w:r>
          </w:p>
        </w:tc>
      </w:tr>
      <w:tr>
        <w:tc>
          <w:tcPr/>
          <w:p>
            <w:pPr>
              <w:pStyle w:val="Compact"/>
              <w:jc w:val="left"/>
            </w:pPr>
            <w:r>
              <w:t xml:space="preserve">2009–2014</w:t>
            </w:r>
          </w:p>
        </w:tc>
        <w:tc>
          <w:tcPr/>
          <w:p>
            <w:pPr>
              <w:pStyle w:val="Compact"/>
              <w:jc w:val="left"/>
            </w:pPr>
            <w:r>
              <w:t xml:space="preserve">Falla de método anticonceptivo</w:t>
            </w:r>
          </w:p>
        </w:tc>
        <w:tc>
          <w:tcPr/>
          <w:p>
            <w:pPr>
              <w:pStyle w:val="Compact"/>
              <w:jc w:val="left"/>
            </w:pPr>
            <w:r>
              <w:t xml:space="preserve">3631</w:t>
            </w:r>
          </w:p>
        </w:tc>
        <w:tc>
          <w:tcPr/>
          <w:p>
            <w:pPr>
              <w:pStyle w:val="Compact"/>
              <w:jc w:val="left"/>
            </w:pPr>
            <w:r>
              <w:t xml:space="preserve">605</w:t>
            </w:r>
          </w:p>
        </w:tc>
        <w:tc>
          <w:tcPr/>
          <w:p>
            <w:pPr>
              <w:pStyle w:val="Compact"/>
              <w:jc w:val="left"/>
            </w:pPr>
            <w:r>
              <w:t xml:space="preserve">0,39 (0,20–0,67)</w:t>
            </w:r>
          </w:p>
        </w:tc>
        <w:tc>
          <w:tcPr/>
          <w:p>
            <w:pPr>
              <w:pStyle w:val="Compact"/>
              <w:jc w:val="left"/>
            </w:pPr>
            <w:r>
              <w:t xml:space="preserve">-0,11 (-0,14 a -0,06)</w:t>
            </w:r>
          </w:p>
        </w:tc>
        <w:tc>
          <w:tcPr/>
          <w:p>
            <w:pPr>
              <w:pStyle w:val="Compact"/>
              <w:jc w:val="left"/>
            </w:pPr>
            <w:r>
              <w:t xml:space="preserve">99,98 %</w:t>
            </w:r>
          </w:p>
        </w:tc>
        <w:tc>
          <w:tcPr/>
          <w:p>
            <w:pPr>
              <w:pStyle w:val="Compact"/>
              <w:jc w:val="left"/>
            </w:pPr>
            <w:r>
              <w:t xml:space="preserve">1,0012</w:t>
            </w:r>
          </w:p>
        </w:tc>
        <w:tc>
          <w:tcPr/>
          <w:p>
            <w:pPr>
              <w:pStyle w:val="Compact"/>
              <w:jc w:val="left"/>
            </w:pPr>
            <w:r>
              <w:t xml:space="preserve">3582</w:t>
            </w:r>
          </w:p>
        </w:tc>
        <w:tc>
          <w:tcPr/>
          <w:p>
            <w:pPr>
              <w:pStyle w:val="Compact"/>
              <w:jc w:val="left"/>
            </w:pPr>
            <w:r>
              <w:t xml:space="preserve">4783</w:t>
            </w:r>
          </w:p>
        </w:tc>
        <w:tc>
          <w:tcPr/>
          <w:p>
            <w:pPr>
              <w:pStyle w:val="Compact"/>
              <w:jc w:val="left"/>
            </w:pPr>
            <w:r>
              <w:t xml:space="preserve">0,894</w:t>
            </w:r>
          </w:p>
        </w:tc>
        <w:tc>
          <w:tcPr/>
          <w:p>
            <w:pPr>
              <w:pStyle w:val="Compact"/>
              <w:jc w:val="left"/>
            </w:pPr>
            <w:r>
              <w:t xml:space="preserve">0</w:t>
            </w:r>
          </w:p>
        </w:tc>
      </w:tr>
      <w:tr>
        <w:tc>
          <w:tcPr/>
          <w:p>
            <w:pPr>
              <w:pStyle w:val="Compact"/>
              <w:jc w:val="left"/>
            </w:pPr>
            <w:r>
              <w:t xml:space="preserve">2009–2014</w:t>
            </w:r>
          </w:p>
        </w:tc>
        <w:tc>
          <w:tcPr/>
          <w:p>
            <w:pPr>
              <w:pStyle w:val="Compact"/>
              <w:jc w:val="left"/>
            </w:pPr>
            <w:r>
              <w:t xml:space="preserve">Infección urinaria</w:t>
            </w:r>
          </w:p>
        </w:tc>
        <w:tc>
          <w:tcPr/>
          <w:p>
            <w:pPr>
              <w:pStyle w:val="Compact"/>
              <w:jc w:val="left"/>
            </w:pPr>
            <w:r>
              <w:t xml:space="preserve">3563</w:t>
            </w:r>
          </w:p>
        </w:tc>
        <w:tc>
          <w:tcPr/>
          <w:p>
            <w:pPr>
              <w:pStyle w:val="Compact"/>
              <w:jc w:val="left"/>
            </w:pPr>
            <w:r>
              <w:t xml:space="preserve">1886</w:t>
            </w:r>
          </w:p>
        </w:tc>
        <w:tc>
          <w:tcPr/>
          <w:p>
            <w:pPr>
              <w:pStyle w:val="Compact"/>
              <w:jc w:val="left"/>
            </w:pPr>
            <w:r>
              <w:t xml:space="preserve">0,94 (0,79–1,09)</w:t>
            </w:r>
          </w:p>
        </w:tc>
        <w:tc>
          <w:tcPr/>
          <w:p>
            <w:pPr>
              <w:pStyle w:val="Compact"/>
              <w:jc w:val="left"/>
            </w:pPr>
            <w:r>
              <w:t xml:space="preserve">-0,03 (-0,11–0,05)</w:t>
            </w:r>
          </w:p>
        </w:tc>
        <w:tc>
          <w:tcPr/>
          <w:p>
            <w:pPr>
              <w:pStyle w:val="Compact"/>
              <w:jc w:val="left"/>
            </w:pPr>
            <w:r>
              <w:t xml:space="preserve">78,9 %</w:t>
            </w:r>
          </w:p>
        </w:tc>
        <w:tc>
          <w:tcPr/>
          <w:p>
            <w:pPr>
              <w:pStyle w:val="Compact"/>
              <w:jc w:val="left"/>
            </w:pPr>
            <w:r>
              <w:t xml:space="preserve">1,0007</w:t>
            </w:r>
          </w:p>
        </w:tc>
        <w:tc>
          <w:tcPr/>
          <w:p>
            <w:pPr>
              <w:pStyle w:val="Compact"/>
              <w:jc w:val="left"/>
            </w:pPr>
            <w:r>
              <w:t xml:space="preserve">3988</w:t>
            </w:r>
          </w:p>
        </w:tc>
        <w:tc>
          <w:tcPr/>
          <w:p>
            <w:pPr>
              <w:pStyle w:val="Compact"/>
              <w:jc w:val="left"/>
            </w:pPr>
            <w:r>
              <w:t xml:space="preserve">5191</w:t>
            </w:r>
          </w:p>
        </w:tc>
        <w:tc>
          <w:tcPr/>
          <w:p>
            <w:pPr>
              <w:pStyle w:val="Compact"/>
              <w:jc w:val="left"/>
            </w:pPr>
            <w:r>
              <w:t xml:space="preserve">1,012</w:t>
            </w:r>
          </w:p>
        </w:tc>
        <w:tc>
          <w:tcPr/>
          <w:p>
            <w:pPr>
              <w:pStyle w:val="Compact"/>
              <w:jc w:val="left"/>
            </w:pPr>
            <w:r>
              <w:t xml:space="preserve">0</w:t>
            </w:r>
          </w:p>
        </w:tc>
      </w:tr>
      <w:tr>
        <w:tc>
          <w:tcPr/>
          <w:p>
            <w:pPr>
              <w:pStyle w:val="Compact"/>
              <w:jc w:val="left"/>
            </w:pPr>
            <w:r>
              <w:t xml:space="preserve">2009–2014</w:t>
            </w:r>
          </w:p>
        </w:tc>
        <w:tc>
          <w:tcPr/>
          <w:p>
            <w:pPr>
              <w:pStyle w:val="Compact"/>
              <w:jc w:val="left"/>
            </w:pPr>
            <w:r>
              <w:t xml:space="preserve">Compromiso del bienestar fetal</w:t>
            </w:r>
          </w:p>
        </w:tc>
        <w:tc>
          <w:tcPr/>
          <w:p>
            <w:pPr>
              <w:pStyle w:val="Compact"/>
              <w:jc w:val="left"/>
            </w:pPr>
            <w:r>
              <w:t xml:space="preserve">3631</w:t>
            </w:r>
          </w:p>
        </w:tc>
        <w:tc>
          <w:tcPr/>
          <w:p>
            <w:pPr>
              <w:pStyle w:val="Compact"/>
              <w:jc w:val="left"/>
            </w:pPr>
            <w:r>
              <w:t xml:space="preserve">302</w:t>
            </w:r>
          </w:p>
        </w:tc>
        <w:tc>
          <w:tcPr/>
          <w:p>
            <w:pPr>
              <w:pStyle w:val="Compact"/>
              <w:jc w:val="left"/>
            </w:pPr>
            <w:r>
              <w:t xml:space="preserve">0,69 (0,35–1,20)</w:t>
            </w:r>
          </w:p>
        </w:tc>
        <w:tc>
          <w:tcPr/>
          <w:p>
            <w:pPr>
              <w:pStyle w:val="Compact"/>
              <w:jc w:val="left"/>
            </w:pPr>
            <w:r>
              <w:t xml:space="preserve">-0,03 (-0,06–0,02)</w:t>
            </w:r>
          </w:p>
        </w:tc>
        <w:tc>
          <w:tcPr/>
          <w:p>
            <w:pPr>
              <w:pStyle w:val="Compact"/>
              <w:jc w:val="left"/>
            </w:pPr>
            <w:r>
              <w:t xml:space="preserve">89,5 %</w:t>
            </w:r>
          </w:p>
        </w:tc>
        <w:tc>
          <w:tcPr/>
          <w:p>
            <w:pPr>
              <w:pStyle w:val="Compact"/>
              <w:jc w:val="left"/>
            </w:pPr>
            <w:r>
              <w:t xml:space="preserve">1,0009</w:t>
            </w:r>
          </w:p>
        </w:tc>
        <w:tc>
          <w:tcPr/>
          <w:p>
            <w:pPr>
              <w:pStyle w:val="Compact"/>
              <w:jc w:val="left"/>
            </w:pPr>
            <w:r>
              <w:t xml:space="preserve">4443</w:t>
            </w:r>
          </w:p>
        </w:tc>
        <w:tc>
          <w:tcPr/>
          <w:p>
            <w:pPr>
              <w:pStyle w:val="Compact"/>
              <w:jc w:val="left"/>
            </w:pPr>
            <w:r>
              <w:t xml:space="preserve">4799</w:t>
            </w:r>
          </w:p>
        </w:tc>
        <w:tc>
          <w:tcPr/>
          <w:p>
            <w:pPr>
              <w:pStyle w:val="Compact"/>
              <w:jc w:val="left"/>
            </w:pPr>
            <w:r>
              <w:t xml:space="preserve">0,975</w:t>
            </w:r>
          </w:p>
        </w:tc>
        <w:tc>
          <w:tcPr/>
          <w:p>
            <w:pPr>
              <w:pStyle w:val="Compact"/>
              <w:jc w:val="left"/>
            </w:pPr>
            <w:r>
              <w:t xml:space="preserve">0</w:t>
            </w:r>
          </w:p>
        </w:tc>
      </w:tr>
      <w:tr>
        <w:tc>
          <w:tcPr/>
          <w:p>
            <w:pPr>
              <w:pStyle w:val="Compact"/>
              <w:jc w:val="left"/>
            </w:pPr>
            <w:r>
              <w:t xml:space="preserve">2009–2014</w:t>
            </w:r>
          </w:p>
        </w:tc>
        <w:tc>
          <w:tcPr/>
          <w:p>
            <w:pPr>
              <w:pStyle w:val="Compact"/>
              <w:jc w:val="left"/>
            </w:pPr>
            <w:r>
              <w:t xml:space="preserve">Trastorno hipertensivo del embarazo</w:t>
            </w:r>
          </w:p>
        </w:tc>
        <w:tc>
          <w:tcPr/>
          <w:p>
            <w:pPr>
              <w:pStyle w:val="Compact"/>
              <w:jc w:val="left"/>
            </w:pPr>
            <w:r>
              <w:t xml:space="preserve">3547</w:t>
            </w:r>
          </w:p>
        </w:tc>
        <w:tc>
          <w:tcPr/>
          <w:p>
            <w:pPr>
              <w:pStyle w:val="Compact"/>
              <w:jc w:val="left"/>
            </w:pPr>
            <w:r>
              <w:t xml:space="preserve">677</w:t>
            </w:r>
          </w:p>
        </w:tc>
        <w:tc>
          <w:tcPr/>
          <w:p>
            <w:pPr>
              <w:pStyle w:val="Compact"/>
              <w:jc w:val="left"/>
            </w:pPr>
            <w:r>
              <w:t xml:space="preserve">0,72 (0,46–1,03)</w:t>
            </w:r>
          </w:p>
        </w:tc>
        <w:tc>
          <w:tcPr/>
          <w:p>
            <w:pPr>
              <w:pStyle w:val="Compact"/>
              <w:jc w:val="left"/>
            </w:pPr>
            <w:r>
              <w:t xml:space="preserve">-0,06 (-0,11–0,01)</w:t>
            </w:r>
          </w:p>
        </w:tc>
        <w:tc>
          <w:tcPr/>
          <w:p>
            <w:pPr>
              <w:pStyle w:val="Compact"/>
              <w:jc w:val="left"/>
            </w:pPr>
            <w:r>
              <w:t xml:space="preserve">96,4 %</w:t>
            </w:r>
          </w:p>
        </w:tc>
        <w:tc>
          <w:tcPr/>
          <w:p>
            <w:pPr>
              <w:pStyle w:val="Compact"/>
              <w:jc w:val="left"/>
            </w:pPr>
            <w:r>
              <w:t xml:space="preserve">1,0013</w:t>
            </w:r>
          </w:p>
        </w:tc>
        <w:tc>
          <w:tcPr/>
          <w:p>
            <w:pPr>
              <w:pStyle w:val="Compact"/>
              <w:jc w:val="left"/>
            </w:pPr>
            <w:r>
              <w:t xml:space="preserve">4068</w:t>
            </w:r>
          </w:p>
        </w:tc>
        <w:tc>
          <w:tcPr/>
          <w:p>
            <w:pPr>
              <w:pStyle w:val="Compact"/>
              <w:jc w:val="left"/>
            </w:pPr>
            <w:r>
              <w:t xml:space="preserve">5401</w:t>
            </w:r>
          </w:p>
        </w:tc>
        <w:tc>
          <w:tcPr/>
          <w:p>
            <w:pPr>
              <w:pStyle w:val="Compact"/>
              <w:jc w:val="left"/>
            </w:pPr>
            <w:r>
              <w:t xml:space="preserve">0,943</w:t>
            </w:r>
          </w:p>
        </w:tc>
        <w:tc>
          <w:tcPr/>
          <w:p>
            <w:pPr>
              <w:pStyle w:val="Compact"/>
              <w:jc w:val="left"/>
            </w:pPr>
            <w:r>
              <w:t xml:space="preserve">0</w:t>
            </w:r>
          </w:p>
        </w:tc>
      </w:tr>
      <w:tr>
        <w:tc>
          <w:tcPr/>
          <w:p>
            <w:pPr>
              <w:pStyle w:val="Compact"/>
              <w:jc w:val="left"/>
            </w:pPr>
            <w:r>
              <w:t xml:space="preserve">2009–2014</w:t>
            </w:r>
          </w:p>
        </w:tc>
        <w:tc>
          <w:tcPr/>
          <w:p>
            <w:pPr>
              <w:pStyle w:val="Compact"/>
              <w:jc w:val="left"/>
            </w:pPr>
            <w:r>
              <w:t xml:space="preserve">Parto vaginal</w:t>
            </w:r>
          </w:p>
        </w:tc>
        <w:tc>
          <w:tcPr/>
          <w:p>
            <w:pPr>
              <w:pStyle w:val="Compact"/>
              <w:jc w:val="left"/>
            </w:pPr>
            <w:r>
              <w:t xml:space="preserve">3628</w:t>
            </w:r>
          </w:p>
        </w:tc>
        <w:tc>
          <w:tcPr/>
          <w:p>
            <w:pPr>
              <w:pStyle w:val="Compact"/>
              <w:jc w:val="left"/>
            </w:pPr>
            <w:r>
              <w:t xml:space="preserve">2235</w:t>
            </w:r>
          </w:p>
        </w:tc>
        <w:tc>
          <w:tcPr/>
          <w:p>
            <w:pPr>
              <w:pStyle w:val="Compact"/>
              <w:jc w:val="left"/>
            </w:pPr>
            <w:r>
              <w:t xml:space="preserve">1,21 (1,09–1,33)</w:t>
            </w:r>
          </w:p>
        </w:tc>
        <w:tc>
          <w:tcPr/>
          <w:p>
            <w:pPr>
              <w:pStyle w:val="Compact"/>
              <w:jc w:val="left"/>
            </w:pPr>
            <w:r>
              <w:t xml:space="preserve">0,13 (0,06–0,20)</w:t>
            </w:r>
          </w:p>
        </w:tc>
        <w:tc>
          <w:tcPr/>
          <w:p>
            <w:pPr>
              <w:pStyle w:val="Compact"/>
              <w:jc w:val="left"/>
            </w:pPr>
            <w:r>
              <w:t xml:space="preserve">99,98 %</w:t>
            </w:r>
          </w:p>
        </w:tc>
        <w:tc>
          <w:tcPr/>
          <w:p>
            <w:pPr>
              <w:pStyle w:val="Compact"/>
              <w:jc w:val="left"/>
            </w:pPr>
            <w:r>
              <w:t xml:space="preserve">1,0006</w:t>
            </w:r>
          </w:p>
        </w:tc>
        <w:tc>
          <w:tcPr/>
          <w:p>
            <w:pPr>
              <w:pStyle w:val="Compact"/>
              <w:jc w:val="left"/>
            </w:pPr>
            <w:r>
              <w:t xml:space="preserve">4226</w:t>
            </w:r>
          </w:p>
        </w:tc>
        <w:tc>
          <w:tcPr/>
          <w:p>
            <w:pPr>
              <w:pStyle w:val="Compact"/>
              <w:jc w:val="left"/>
            </w:pPr>
            <w:r>
              <w:t xml:space="preserve">4561</w:t>
            </w:r>
          </w:p>
        </w:tc>
        <w:tc>
          <w:tcPr/>
          <w:p>
            <w:pPr>
              <w:pStyle w:val="Compact"/>
              <w:jc w:val="left"/>
            </w:pPr>
            <w:r>
              <w:t xml:space="preserve">0,948</w:t>
            </w:r>
          </w:p>
        </w:tc>
        <w:tc>
          <w:tcPr/>
          <w:p>
            <w:pPr>
              <w:pStyle w:val="Compact"/>
              <w:jc w:val="left"/>
            </w:pPr>
            <w:r>
              <w:t xml:space="preserve">0</w:t>
            </w:r>
          </w:p>
        </w:tc>
      </w:tr>
      <w:tr>
        <w:tc>
          <w:tcPr/>
          <w:p>
            <w:pPr>
              <w:pStyle w:val="Compact"/>
              <w:jc w:val="left"/>
            </w:pPr>
            <w:r>
              <w:t xml:space="preserve">2009–2014</w:t>
            </w:r>
          </w:p>
        </w:tc>
        <w:tc>
          <w:tcPr/>
          <w:p>
            <w:pPr>
              <w:pStyle w:val="Compact"/>
              <w:jc w:val="left"/>
            </w:pPr>
            <w:r>
              <w:t xml:space="preserve">Rezago escolar</w:t>
            </w:r>
          </w:p>
        </w:tc>
        <w:tc>
          <w:tcPr/>
          <w:p>
            <w:pPr>
              <w:pStyle w:val="Compact"/>
              <w:jc w:val="left"/>
            </w:pPr>
            <w:r>
              <w:t xml:space="preserve">3628</w:t>
            </w:r>
          </w:p>
        </w:tc>
        <w:tc>
          <w:tcPr/>
          <w:p>
            <w:pPr>
              <w:pStyle w:val="Compact"/>
              <w:jc w:val="left"/>
            </w:pPr>
            <w:r>
              <w:t xml:space="preserve">718</w:t>
            </w:r>
          </w:p>
        </w:tc>
        <w:tc>
          <w:tcPr/>
          <w:p>
            <w:pPr>
              <w:pStyle w:val="Compact"/>
              <w:jc w:val="left"/>
            </w:pPr>
            <w:r>
              <w:t xml:space="preserve">1,67 (1,28–2,10)</w:t>
            </w:r>
          </w:p>
        </w:tc>
        <w:tc>
          <w:tcPr/>
          <w:p>
            <w:pPr>
              <w:pStyle w:val="Compact"/>
              <w:jc w:val="left"/>
            </w:pPr>
            <w:r>
              <w:t xml:space="preserve">0,13 (0,05–0,21)</w:t>
            </w:r>
          </w:p>
        </w:tc>
        <w:tc>
          <w:tcPr/>
          <w:p>
            <w:pPr>
              <w:pStyle w:val="Compact"/>
              <w:jc w:val="left"/>
            </w:pPr>
            <w:r>
              <w:t xml:space="preserve">99,98 %</w:t>
            </w:r>
          </w:p>
        </w:tc>
        <w:tc>
          <w:tcPr/>
          <w:p>
            <w:pPr>
              <w:pStyle w:val="Compact"/>
              <w:jc w:val="left"/>
            </w:pPr>
            <w:r>
              <w:t xml:space="preserve">1,0011</w:t>
            </w:r>
          </w:p>
        </w:tc>
        <w:tc>
          <w:tcPr/>
          <w:p>
            <w:pPr>
              <w:pStyle w:val="Compact"/>
              <w:jc w:val="left"/>
            </w:pPr>
            <w:r>
              <w:t xml:space="preserve">3730</w:t>
            </w:r>
          </w:p>
        </w:tc>
        <w:tc>
          <w:tcPr/>
          <w:p>
            <w:pPr>
              <w:pStyle w:val="Compact"/>
              <w:jc w:val="left"/>
            </w:pPr>
            <w:r>
              <w:t xml:space="preserve">4507</w:t>
            </w:r>
          </w:p>
        </w:tc>
        <w:tc>
          <w:tcPr/>
          <w:p>
            <w:pPr>
              <w:pStyle w:val="Compact"/>
              <w:jc w:val="left"/>
            </w:pPr>
            <w:r>
              <w:t xml:space="preserve">0,917</w:t>
            </w:r>
          </w:p>
        </w:tc>
        <w:tc>
          <w:tcPr/>
          <w:p>
            <w:pPr>
              <w:pStyle w:val="Compact"/>
              <w:jc w:val="left"/>
            </w:pPr>
            <w:r>
              <w:t xml:space="preserve">0</w:t>
            </w:r>
          </w:p>
        </w:tc>
      </w:tr>
      <w:tr>
        <w:tc>
          <w:tcPr/>
          <w:p>
            <w:pPr>
              <w:pStyle w:val="Compact"/>
              <w:jc w:val="left"/>
            </w:pPr>
            <w:r>
              <w:t xml:space="preserve">2009–2014</w:t>
            </w:r>
          </w:p>
        </w:tc>
        <w:tc>
          <w:tcPr/>
          <w:p>
            <w:pPr>
              <w:pStyle w:val="Compact"/>
              <w:jc w:val="left"/>
            </w:pPr>
            <w:r>
              <w:t xml:space="preserve">Control prenatal adecuado: sí/no</w:t>
            </w:r>
          </w:p>
        </w:tc>
        <w:tc>
          <w:tcPr/>
          <w:p>
            <w:pPr>
              <w:pStyle w:val="Compact"/>
              <w:jc w:val="left"/>
            </w:pPr>
            <w:r>
              <w:t xml:space="preserve">3530</w:t>
            </w:r>
          </w:p>
        </w:tc>
        <w:tc>
          <w:tcPr/>
          <w:p>
            <w:pPr>
              <w:pStyle w:val="Compact"/>
              <w:jc w:val="left"/>
            </w:pPr>
            <w:r>
              <w:t xml:space="preserve">2108</w:t>
            </w:r>
          </w:p>
        </w:tc>
        <w:tc>
          <w:tcPr/>
          <w:p>
            <w:pPr>
              <w:pStyle w:val="Compact"/>
              <w:jc w:val="left"/>
            </w:pPr>
            <w:r>
              <w:t xml:space="preserve">0,78 (0,65–0,92)</w:t>
            </w:r>
          </w:p>
        </w:tc>
        <w:tc>
          <w:tcPr/>
          <w:p>
            <w:pPr>
              <w:pStyle w:val="Compact"/>
              <w:jc w:val="left"/>
            </w:pPr>
            <w:r>
              <w:t xml:space="preserve">-0,13 (-0,21 a -0,05)</w:t>
            </w:r>
          </w:p>
        </w:tc>
        <w:tc>
          <w:tcPr/>
          <w:p>
            <w:pPr>
              <w:pStyle w:val="Compact"/>
              <w:jc w:val="left"/>
            </w:pPr>
            <w:r>
              <w:t xml:space="preserve">99,9 %</w:t>
            </w:r>
          </w:p>
        </w:tc>
        <w:tc>
          <w:tcPr/>
          <w:p>
            <w:pPr>
              <w:pStyle w:val="Compact"/>
              <w:jc w:val="left"/>
            </w:pPr>
            <w:r>
              <w:t xml:space="preserve">1,0010</w:t>
            </w:r>
          </w:p>
        </w:tc>
        <w:tc>
          <w:tcPr/>
          <w:p>
            <w:pPr>
              <w:pStyle w:val="Compact"/>
              <w:jc w:val="left"/>
            </w:pPr>
            <w:r>
              <w:t xml:space="preserve">4025</w:t>
            </w:r>
          </w:p>
        </w:tc>
        <w:tc>
          <w:tcPr/>
          <w:p>
            <w:pPr>
              <w:pStyle w:val="Compact"/>
              <w:jc w:val="left"/>
            </w:pPr>
            <w:r>
              <w:t xml:space="preserve">5575</w:t>
            </w:r>
          </w:p>
        </w:tc>
        <w:tc>
          <w:tcPr/>
          <w:p>
            <w:pPr>
              <w:pStyle w:val="Compact"/>
              <w:jc w:val="left"/>
            </w:pPr>
            <w:r>
              <w:t xml:space="preserve">1,006</w:t>
            </w:r>
          </w:p>
        </w:tc>
        <w:tc>
          <w:tcPr/>
          <w:p>
            <w:pPr>
              <w:pStyle w:val="Compact"/>
              <w:jc w:val="left"/>
            </w:pPr>
            <w:r>
              <w:t xml:space="preserve">0</w:t>
            </w:r>
          </w:p>
        </w:tc>
      </w:tr>
      <w:tr>
        <w:tc>
          <w:tcPr/>
          <w:p>
            <w:pPr>
              <w:pStyle w:val="Compact"/>
              <w:jc w:val="left"/>
            </w:pPr>
            <w:r>
              <w:t xml:space="preserve">2015–2019</w:t>
            </w:r>
          </w:p>
        </w:tc>
        <w:tc>
          <w:tcPr/>
          <w:p>
            <w:pPr>
              <w:pStyle w:val="Compact"/>
              <w:jc w:val="left"/>
            </w:pPr>
            <w:r>
              <w:t xml:space="preserve">Pareja estable</w:t>
            </w:r>
          </w:p>
        </w:tc>
        <w:tc>
          <w:tcPr/>
          <w:p>
            <w:pPr>
              <w:pStyle w:val="Compact"/>
              <w:jc w:val="left"/>
            </w:pPr>
            <w:r>
              <w:t xml:space="preserve">2324</w:t>
            </w:r>
          </w:p>
        </w:tc>
        <w:tc>
          <w:tcPr/>
          <w:p>
            <w:pPr>
              <w:pStyle w:val="Compact"/>
              <w:jc w:val="left"/>
            </w:pPr>
            <w:r>
              <w:t xml:space="preserve">1065</w:t>
            </w:r>
          </w:p>
        </w:tc>
        <w:tc>
          <w:tcPr/>
          <w:p>
            <w:pPr>
              <w:pStyle w:val="Compact"/>
              <w:jc w:val="left"/>
            </w:pPr>
            <w:r>
              <w:t xml:space="preserve">0,67 (0,51–0,85)</w:t>
            </w:r>
          </w:p>
        </w:tc>
        <w:tc>
          <w:tcPr/>
          <w:p>
            <w:pPr>
              <w:pStyle w:val="Compact"/>
              <w:jc w:val="left"/>
            </w:pPr>
            <w:r>
              <w:t xml:space="preserve">-0,16 (-0,23 a -0,07)</w:t>
            </w:r>
          </w:p>
        </w:tc>
        <w:tc>
          <w:tcPr/>
          <w:p>
            <w:pPr>
              <w:pStyle w:val="Compact"/>
              <w:jc w:val="left"/>
            </w:pPr>
            <w:r>
              <w:t xml:space="preserve">99,99 %</w:t>
            </w:r>
          </w:p>
        </w:tc>
        <w:tc>
          <w:tcPr/>
          <w:p>
            <w:pPr>
              <w:pStyle w:val="Compact"/>
              <w:jc w:val="left"/>
            </w:pPr>
            <w:r>
              <w:t xml:space="preserve">1,0005</w:t>
            </w:r>
          </w:p>
        </w:tc>
        <w:tc>
          <w:tcPr/>
          <w:p>
            <w:pPr>
              <w:pStyle w:val="Compact"/>
              <w:jc w:val="left"/>
            </w:pPr>
            <w:r>
              <w:t xml:space="preserve">4194</w:t>
            </w:r>
          </w:p>
        </w:tc>
        <w:tc>
          <w:tcPr/>
          <w:p>
            <w:pPr>
              <w:pStyle w:val="Compact"/>
              <w:jc w:val="left"/>
            </w:pPr>
            <w:r>
              <w:t xml:space="preserve">5357</w:t>
            </w:r>
          </w:p>
        </w:tc>
        <w:tc>
          <w:tcPr/>
          <w:p>
            <w:pPr>
              <w:pStyle w:val="Compact"/>
              <w:jc w:val="left"/>
            </w:pPr>
            <w:r>
              <w:t xml:space="preserve">1,023</w:t>
            </w:r>
          </w:p>
        </w:tc>
        <w:tc>
          <w:tcPr/>
          <w:p>
            <w:pPr>
              <w:pStyle w:val="Compact"/>
              <w:jc w:val="left"/>
            </w:pPr>
            <w:r>
              <w:t xml:space="preserve">0</w:t>
            </w:r>
          </w:p>
        </w:tc>
      </w:tr>
      <w:tr>
        <w:tc>
          <w:tcPr/>
          <w:p>
            <w:pPr>
              <w:pStyle w:val="Compact"/>
              <w:jc w:val="left"/>
            </w:pPr>
            <w:r>
              <w:t xml:space="preserve">2015–2019</w:t>
            </w:r>
          </w:p>
        </w:tc>
        <w:tc>
          <w:tcPr/>
          <w:p>
            <w:pPr>
              <w:pStyle w:val="Compact"/>
              <w:jc w:val="left"/>
            </w:pPr>
            <w:r>
              <w:t xml:space="preserve">Ninguna escolaridad o educación primaria</w:t>
            </w:r>
          </w:p>
        </w:tc>
        <w:tc>
          <w:tcPr/>
          <w:p>
            <w:pPr>
              <w:pStyle w:val="Compact"/>
              <w:jc w:val="left"/>
            </w:pPr>
            <w:r>
              <w:t xml:space="preserve">2324</w:t>
            </w:r>
          </w:p>
        </w:tc>
        <w:tc>
          <w:tcPr/>
          <w:p>
            <w:pPr>
              <w:pStyle w:val="Compact"/>
              <w:jc w:val="left"/>
            </w:pPr>
            <w:r>
              <w:t xml:space="preserve">322</w:t>
            </w:r>
          </w:p>
        </w:tc>
        <w:tc>
          <w:tcPr/>
          <w:p>
            <w:pPr>
              <w:pStyle w:val="Compact"/>
              <w:jc w:val="left"/>
            </w:pPr>
            <w:r>
              <w:t xml:space="preserve">6,04 (5,04–7,17)</w:t>
            </w:r>
          </w:p>
        </w:tc>
        <w:tc>
          <w:tcPr/>
          <w:p>
            <w:pPr>
              <w:pStyle w:val="Compact"/>
              <w:jc w:val="left"/>
            </w:pPr>
            <w:r>
              <w:t xml:space="preserve">0,55 (0,46–0,63)</w:t>
            </w:r>
          </w:p>
        </w:tc>
        <w:tc>
          <w:tcPr/>
          <w:p>
            <w:pPr>
              <w:pStyle w:val="Compact"/>
              <w:jc w:val="left"/>
            </w:pPr>
            <w:r>
              <w:t xml:space="preserve">&gt;99,9 %</w:t>
            </w:r>
          </w:p>
        </w:tc>
        <w:tc>
          <w:tcPr/>
          <w:p>
            <w:pPr>
              <w:pStyle w:val="Compact"/>
              <w:jc w:val="left"/>
            </w:pPr>
            <w:r>
              <w:t xml:space="preserve">1,0005</w:t>
            </w:r>
          </w:p>
        </w:tc>
        <w:tc>
          <w:tcPr/>
          <w:p>
            <w:pPr>
              <w:pStyle w:val="Compact"/>
              <w:jc w:val="left"/>
            </w:pPr>
            <w:r>
              <w:t xml:space="preserve">4555</w:t>
            </w:r>
          </w:p>
        </w:tc>
        <w:tc>
          <w:tcPr/>
          <w:p>
            <w:pPr>
              <w:pStyle w:val="Compact"/>
              <w:jc w:val="left"/>
            </w:pPr>
            <w:r>
              <w:t xml:space="preserve">5358</w:t>
            </w:r>
          </w:p>
        </w:tc>
        <w:tc>
          <w:tcPr/>
          <w:p>
            <w:pPr>
              <w:pStyle w:val="Compact"/>
              <w:jc w:val="left"/>
            </w:pPr>
            <w:r>
              <w:t xml:space="preserve">0,994</w:t>
            </w:r>
          </w:p>
        </w:tc>
        <w:tc>
          <w:tcPr/>
          <w:p>
            <w:pPr>
              <w:pStyle w:val="Compact"/>
              <w:jc w:val="left"/>
            </w:pPr>
            <w:r>
              <w:t xml:space="preserve">0</w:t>
            </w:r>
          </w:p>
        </w:tc>
      </w:tr>
      <w:tr>
        <w:tc>
          <w:tcPr/>
          <w:p>
            <w:pPr>
              <w:pStyle w:val="Compact"/>
              <w:jc w:val="left"/>
            </w:pPr>
            <w:r>
              <w:t xml:space="preserve">2015–2019</w:t>
            </w:r>
          </w:p>
        </w:tc>
        <w:tc>
          <w:tcPr/>
          <w:p>
            <w:pPr>
              <w:pStyle w:val="Compact"/>
              <w:jc w:val="left"/>
            </w:pPr>
            <w:r>
              <w:t xml:space="preserve">Etnia minoritaria</w:t>
            </w:r>
          </w:p>
        </w:tc>
        <w:tc>
          <w:tcPr/>
          <w:p>
            <w:pPr>
              <w:pStyle w:val="Compact"/>
              <w:jc w:val="left"/>
            </w:pPr>
            <w:r>
              <w:t xml:space="preserve">2324</w:t>
            </w:r>
          </w:p>
        </w:tc>
        <w:tc>
          <w:tcPr/>
          <w:p>
            <w:pPr>
              <w:pStyle w:val="Compact"/>
              <w:jc w:val="left"/>
            </w:pPr>
            <w:r>
              <w:t xml:space="preserve">152</w:t>
            </w:r>
          </w:p>
        </w:tc>
        <w:tc>
          <w:tcPr/>
          <w:p>
            <w:pPr>
              <w:pStyle w:val="Compact"/>
              <w:jc w:val="left"/>
            </w:pPr>
            <w:r>
              <w:t xml:space="preserve">1,97 (1,16–3,08)</w:t>
            </w:r>
          </w:p>
        </w:tc>
        <w:tc>
          <w:tcPr/>
          <w:p>
            <w:pPr>
              <w:pStyle w:val="Compact"/>
              <w:jc w:val="left"/>
            </w:pPr>
            <w:r>
              <w:t xml:space="preserve">0,06 (0,01–0,12)</w:t>
            </w:r>
          </w:p>
        </w:tc>
        <w:tc>
          <w:tcPr/>
          <w:p>
            <w:pPr>
              <w:pStyle w:val="Compact"/>
              <w:jc w:val="left"/>
            </w:pPr>
            <w:r>
              <w:t xml:space="preserve">99,3 %</w:t>
            </w:r>
          </w:p>
        </w:tc>
        <w:tc>
          <w:tcPr/>
          <w:p>
            <w:pPr>
              <w:pStyle w:val="Compact"/>
              <w:jc w:val="left"/>
            </w:pPr>
            <w:r>
              <w:t xml:space="preserve">1,0004</w:t>
            </w:r>
          </w:p>
        </w:tc>
        <w:tc>
          <w:tcPr/>
          <w:p>
            <w:pPr>
              <w:pStyle w:val="Compact"/>
              <w:jc w:val="left"/>
            </w:pPr>
            <w:r>
              <w:t xml:space="preserve">4134</w:t>
            </w:r>
          </w:p>
        </w:tc>
        <w:tc>
          <w:tcPr/>
          <w:p>
            <w:pPr>
              <w:pStyle w:val="Compact"/>
              <w:jc w:val="left"/>
            </w:pPr>
            <w:r>
              <w:t xml:space="preserve">5205</w:t>
            </w:r>
          </w:p>
        </w:tc>
        <w:tc>
          <w:tcPr/>
          <w:p>
            <w:pPr>
              <w:pStyle w:val="Compact"/>
              <w:jc w:val="left"/>
            </w:pPr>
            <w:r>
              <w:t xml:space="preserve">0,994</w:t>
            </w:r>
          </w:p>
        </w:tc>
        <w:tc>
          <w:tcPr/>
          <w:p>
            <w:pPr>
              <w:pStyle w:val="Compact"/>
              <w:jc w:val="left"/>
            </w:pPr>
            <w:r>
              <w:t xml:space="preserve">0</w:t>
            </w:r>
          </w:p>
        </w:tc>
      </w:tr>
      <w:tr>
        <w:tc>
          <w:tcPr/>
          <w:p>
            <w:pPr>
              <w:pStyle w:val="Compact"/>
              <w:jc w:val="left"/>
            </w:pPr>
            <w:r>
              <w:t xml:space="preserve">2015–2019</w:t>
            </w:r>
          </w:p>
        </w:tc>
        <w:tc>
          <w:tcPr/>
          <w:p>
            <w:pPr>
              <w:pStyle w:val="Compact"/>
              <w:jc w:val="left"/>
            </w:pPr>
            <w:r>
              <w:t xml:space="preserve">Gestas previas</w:t>
            </w:r>
          </w:p>
        </w:tc>
        <w:tc>
          <w:tcPr/>
          <w:p>
            <w:pPr>
              <w:pStyle w:val="Compact"/>
              <w:jc w:val="left"/>
            </w:pPr>
            <w:r>
              <w:t xml:space="preserve">2324</w:t>
            </w:r>
          </w:p>
        </w:tc>
        <w:tc>
          <w:tcPr/>
          <w:p>
            <w:pPr>
              <w:pStyle w:val="Compact"/>
              <w:jc w:val="left"/>
            </w:pPr>
            <w:r>
              <w:t xml:space="preserve">345</w:t>
            </w:r>
          </w:p>
        </w:tc>
        <w:tc>
          <w:tcPr/>
          <w:p>
            <w:pPr>
              <w:pStyle w:val="Compact"/>
              <w:jc w:val="left"/>
            </w:pPr>
            <w:r>
              <w:t xml:space="preserve">0,18 (0,06–0,41)</w:t>
            </w:r>
          </w:p>
        </w:tc>
        <w:tc>
          <w:tcPr/>
          <w:p>
            <w:pPr>
              <w:pStyle w:val="Compact"/>
              <w:jc w:val="left"/>
            </w:pPr>
            <w:r>
              <w:t xml:space="preserve">-0,13 (-0,15 a -0,09)</w:t>
            </w:r>
          </w:p>
        </w:tc>
        <w:tc>
          <w:tcPr/>
          <w:p>
            <w:pPr>
              <w:pStyle w:val="Compact"/>
              <w:jc w:val="left"/>
            </w:pPr>
            <w:r>
              <w:t xml:space="preserve">&gt;99,9 %</w:t>
            </w:r>
          </w:p>
        </w:tc>
        <w:tc>
          <w:tcPr/>
          <w:p>
            <w:pPr>
              <w:pStyle w:val="Compact"/>
              <w:jc w:val="left"/>
            </w:pPr>
            <w:r>
              <w:t xml:space="preserve">1,0013</w:t>
            </w:r>
          </w:p>
        </w:tc>
        <w:tc>
          <w:tcPr/>
          <w:p>
            <w:pPr>
              <w:pStyle w:val="Compact"/>
              <w:jc w:val="left"/>
            </w:pPr>
            <w:r>
              <w:t xml:space="preserve">4269</w:t>
            </w:r>
          </w:p>
        </w:tc>
        <w:tc>
          <w:tcPr/>
          <w:p>
            <w:pPr>
              <w:pStyle w:val="Compact"/>
              <w:jc w:val="left"/>
            </w:pPr>
            <w:r>
              <w:t xml:space="preserve">5257</w:t>
            </w:r>
          </w:p>
        </w:tc>
        <w:tc>
          <w:tcPr/>
          <w:p>
            <w:pPr>
              <w:pStyle w:val="Compact"/>
              <w:jc w:val="left"/>
            </w:pPr>
            <w:r>
              <w:t xml:space="preserve">0,946</w:t>
            </w:r>
          </w:p>
        </w:tc>
        <w:tc>
          <w:tcPr/>
          <w:p>
            <w:pPr>
              <w:pStyle w:val="Compact"/>
              <w:jc w:val="left"/>
            </w:pPr>
            <w:r>
              <w:t xml:space="preserve">0</w:t>
            </w:r>
          </w:p>
        </w:tc>
      </w:tr>
      <w:tr>
        <w:tc>
          <w:tcPr/>
          <w:p>
            <w:pPr>
              <w:pStyle w:val="Compact"/>
              <w:jc w:val="left"/>
            </w:pPr>
            <w:r>
              <w:t xml:space="preserve">2015–2019</w:t>
            </w:r>
          </w:p>
        </w:tc>
        <w:tc>
          <w:tcPr/>
          <w:p>
            <w:pPr>
              <w:pStyle w:val="Compact"/>
              <w:jc w:val="left"/>
            </w:pPr>
            <w:r>
              <w:t xml:space="preserve">Embarazo múltiple</w:t>
            </w:r>
          </w:p>
        </w:tc>
        <w:tc>
          <w:tcPr/>
          <w:p>
            <w:pPr>
              <w:pStyle w:val="Compact"/>
              <w:jc w:val="left"/>
            </w:pPr>
            <w:r>
              <w:t xml:space="preserve">2324</w:t>
            </w:r>
          </w:p>
        </w:tc>
        <w:tc>
          <w:tcPr/>
          <w:p>
            <w:pPr>
              <w:pStyle w:val="Compact"/>
              <w:jc w:val="left"/>
            </w:pPr>
            <w:r>
              <w:t xml:space="preserve">69</w:t>
            </w:r>
          </w:p>
        </w:tc>
        <w:tc>
          <w:tcPr/>
          <w:p>
            <w:pPr>
              <w:pStyle w:val="Compact"/>
              <w:jc w:val="left"/>
            </w:pPr>
            <w:r>
              <w:t xml:space="preserve">0,77 (0,22–1,92)</w:t>
            </w:r>
          </w:p>
        </w:tc>
        <w:tc>
          <w:tcPr/>
          <w:p>
            <w:pPr>
              <w:pStyle w:val="Compact"/>
              <w:jc w:val="left"/>
            </w:pPr>
            <w:r>
              <w:t xml:space="preserve">-0,01 (-0,03–0,03)</w:t>
            </w:r>
          </w:p>
        </w:tc>
        <w:tc>
          <w:tcPr/>
          <w:p>
            <w:pPr>
              <w:pStyle w:val="Compact"/>
              <w:jc w:val="left"/>
            </w:pPr>
            <w:r>
              <w:t xml:space="preserve">69,6 %</w:t>
            </w:r>
          </w:p>
        </w:tc>
        <w:tc>
          <w:tcPr/>
          <w:p>
            <w:pPr>
              <w:pStyle w:val="Compact"/>
              <w:jc w:val="left"/>
            </w:pPr>
            <w:r>
              <w:t xml:space="preserve">1,0010</w:t>
            </w:r>
          </w:p>
        </w:tc>
        <w:tc>
          <w:tcPr/>
          <w:p>
            <w:pPr>
              <w:pStyle w:val="Compact"/>
              <w:jc w:val="left"/>
            </w:pPr>
            <w:r>
              <w:t xml:space="preserve">4208</w:t>
            </w:r>
          </w:p>
        </w:tc>
        <w:tc>
          <w:tcPr/>
          <w:p>
            <w:pPr>
              <w:pStyle w:val="Compact"/>
              <w:jc w:val="left"/>
            </w:pPr>
            <w:r>
              <w:t xml:space="preserve">4597</w:t>
            </w:r>
          </w:p>
        </w:tc>
        <w:tc>
          <w:tcPr/>
          <w:p>
            <w:pPr>
              <w:pStyle w:val="Compact"/>
              <w:jc w:val="left"/>
            </w:pPr>
            <w:r>
              <w:t xml:space="preserve">0,997</w:t>
            </w:r>
          </w:p>
        </w:tc>
        <w:tc>
          <w:tcPr/>
          <w:p>
            <w:pPr>
              <w:pStyle w:val="Compact"/>
              <w:jc w:val="left"/>
            </w:pPr>
            <w:r>
              <w:t xml:space="preserve">0</w:t>
            </w:r>
          </w:p>
        </w:tc>
      </w:tr>
      <w:tr>
        <w:tc>
          <w:tcPr/>
          <w:p>
            <w:pPr>
              <w:pStyle w:val="Compact"/>
              <w:jc w:val="left"/>
            </w:pPr>
            <w:r>
              <w:t xml:space="preserve">2015–2019</w:t>
            </w:r>
          </w:p>
        </w:tc>
        <w:tc>
          <w:tcPr/>
          <w:p>
            <w:pPr>
              <w:pStyle w:val="Compact"/>
              <w:jc w:val="left"/>
            </w:pPr>
            <w:r>
              <w:t xml:space="preserve">Embarazo planeado</w:t>
            </w:r>
          </w:p>
        </w:tc>
        <w:tc>
          <w:tcPr/>
          <w:p>
            <w:pPr>
              <w:pStyle w:val="Compact"/>
              <w:jc w:val="left"/>
            </w:pPr>
            <w:r>
              <w:t xml:space="preserve">2324</w:t>
            </w:r>
          </w:p>
        </w:tc>
        <w:tc>
          <w:tcPr/>
          <w:p>
            <w:pPr>
              <w:pStyle w:val="Compact"/>
              <w:jc w:val="left"/>
            </w:pPr>
            <w:r>
              <w:t xml:space="preserve">473</w:t>
            </w:r>
          </w:p>
        </w:tc>
        <w:tc>
          <w:tcPr/>
          <w:p>
            <w:pPr>
              <w:pStyle w:val="Compact"/>
              <w:jc w:val="left"/>
            </w:pPr>
            <w:r>
              <w:t xml:space="preserve">0,46 (0,26–0,75)</w:t>
            </w:r>
          </w:p>
        </w:tc>
        <w:tc>
          <w:tcPr/>
          <w:p>
            <w:pPr>
              <w:pStyle w:val="Compact"/>
              <w:jc w:val="left"/>
            </w:pPr>
            <w:r>
              <w:t xml:space="preserve">-0,11 (-0,16 a -0,05)</w:t>
            </w:r>
          </w:p>
        </w:tc>
        <w:tc>
          <w:tcPr/>
          <w:p>
            <w:pPr>
              <w:pStyle w:val="Compact"/>
              <w:jc w:val="left"/>
            </w:pPr>
            <w:r>
              <w:t xml:space="preserve">99,96 %</w:t>
            </w:r>
          </w:p>
        </w:tc>
        <w:tc>
          <w:tcPr/>
          <w:p>
            <w:pPr>
              <w:pStyle w:val="Compact"/>
              <w:jc w:val="left"/>
            </w:pPr>
            <w:r>
              <w:t xml:space="preserve">1,0006</w:t>
            </w:r>
          </w:p>
        </w:tc>
        <w:tc>
          <w:tcPr/>
          <w:p>
            <w:pPr>
              <w:pStyle w:val="Compact"/>
              <w:jc w:val="left"/>
            </w:pPr>
            <w:r>
              <w:t xml:space="preserve">4216</w:t>
            </w:r>
          </w:p>
        </w:tc>
        <w:tc>
          <w:tcPr/>
          <w:p>
            <w:pPr>
              <w:pStyle w:val="Compact"/>
              <w:jc w:val="left"/>
            </w:pPr>
            <w:r>
              <w:t xml:space="preserve">4822</w:t>
            </w:r>
          </w:p>
        </w:tc>
        <w:tc>
          <w:tcPr/>
          <w:p>
            <w:pPr>
              <w:pStyle w:val="Compact"/>
              <w:jc w:val="left"/>
            </w:pPr>
            <w:r>
              <w:t xml:space="preserve">0,993</w:t>
            </w:r>
          </w:p>
        </w:tc>
        <w:tc>
          <w:tcPr/>
          <w:p>
            <w:pPr>
              <w:pStyle w:val="Compact"/>
              <w:jc w:val="left"/>
            </w:pPr>
            <w:r>
              <w:t xml:space="preserve">0</w:t>
            </w:r>
          </w:p>
        </w:tc>
      </w:tr>
      <w:tr>
        <w:tc>
          <w:tcPr/>
          <w:p>
            <w:pPr>
              <w:pStyle w:val="Compact"/>
              <w:jc w:val="left"/>
            </w:pPr>
            <w:r>
              <w:t xml:space="preserve">2015–2019</w:t>
            </w:r>
          </w:p>
        </w:tc>
        <w:tc>
          <w:tcPr/>
          <w:p>
            <w:pPr>
              <w:pStyle w:val="Compact"/>
              <w:jc w:val="left"/>
            </w:pPr>
            <w:r>
              <w:t xml:space="preserve">Falla de método anticonceptivo</w:t>
            </w:r>
          </w:p>
        </w:tc>
        <w:tc>
          <w:tcPr/>
          <w:p>
            <w:pPr>
              <w:pStyle w:val="Compact"/>
              <w:jc w:val="left"/>
            </w:pPr>
            <w:r>
              <w:t xml:space="preserve">2324</w:t>
            </w:r>
          </w:p>
        </w:tc>
        <w:tc>
          <w:tcPr/>
          <w:p>
            <w:pPr>
              <w:pStyle w:val="Compact"/>
              <w:jc w:val="left"/>
            </w:pPr>
            <w:r>
              <w:t xml:space="preserve">448</w:t>
            </w:r>
          </w:p>
        </w:tc>
        <w:tc>
          <w:tcPr/>
          <w:p>
            <w:pPr>
              <w:pStyle w:val="Compact"/>
              <w:jc w:val="left"/>
            </w:pPr>
            <w:r>
              <w:t xml:space="preserve">0,52 (0,30–0,84)</w:t>
            </w:r>
          </w:p>
        </w:tc>
        <w:tc>
          <w:tcPr/>
          <w:p>
            <w:pPr>
              <w:pStyle w:val="Compact"/>
              <w:jc w:val="left"/>
            </w:pPr>
            <w:r>
              <w:t xml:space="preserve">-0,09 (-0,14 a -0,03)</w:t>
            </w:r>
          </w:p>
        </w:tc>
        <w:tc>
          <w:tcPr/>
          <w:p>
            <w:pPr>
              <w:pStyle w:val="Compact"/>
              <w:jc w:val="left"/>
            </w:pPr>
            <w:r>
              <w:t xml:space="preserve">99,8 %</w:t>
            </w:r>
          </w:p>
        </w:tc>
        <w:tc>
          <w:tcPr/>
          <w:p>
            <w:pPr>
              <w:pStyle w:val="Compact"/>
              <w:jc w:val="left"/>
            </w:pPr>
            <w:r>
              <w:t xml:space="preserve">1,0006</w:t>
            </w:r>
          </w:p>
        </w:tc>
        <w:tc>
          <w:tcPr/>
          <w:p>
            <w:pPr>
              <w:pStyle w:val="Compact"/>
              <w:jc w:val="left"/>
            </w:pPr>
            <w:r>
              <w:t xml:space="preserve">4222</w:t>
            </w:r>
          </w:p>
        </w:tc>
        <w:tc>
          <w:tcPr/>
          <w:p>
            <w:pPr>
              <w:pStyle w:val="Compact"/>
              <w:jc w:val="left"/>
            </w:pPr>
            <w:r>
              <w:t xml:space="preserve">5444</w:t>
            </w:r>
          </w:p>
        </w:tc>
        <w:tc>
          <w:tcPr/>
          <w:p>
            <w:pPr>
              <w:pStyle w:val="Compact"/>
              <w:jc w:val="left"/>
            </w:pPr>
            <w:r>
              <w:t xml:space="preserve">0,961</w:t>
            </w:r>
          </w:p>
        </w:tc>
        <w:tc>
          <w:tcPr/>
          <w:p>
            <w:pPr>
              <w:pStyle w:val="Compact"/>
              <w:jc w:val="left"/>
            </w:pPr>
            <w:r>
              <w:t xml:space="preserve">0</w:t>
            </w:r>
          </w:p>
        </w:tc>
      </w:tr>
      <w:tr>
        <w:tc>
          <w:tcPr/>
          <w:p>
            <w:pPr>
              <w:pStyle w:val="Compact"/>
              <w:jc w:val="left"/>
            </w:pPr>
            <w:r>
              <w:t xml:space="preserve">2015–2019</w:t>
            </w:r>
          </w:p>
        </w:tc>
        <w:tc>
          <w:tcPr/>
          <w:p>
            <w:pPr>
              <w:pStyle w:val="Compact"/>
              <w:jc w:val="left"/>
            </w:pPr>
            <w:r>
              <w:t xml:space="preserve">Infección urinaria</w:t>
            </w:r>
          </w:p>
        </w:tc>
        <w:tc>
          <w:tcPr/>
          <w:p>
            <w:pPr>
              <w:pStyle w:val="Compact"/>
              <w:jc w:val="left"/>
            </w:pPr>
            <w:r>
              <w:t xml:space="preserve">2302</w:t>
            </w:r>
          </w:p>
        </w:tc>
        <w:tc>
          <w:tcPr/>
          <w:p>
            <w:pPr>
              <w:pStyle w:val="Compact"/>
              <w:jc w:val="left"/>
            </w:pPr>
            <w:r>
              <w:t xml:space="preserve">1420</w:t>
            </w:r>
          </w:p>
        </w:tc>
        <w:tc>
          <w:tcPr/>
          <w:p>
            <w:pPr>
              <w:pStyle w:val="Compact"/>
              <w:jc w:val="left"/>
            </w:pPr>
            <w:r>
              <w:t xml:space="preserve">0,91 (0,76–1,05)</w:t>
            </w:r>
          </w:p>
        </w:tc>
        <w:tc>
          <w:tcPr/>
          <w:p>
            <w:pPr>
              <w:pStyle w:val="Compact"/>
              <w:jc w:val="left"/>
            </w:pPr>
            <w:r>
              <w:t xml:space="preserve">-0,06 (-0,15–0,03)</w:t>
            </w:r>
          </w:p>
        </w:tc>
        <w:tc>
          <w:tcPr/>
          <w:p>
            <w:pPr>
              <w:pStyle w:val="Compact"/>
              <w:jc w:val="left"/>
            </w:pPr>
            <w:r>
              <w:t xml:space="preserve">90,1 %</w:t>
            </w:r>
          </w:p>
        </w:tc>
        <w:tc>
          <w:tcPr/>
          <w:p>
            <w:pPr>
              <w:pStyle w:val="Compact"/>
              <w:jc w:val="left"/>
            </w:pPr>
            <w:r>
              <w:t xml:space="preserve">1,0004</w:t>
            </w:r>
          </w:p>
        </w:tc>
        <w:tc>
          <w:tcPr/>
          <w:p>
            <w:pPr>
              <w:pStyle w:val="Compact"/>
              <w:jc w:val="left"/>
            </w:pPr>
            <w:r>
              <w:t xml:space="preserve">3924</w:t>
            </w:r>
          </w:p>
        </w:tc>
        <w:tc>
          <w:tcPr/>
          <w:p>
            <w:pPr>
              <w:pStyle w:val="Compact"/>
              <w:jc w:val="left"/>
            </w:pPr>
            <w:r>
              <w:t xml:space="preserve">5270</w:t>
            </w:r>
          </w:p>
        </w:tc>
        <w:tc>
          <w:tcPr/>
          <w:p>
            <w:pPr>
              <w:pStyle w:val="Compact"/>
              <w:jc w:val="left"/>
            </w:pPr>
            <w:r>
              <w:t xml:space="preserve">0,966</w:t>
            </w:r>
          </w:p>
        </w:tc>
        <w:tc>
          <w:tcPr/>
          <w:p>
            <w:pPr>
              <w:pStyle w:val="Compact"/>
              <w:jc w:val="left"/>
            </w:pPr>
            <w:r>
              <w:t xml:space="preserve">0</w:t>
            </w:r>
          </w:p>
        </w:tc>
      </w:tr>
      <w:tr>
        <w:tc>
          <w:tcPr/>
          <w:p>
            <w:pPr>
              <w:pStyle w:val="Compact"/>
              <w:jc w:val="left"/>
            </w:pPr>
            <w:r>
              <w:t xml:space="preserve">2015–2019</w:t>
            </w:r>
          </w:p>
        </w:tc>
        <w:tc>
          <w:tcPr/>
          <w:p>
            <w:pPr>
              <w:pStyle w:val="Compact"/>
              <w:jc w:val="left"/>
            </w:pPr>
            <w:r>
              <w:t xml:space="preserve">Compromiso del bienestar fetal</w:t>
            </w:r>
          </w:p>
        </w:tc>
        <w:tc>
          <w:tcPr/>
          <w:p>
            <w:pPr>
              <w:pStyle w:val="Compact"/>
              <w:jc w:val="left"/>
            </w:pPr>
            <w:r>
              <w:t xml:space="preserve">2324</w:t>
            </w:r>
          </w:p>
        </w:tc>
        <w:tc>
          <w:tcPr/>
          <w:p>
            <w:pPr>
              <w:pStyle w:val="Compact"/>
              <w:jc w:val="left"/>
            </w:pPr>
            <w:r>
              <w:t xml:space="preserve">286</w:t>
            </w:r>
          </w:p>
        </w:tc>
        <w:tc>
          <w:tcPr/>
          <w:p>
            <w:pPr>
              <w:pStyle w:val="Compact"/>
              <w:jc w:val="left"/>
            </w:pPr>
            <w:r>
              <w:t xml:space="preserve">0,45 (0,20–0,83)</w:t>
            </w:r>
          </w:p>
        </w:tc>
        <w:tc>
          <w:tcPr/>
          <w:p>
            <w:pPr>
              <w:pStyle w:val="Compact"/>
              <w:jc w:val="left"/>
            </w:pPr>
            <w:r>
              <w:t xml:space="preserve">-0,07 (-0,10 a -0,02)</w:t>
            </w:r>
          </w:p>
        </w:tc>
        <w:tc>
          <w:tcPr/>
          <w:p>
            <w:pPr>
              <w:pStyle w:val="Compact"/>
              <w:jc w:val="left"/>
            </w:pPr>
            <w:r>
              <w:t xml:space="preserve">99,6 %</w:t>
            </w:r>
          </w:p>
        </w:tc>
        <w:tc>
          <w:tcPr/>
          <w:p>
            <w:pPr>
              <w:pStyle w:val="Compact"/>
              <w:jc w:val="left"/>
            </w:pPr>
            <w:r>
              <w:t xml:space="preserve">1,0007</w:t>
            </w:r>
          </w:p>
        </w:tc>
        <w:tc>
          <w:tcPr/>
          <w:p>
            <w:pPr>
              <w:pStyle w:val="Compact"/>
              <w:jc w:val="left"/>
            </w:pPr>
            <w:r>
              <w:t xml:space="preserve">4382</w:t>
            </w:r>
          </w:p>
        </w:tc>
        <w:tc>
          <w:tcPr/>
          <w:p>
            <w:pPr>
              <w:pStyle w:val="Compact"/>
              <w:jc w:val="left"/>
            </w:pPr>
            <w:r>
              <w:t xml:space="preserve">4764</w:t>
            </w:r>
          </w:p>
        </w:tc>
        <w:tc>
          <w:tcPr/>
          <w:p>
            <w:pPr>
              <w:pStyle w:val="Compact"/>
              <w:jc w:val="left"/>
            </w:pPr>
            <w:r>
              <w:t xml:space="preserve">0,953</w:t>
            </w:r>
          </w:p>
        </w:tc>
        <w:tc>
          <w:tcPr/>
          <w:p>
            <w:pPr>
              <w:pStyle w:val="Compact"/>
              <w:jc w:val="left"/>
            </w:pPr>
            <w:r>
              <w:t xml:space="preserve">0</w:t>
            </w:r>
          </w:p>
        </w:tc>
      </w:tr>
      <w:tr>
        <w:tc>
          <w:tcPr/>
          <w:p>
            <w:pPr>
              <w:pStyle w:val="Compact"/>
              <w:jc w:val="left"/>
            </w:pPr>
            <w:r>
              <w:t xml:space="preserve">2015–2019</w:t>
            </w:r>
          </w:p>
        </w:tc>
        <w:tc>
          <w:tcPr/>
          <w:p>
            <w:pPr>
              <w:pStyle w:val="Compact"/>
              <w:jc w:val="left"/>
            </w:pPr>
            <w:r>
              <w:t xml:space="preserve">Trastorno hipertensivo del embarazo</w:t>
            </w:r>
          </w:p>
        </w:tc>
        <w:tc>
          <w:tcPr/>
          <w:p>
            <w:pPr>
              <w:pStyle w:val="Compact"/>
              <w:jc w:val="left"/>
            </w:pPr>
            <w:r>
              <w:t xml:space="preserve">2288</w:t>
            </w:r>
          </w:p>
        </w:tc>
        <w:tc>
          <w:tcPr/>
          <w:p>
            <w:pPr>
              <w:pStyle w:val="Compact"/>
              <w:jc w:val="left"/>
            </w:pPr>
            <w:r>
              <w:t xml:space="preserve">429</w:t>
            </w:r>
          </w:p>
        </w:tc>
        <w:tc>
          <w:tcPr/>
          <w:p>
            <w:pPr>
              <w:pStyle w:val="Compact"/>
              <w:jc w:val="left"/>
            </w:pPr>
            <w:r>
              <w:t xml:space="preserve">1,03 (0,69–1,44)</w:t>
            </w:r>
          </w:p>
        </w:tc>
        <w:tc>
          <w:tcPr/>
          <w:p>
            <w:pPr>
              <w:pStyle w:val="Compact"/>
              <w:jc w:val="left"/>
            </w:pPr>
            <w:r>
              <w:t xml:space="preserve">0,01 (-0,06–0,08)</w:t>
            </w:r>
          </w:p>
        </w:tc>
        <w:tc>
          <w:tcPr/>
          <w:p>
            <w:pPr>
              <w:pStyle w:val="Compact"/>
              <w:jc w:val="left"/>
            </w:pPr>
            <w:r>
              <w:t xml:space="preserve">56,9 %</w:t>
            </w:r>
          </w:p>
        </w:tc>
        <w:tc>
          <w:tcPr/>
          <w:p>
            <w:pPr>
              <w:pStyle w:val="Compact"/>
              <w:jc w:val="left"/>
            </w:pPr>
            <w:r>
              <w:t xml:space="preserve">1,0007</w:t>
            </w:r>
          </w:p>
        </w:tc>
        <w:tc>
          <w:tcPr/>
          <w:p>
            <w:pPr>
              <w:pStyle w:val="Compact"/>
              <w:jc w:val="left"/>
            </w:pPr>
            <w:r>
              <w:t xml:space="preserve">4017</w:t>
            </w:r>
          </w:p>
        </w:tc>
        <w:tc>
          <w:tcPr/>
          <w:p>
            <w:pPr>
              <w:pStyle w:val="Compact"/>
              <w:jc w:val="left"/>
            </w:pPr>
            <w:r>
              <w:t xml:space="preserve">5494</w:t>
            </w:r>
          </w:p>
        </w:tc>
        <w:tc>
          <w:tcPr/>
          <w:p>
            <w:pPr>
              <w:pStyle w:val="Compact"/>
              <w:jc w:val="left"/>
            </w:pPr>
            <w:r>
              <w:t xml:space="preserve">0,997</w:t>
            </w:r>
          </w:p>
        </w:tc>
        <w:tc>
          <w:tcPr/>
          <w:p>
            <w:pPr>
              <w:pStyle w:val="Compact"/>
              <w:jc w:val="left"/>
            </w:pPr>
            <w:r>
              <w:t xml:space="preserve">0</w:t>
            </w:r>
          </w:p>
        </w:tc>
      </w:tr>
      <w:tr>
        <w:tc>
          <w:tcPr/>
          <w:p>
            <w:pPr>
              <w:pStyle w:val="Compact"/>
              <w:jc w:val="left"/>
            </w:pPr>
            <w:r>
              <w:t xml:space="preserve">2015–2019</w:t>
            </w:r>
          </w:p>
        </w:tc>
        <w:tc>
          <w:tcPr/>
          <w:p>
            <w:pPr>
              <w:pStyle w:val="Compact"/>
              <w:jc w:val="left"/>
            </w:pPr>
            <w:r>
              <w:t xml:space="preserve">Parto vía vaginal</w:t>
            </w:r>
          </w:p>
        </w:tc>
        <w:tc>
          <w:tcPr/>
          <w:p>
            <w:pPr>
              <w:pStyle w:val="Compact"/>
              <w:jc w:val="left"/>
            </w:pPr>
            <w:r>
              <w:t xml:space="preserve">2322</w:t>
            </w:r>
          </w:p>
        </w:tc>
        <w:tc>
          <w:tcPr/>
          <w:p>
            <w:pPr>
              <w:pStyle w:val="Compact"/>
              <w:jc w:val="left"/>
            </w:pPr>
            <w:r>
              <w:t xml:space="preserve">1319</w:t>
            </w:r>
          </w:p>
        </w:tc>
        <w:tc>
          <w:tcPr/>
          <w:p>
            <w:pPr>
              <w:pStyle w:val="Compact"/>
              <w:jc w:val="left"/>
            </w:pPr>
            <w:r>
              <w:t xml:space="preserve">1,07 (0,91–1,22)</w:t>
            </w:r>
          </w:p>
        </w:tc>
        <w:tc>
          <w:tcPr/>
          <w:p>
            <w:pPr>
              <w:pStyle w:val="Compact"/>
              <w:jc w:val="left"/>
            </w:pPr>
            <w:r>
              <w:t xml:space="preserve">0,04 (-0,05–0,12)</w:t>
            </w:r>
          </w:p>
        </w:tc>
        <w:tc>
          <w:tcPr/>
          <w:p>
            <w:pPr>
              <w:pStyle w:val="Compact"/>
              <w:jc w:val="left"/>
            </w:pPr>
            <w:r>
              <w:t xml:space="preserve">80,0 %</w:t>
            </w:r>
          </w:p>
        </w:tc>
        <w:tc>
          <w:tcPr/>
          <w:p>
            <w:pPr>
              <w:pStyle w:val="Compact"/>
              <w:jc w:val="left"/>
            </w:pPr>
            <w:r>
              <w:t xml:space="preserve">1,0007</w:t>
            </w:r>
          </w:p>
        </w:tc>
        <w:tc>
          <w:tcPr/>
          <w:p>
            <w:pPr>
              <w:pStyle w:val="Compact"/>
              <w:jc w:val="left"/>
            </w:pPr>
            <w:r>
              <w:t xml:space="preserve">3650</w:t>
            </w:r>
          </w:p>
        </w:tc>
        <w:tc>
          <w:tcPr/>
          <w:p>
            <w:pPr>
              <w:pStyle w:val="Compact"/>
              <w:jc w:val="left"/>
            </w:pPr>
            <w:r>
              <w:t xml:space="preserve">5277</w:t>
            </w:r>
          </w:p>
        </w:tc>
        <w:tc>
          <w:tcPr/>
          <w:p>
            <w:pPr>
              <w:pStyle w:val="Compact"/>
              <w:jc w:val="left"/>
            </w:pPr>
            <w:r>
              <w:t xml:space="preserve">0,958</w:t>
            </w:r>
          </w:p>
        </w:tc>
        <w:tc>
          <w:tcPr/>
          <w:p>
            <w:pPr>
              <w:pStyle w:val="Compact"/>
              <w:jc w:val="left"/>
            </w:pPr>
            <w:r>
              <w:t xml:space="preserve">0</w:t>
            </w:r>
          </w:p>
        </w:tc>
      </w:tr>
      <w:tr>
        <w:tc>
          <w:tcPr/>
          <w:p>
            <w:pPr>
              <w:pStyle w:val="Compact"/>
              <w:jc w:val="left"/>
            </w:pPr>
            <w:r>
              <w:t xml:space="preserve">2015–2019</w:t>
            </w:r>
          </w:p>
        </w:tc>
        <w:tc>
          <w:tcPr/>
          <w:p>
            <w:pPr>
              <w:pStyle w:val="Compact"/>
              <w:jc w:val="left"/>
            </w:pPr>
            <w:r>
              <w:t xml:space="preserve">Rezago escolar</w:t>
            </w:r>
          </w:p>
        </w:tc>
        <w:tc>
          <w:tcPr/>
          <w:p>
            <w:pPr>
              <w:pStyle w:val="Compact"/>
              <w:jc w:val="left"/>
            </w:pPr>
            <w:r>
              <w:t xml:space="preserve">2323</w:t>
            </w:r>
          </w:p>
        </w:tc>
        <w:tc>
          <w:tcPr/>
          <w:p>
            <w:pPr>
              <w:pStyle w:val="Compact"/>
              <w:jc w:val="left"/>
            </w:pPr>
            <w:r>
              <w:t xml:space="preserve">323</w:t>
            </w:r>
          </w:p>
        </w:tc>
        <w:tc>
          <w:tcPr/>
          <w:p>
            <w:pPr>
              <w:pStyle w:val="Compact"/>
              <w:jc w:val="left"/>
            </w:pPr>
            <w:r>
              <w:t xml:space="preserve">3,39 (2,65–4,23)</w:t>
            </w:r>
          </w:p>
        </w:tc>
        <w:tc>
          <w:tcPr/>
          <w:p>
            <w:pPr>
              <w:pStyle w:val="Compact"/>
              <w:jc w:val="left"/>
            </w:pPr>
            <w:r>
              <w:t xml:space="preserve">0,29 (0,21–0,38)</w:t>
            </w:r>
          </w:p>
        </w:tc>
        <w:tc>
          <w:tcPr/>
          <w:p>
            <w:pPr>
              <w:pStyle w:val="Compact"/>
              <w:jc w:val="left"/>
            </w:pPr>
            <w:r>
              <w:t xml:space="preserve">&gt;99,9 %</w:t>
            </w:r>
          </w:p>
        </w:tc>
        <w:tc>
          <w:tcPr/>
          <w:p>
            <w:pPr>
              <w:pStyle w:val="Compact"/>
              <w:jc w:val="left"/>
            </w:pPr>
            <w:r>
              <w:t xml:space="preserve">1,0010</w:t>
            </w:r>
          </w:p>
        </w:tc>
        <w:tc>
          <w:tcPr/>
          <w:p>
            <w:pPr>
              <w:pStyle w:val="Compact"/>
              <w:jc w:val="left"/>
            </w:pPr>
            <w:r>
              <w:t xml:space="preserve">4169</w:t>
            </w:r>
          </w:p>
        </w:tc>
        <w:tc>
          <w:tcPr/>
          <w:p>
            <w:pPr>
              <w:pStyle w:val="Compact"/>
              <w:jc w:val="left"/>
            </w:pPr>
            <w:r>
              <w:t xml:space="preserve">4999</w:t>
            </w:r>
          </w:p>
        </w:tc>
        <w:tc>
          <w:tcPr/>
          <w:p>
            <w:pPr>
              <w:pStyle w:val="Compact"/>
              <w:jc w:val="left"/>
            </w:pPr>
            <w:r>
              <w:t xml:space="preserve">0,973</w:t>
            </w:r>
          </w:p>
        </w:tc>
        <w:tc>
          <w:tcPr/>
          <w:p>
            <w:pPr>
              <w:pStyle w:val="Compact"/>
              <w:jc w:val="left"/>
            </w:pPr>
            <w:r>
              <w:t xml:space="preserve">0</w:t>
            </w:r>
          </w:p>
        </w:tc>
      </w:tr>
      <w:tr>
        <w:tc>
          <w:tcPr/>
          <w:p>
            <w:pPr>
              <w:pStyle w:val="Compact"/>
              <w:jc w:val="left"/>
            </w:pPr>
            <w:r>
              <w:t xml:space="preserve">2015–2019</w:t>
            </w:r>
          </w:p>
        </w:tc>
        <w:tc>
          <w:tcPr/>
          <w:p>
            <w:pPr>
              <w:pStyle w:val="Compact"/>
              <w:jc w:val="left"/>
            </w:pPr>
            <w:r>
              <w:t xml:space="preserve">Control prenatal adecuado: sí/no</w:t>
            </w:r>
          </w:p>
        </w:tc>
        <w:tc>
          <w:tcPr/>
          <w:p>
            <w:pPr>
              <w:pStyle w:val="Compact"/>
              <w:jc w:val="left"/>
            </w:pPr>
            <w:r>
              <w:t xml:space="preserve">2286</w:t>
            </w:r>
          </w:p>
        </w:tc>
        <w:tc>
          <w:tcPr/>
          <w:p>
            <w:pPr>
              <w:pStyle w:val="Compact"/>
              <w:jc w:val="left"/>
            </w:pPr>
            <w:r>
              <w:t xml:space="preserve">1500</w:t>
            </w:r>
          </w:p>
        </w:tc>
        <w:tc>
          <w:tcPr/>
          <w:p>
            <w:pPr>
              <w:pStyle w:val="Compact"/>
              <w:jc w:val="left"/>
            </w:pPr>
            <w:r>
              <w:t xml:space="preserve">0,90 (0,77–1,04)</w:t>
            </w:r>
          </w:p>
        </w:tc>
        <w:tc>
          <w:tcPr/>
          <w:p>
            <w:pPr>
              <w:pStyle w:val="Compact"/>
              <w:jc w:val="left"/>
            </w:pPr>
            <w:r>
              <w:t xml:space="preserve">-0,06 (-0,16–0,02)</w:t>
            </w:r>
          </w:p>
        </w:tc>
        <w:tc>
          <w:tcPr/>
          <w:p>
            <w:pPr>
              <w:pStyle w:val="Compact"/>
              <w:jc w:val="left"/>
            </w:pPr>
            <w:r>
              <w:t xml:space="preserve">91,9 %</w:t>
            </w:r>
          </w:p>
        </w:tc>
        <w:tc>
          <w:tcPr/>
          <w:p>
            <w:pPr>
              <w:pStyle w:val="Compact"/>
              <w:jc w:val="left"/>
            </w:pPr>
            <w:r>
              <w:t xml:space="preserve">1,0014</w:t>
            </w:r>
          </w:p>
        </w:tc>
        <w:tc>
          <w:tcPr/>
          <w:p>
            <w:pPr>
              <w:pStyle w:val="Compact"/>
              <w:jc w:val="left"/>
            </w:pPr>
            <w:r>
              <w:t xml:space="preserve">4088</w:t>
            </w:r>
          </w:p>
        </w:tc>
        <w:tc>
          <w:tcPr/>
          <w:p>
            <w:pPr>
              <w:pStyle w:val="Compact"/>
              <w:jc w:val="left"/>
            </w:pPr>
            <w:r>
              <w:t xml:space="preserve">4629</w:t>
            </w:r>
          </w:p>
        </w:tc>
        <w:tc>
          <w:tcPr/>
          <w:p>
            <w:pPr>
              <w:pStyle w:val="Compact"/>
              <w:jc w:val="left"/>
            </w:pPr>
            <w:r>
              <w:t xml:space="preserve">0,940</w:t>
            </w:r>
          </w:p>
        </w:tc>
        <w:tc>
          <w:tcPr/>
          <w:p>
            <w:pPr>
              <w:pStyle w:val="Compact"/>
              <w:jc w:val="left"/>
            </w:pPr>
            <w:r>
              <w:t xml:space="preserve">0</w:t>
            </w:r>
          </w:p>
        </w:tc>
      </w:tr>
      <w:tr>
        <w:tc>
          <w:tcPr/>
          <w:p>
            <w:pPr>
              <w:pStyle w:val="Compact"/>
              <w:jc w:val="left"/>
            </w:pPr>
            <w:r>
              <w:t xml:space="preserve">2020–junio 2024</w:t>
            </w:r>
          </w:p>
        </w:tc>
        <w:tc>
          <w:tcPr/>
          <w:p>
            <w:pPr>
              <w:pStyle w:val="Compact"/>
              <w:jc w:val="left"/>
            </w:pPr>
            <w:r>
              <w:t xml:space="preserve">Pareja estable</w:t>
            </w:r>
          </w:p>
        </w:tc>
        <w:tc>
          <w:tcPr/>
          <w:p>
            <w:pPr>
              <w:pStyle w:val="Compact"/>
              <w:jc w:val="left"/>
            </w:pPr>
            <w:r>
              <w:t xml:space="preserve">1080</w:t>
            </w:r>
          </w:p>
        </w:tc>
        <w:tc>
          <w:tcPr/>
          <w:p>
            <w:pPr>
              <w:pStyle w:val="Compact"/>
              <w:jc w:val="left"/>
            </w:pPr>
            <w:r>
              <w:t xml:space="preserve">627</w:t>
            </w:r>
          </w:p>
        </w:tc>
        <w:tc>
          <w:tcPr/>
          <w:p>
            <w:pPr>
              <w:pStyle w:val="Compact"/>
              <w:jc w:val="left"/>
            </w:pPr>
            <w:r>
              <w:t xml:space="preserve">1,10 (0,93–1,27)</w:t>
            </w:r>
          </w:p>
        </w:tc>
        <w:tc>
          <w:tcPr/>
          <w:p>
            <w:pPr>
              <w:pStyle w:val="Compact"/>
              <w:jc w:val="left"/>
            </w:pPr>
            <w:r>
              <w:t xml:space="preserve">0,06 (-0,04–0,15)</w:t>
            </w:r>
          </w:p>
        </w:tc>
        <w:tc>
          <w:tcPr/>
          <w:p>
            <w:pPr>
              <w:pStyle w:val="Compact"/>
              <w:jc w:val="left"/>
            </w:pPr>
            <w:r>
              <w:t xml:space="preserve">88,0 %</w:t>
            </w:r>
          </w:p>
        </w:tc>
        <w:tc>
          <w:tcPr/>
          <w:p>
            <w:pPr>
              <w:pStyle w:val="Compact"/>
              <w:jc w:val="left"/>
            </w:pPr>
            <w:r>
              <w:t xml:space="preserve">1,0019</w:t>
            </w:r>
          </w:p>
        </w:tc>
        <w:tc>
          <w:tcPr/>
          <w:p>
            <w:pPr>
              <w:pStyle w:val="Compact"/>
              <w:jc w:val="left"/>
            </w:pPr>
            <w:r>
              <w:t xml:space="preserve">3879</w:t>
            </w:r>
          </w:p>
        </w:tc>
        <w:tc>
          <w:tcPr/>
          <w:p>
            <w:pPr>
              <w:pStyle w:val="Compact"/>
              <w:jc w:val="left"/>
            </w:pPr>
            <w:r>
              <w:t xml:space="preserve">4871</w:t>
            </w:r>
          </w:p>
        </w:tc>
        <w:tc>
          <w:tcPr/>
          <w:p>
            <w:pPr>
              <w:pStyle w:val="Compact"/>
              <w:jc w:val="left"/>
            </w:pPr>
            <w:r>
              <w:t xml:space="preserve">0,977</w:t>
            </w:r>
          </w:p>
        </w:tc>
        <w:tc>
          <w:tcPr/>
          <w:p>
            <w:pPr>
              <w:pStyle w:val="Compact"/>
              <w:jc w:val="left"/>
            </w:pPr>
            <w:r>
              <w:t xml:space="preserve">0</w:t>
            </w:r>
          </w:p>
        </w:tc>
      </w:tr>
      <w:tr>
        <w:tc>
          <w:tcPr/>
          <w:p>
            <w:pPr>
              <w:pStyle w:val="Compact"/>
              <w:jc w:val="left"/>
            </w:pPr>
            <w:r>
              <w:t xml:space="preserve">2020–junio 2024</w:t>
            </w:r>
          </w:p>
        </w:tc>
        <w:tc>
          <w:tcPr/>
          <w:p>
            <w:pPr>
              <w:pStyle w:val="Compact"/>
              <w:jc w:val="left"/>
            </w:pPr>
            <w:r>
              <w:t xml:space="preserve">Ninguna escolaridad o educación primaria</w:t>
            </w:r>
          </w:p>
        </w:tc>
        <w:tc>
          <w:tcPr/>
          <w:p>
            <w:pPr>
              <w:pStyle w:val="Compact"/>
              <w:jc w:val="left"/>
            </w:pPr>
            <w:r>
              <w:t xml:space="preserve">1080</w:t>
            </w:r>
          </w:p>
        </w:tc>
        <w:tc>
          <w:tcPr/>
          <w:p>
            <w:pPr>
              <w:pStyle w:val="Compact"/>
              <w:jc w:val="left"/>
            </w:pPr>
            <w:r>
              <w:t xml:space="preserve">236</w:t>
            </w:r>
          </w:p>
        </w:tc>
        <w:tc>
          <w:tcPr/>
          <w:p>
            <w:pPr>
              <w:pStyle w:val="Compact"/>
              <w:jc w:val="left"/>
            </w:pPr>
            <w:r>
              <w:t xml:space="preserve">4,96 (4,13–5,92)</w:t>
            </w:r>
          </w:p>
        </w:tc>
        <w:tc>
          <w:tcPr/>
          <w:p>
            <w:pPr>
              <w:pStyle w:val="Compact"/>
              <w:jc w:val="left"/>
            </w:pPr>
            <w:r>
              <w:t xml:space="preserve">0,62 (0,54–0,70)</w:t>
            </w:r>
          </w:p>
        </w:tc>
        <w:tc>
          <w:tcPr/>
          <w:p>
            <w:pPr>
              <w:pStyle w:val="Compact"/>
              <w:jc w:val="left"/>
            </w:pPr>
            <w:r>
              <w:t xml:space="preserve">&gt;99,9 %</w:t>
            </w:r>
          </w:p>
        </w:tc>
        <w:tc>
          <w:tcPr/>
          <w:p>
            <w:pPr>
              <w:pStyle w:val="Compact"/>
              <w:jc w:val="left"/>
            </w:pPr>
            <w:r>
              <w:t xml:space="preserve">1,0010</w:t>
            </w:r>
          </w:p>
        </w:tc>
        <w:tc>
          <w:tcPr/>
          <w:p>
            <w:pPr>
              <w:pStyle w:val="Compact"/>
              <w:jc w:val="left"/>
            </w:pPr>
            <w:r>
              <w:t xml:space="preserve">3966</w:t>
            </w:r>
          </w:p>
        </w:tc>
        <w:tc>
          <w:tcPr/>
          <w:p>
            <w:pPr>
              <w:pStyle w:val="Compact"/>
              <w:jc w:val="left"/>
            </w:pPr>
            <w:r>
              <w:t xml:space="preserve">4625</w:t>
            </w:r>
          </w:p>
        </w:tc>
        <w:tc>
          <w:tcPr/>
          <w:p>
            <w:pPr>
              <w:pStyle w:val="Compact"/>
              <w:jc w:val="left"/>
            </w:pPr>
            <w:r>
              <w:t xml:space="preserve">0,919</w:t>
            </w:r>
          </w:p>
        </w:tc>
        <w:tc>
          <w:tcPr/>
          <w:p>
            <w:pPr>
              <w:pStyle w:val="Compact"/>
              <w:jc w:val="left"/>
            </w:pPr>
            <w:r>
              <w:t xml:space="preserve">0</w:t>
            </w:r>
          </w:p>
        </w:tc>
      </w:tr>
      <w:tr>
        <w:tc>
          <w:tcPr/>
          <w:p>
            <w:pPr>
              <w:pStyle w:val="Compact"/>
              <w:jc w:val="left"/>
            </w:pPr>
            <w:r>
              <w:t xml:space="preserve">2020–junio 2024</w:t>
            </w:r>
          </w:p>
        </w:tc>
        <w:tc>
          <w:tcPr/>
          <w:p>
            <w:pPr>
              <w:pStyle w:val="Compact"/>
              <w:jc w:val="left"/>
            </w:pPr>
            <w:r>
              <w:t xml:space="preserve">Etnia minoritaria</w:t>
            </w:r>
          </w:p>
        </w:tc>
        <w:tc>
          <w:tcPr/>
          <w:p>
            <w:pPr>
              <w:pStyle w:val="Compact"/>
              <w:jc w:val="left"/>
            </w:pPr>
            <w:r>
              <w:t xml:space="preserve">1080</w:t>
            </w:r>
          </w:p>
        </w:tc>
        <w:tc>
          <w:tcPr/>
          <w:p>
            <w:pPr>
              <w:pStyle w:val="Compact"/>
              <w:jc w:val="left"/>
            </w:pPr>
            <w:r>
              <w:t xml:space="preserve">99</w:t>
            </w:r>
          </w:p>
        </w:tc>
        <w:tc>
          <w:tcPr/>
          <w:p>
            <w:pPr>
              <w:pStyle w:val="Compact"/>
              <w:jc w:val="left"/>
            </w:pPr>
            <w:r>
              <w:t xml:space="preserve">1,01 (0,52–1,77)</w:t>
            </w:r>
          </w:p>
        </w:tc>
        <w:tc>
          <w:tcPr/>
          <w:p>
            <w:pPr>
              <w:pStyle w:val="Compact"/>
              <w:jc w:val="left"/>
            </w:pPr>
            <w:r>
              <w:t xml:space="preserve">0,00 (-0,05–0,07)</w:t>
            </w:r>
          </w:p>
        </w:tc>
        <w:tc>
          <w:tcPr/>
          <w:p>
            <w:pPr>
              <w:pStyle w:val="Compact"/>
              <w:jc w:val="left"/>
            </w:pPr>
            <w:r>
              <w:t xml:space="preserve">50,7 %</w:t>
            </w:r>
          </w:p>
        </w:tc>
        <w:tc>
          <w:tcPr/>
          <w:p>
            <w:pPr>
              <w:pStyle w:val="Compact"/>
              <w:jc w:val="left"/>
            </w:pPr>
            <w:r>
              <w:t xml:space="preserve">1,0008</w:t>
            </w:r>
          </w:p>
        </w:tc>
        <w:tc>
          <w:tcPr/>
          <w:p>
            <w:pPr>
              <w:pStyle w:val="Compact"/>
              <w:jc w:val="left"/>
            </w:pPr>
            <w:r>
              <w:t xml:space="preserve">3981</w:t>
            </w:r>
          </w:p>
        </w:tc>
        <w:tc>
          <w:tcPr/>
          <w:p>
            <w:pPr>
              <w:pStyle w:val="Compact"/>
              <w:jc w:val="left"/>
            </w:pPr>
            <w:r>
              <w:t xml:space="preserve">4593</w:t>
            </w:r>
          </w:p>
        </w:tc>
        <w:tc>
          <w:tcPr/>
          <w:p>
            <w:pPr>
              <w:pStyle w:val="Compact"/>
              <w:jc w:val="left"/>
            </w:pPr>
            <w:r>
              <w:t xml:space="preserve">0,996</w:t>
            </w:r>
          </w:p>
        </w:tc>
        <w:tc>
          <w:tcPr/>
          <w:p>
            <w:pPr>
              <w:pStyle w:val="Compact"/>
              <w:jc w:val="left"/>
            </w:pPr>
            <w:r>
              <w:t xml:space="preserve">0</w:t>
            </w:r>
          </w:p>
        </w:tc>
      </w:tr>
      <w:tr>
        <w:tc>
          <w:tcPr/>
          <w:p>
            <w:pPr>
              <w:pStyle w:val="Compact"/>
              <w:jc w:val="left"/>
            </w:pPr>
            <w:r>
              <w:t xml:space="preserve">2020–junio 2024</w:t>
            </w:r>
          </w:p>
        </w:tc>
        <w:tc>
          <w:tcPr/>
          <w:p>
            <w:pPr>
              <w:pStyle w:val="Compact"/>
              <w:jc w:val="left"/>
            </w:pPr>
            <w:r>
              <w:t xml:space="preserve">Gestas previas</w:t>
            </w:r>
          </w:p>
        </w:tc>
        <w:tc>
          <w:tcPr/>
          <w:p>
            <w:pPr>
              <w:pStyle w:val="Compact"/>
              <w:jc w:val="left"/>
            </w:pPr>
            <w:r>
              <w:t xml:space="preserve">1080</w:t>
            </w:r>
          </w:p>
        </w:tc>
        <w:tc>
          <w:tcPr/>
          <w:p>
            <w:pPr>
              <w:pStyle w:val="Compact"/>
              <w:jc w:val="left"/>
            </w:pPr>
            <w:r>
              <w:t xml:space="preserve">161</w:t>
            </w:r>
          </w:p>
        </w:tc>
        <w:tc>
          <w:tcPr/>
          <w:p>
            <w:pPr>
              <w:pStyle w:val="Compact"/>
              <w:jc w:val="left"/>
            </w:pPr>
            <w:r>
              <w:t xml:space="preserve">0,15 (0,04–0,39)</w:t>
            </w:r>
          </w:p>
        </w:tc>
        <w:tc>
          <w:tcPr/>
          <w:p>
            <w:pPr>
              <w:pStyle w:val="Compact"/>
              <w:jc w:val="left"/>
            </w:pPr>
            <w:r>
              <w:t xml:space="preserve">-0,14 (-0,17 a -0,10)</w:t>
            </w:r>
          </w:p>
        </w:tc>
        <w:tc>
          <w:tcPr/>
          <w:p>
            <w:pPr>
              <w:pStyle w:val="Compact"/>
              <w:jc w:val="left"/>
            </w:pPr>
            <w:r>
              <w:t xml:space="preserve">&gt;99,9 %</w:t>
            </w:r>
          </w:p>
        </w:tc>
        <w:tc>
          <w:tcPr/>
          <w:p>
            <w:pPr>
              <w:pStyle w:val="Compact"/>
              <w:jc w:val="left"/>
            </w:pPr>
            <w:r>
              <w:t xml:space="preserve">1,0012</w:t>
            </w:r>
          </w:p>
        </w:tc>
        <w:tc>
          <w:tcPr/>
          <w:p>
            <w:pPr>
              <w:pStyle w:val="Compact"/>
              <w:jc w:val="left"/>
            </w:pPr>
            <w:r>
              <w:t xml:space="preserve">4347</w:t>
            </w:r>
          </w:p>
        </w:tc>
        <w:tc>
          <w:tcPr/>
          <w:p>
            <w:pPr>
              <w:pStyle w:val="Compact"/>
              <w:jc w:val="left"/>
            </w:pPr>
            <w:r>
              <w:t xml:space="preserve">4716</w:t>
            </w:r>
          </w:p>
        </w:tc>
        <w:tc>
          <w:tcPr/>
          <w:p>
            <w:pPr>
              <w:pStyle w:val="Compact"/>
              <w:jc w:val="left"/>
            </w:pPr>
            <w:r>
              <w:t xml:space="preserve">0,997</w:t>
            </w:r>
          </w:p>
        </w:tc>
        <w:tc>
          <w:tcPr/>
          <w:p>
            <w:pPr>
              <w:pStyle w:val="Compact"/>
              <w:jc w:val="left"/>
            </w:pPr>
            <w:r>
              <w:t xml:space="preserve">0</w:t>
            </w:r>
          </w:p>
        </w:tc>
      </w:tr>
      <w:tr>
        <w:tc>
          <w:tcPr/>
          <w:p>
            <w:pPr>
              <w:pStyle w:val="Compact"/>
              <w:jc w:val="left"/>
            </w:pPr>
            <w:r>
              <w:t xml:space="preserve">2020–junio 2024</w:t>
            </w:r>
          </w:p>
        </w:tc>
        <w:tc>
          <w:tcPr/>
          <w:p>
            <w:pPr>
              <w:pStyle w:val="Compact"/>
              <w:jc w:val="left"/>
            </w:pPr>
            <w:r>
              <w:t xml:space="preserve">Embarazo múltiple</w:t>
            </w:r>
          </w:p>
        </w:tc>
        <w:tc>
          <w:tcPr/>
          <w:p>
            <w:pPr>
              <w:pStyle w:val="Compact"/>
              <w:jc w:val="left"/>
            </w:pPr>
            <w:r>
              <w:t xml:space="preserve">1080</w:t>
            </w:r>
          </w:p>
        </w:tc>
        <w:tc>
          <w:tcPr/>
          <w:p>
            <w:pPr>
              <w:pStyle w:val="Compact"/>
              <w:jc w:val="left"/>
            </w:pPr>
            <w:r>
              <w:t xml:space="preserve">43</w:t>
            </w:r>
          </w:p>
        </w:tc>
        <w:tc>
          <w:tcPr/>
          <w:p>
            <w:pPr>
              <w:pStyle w:val="Compact"/>
              <w:jc w:val="left"/>
            </w:pPr>
            <w:r>
              <w:t xml:space="preserve">0,30 (0,05–1,01)</w:t>
            </w:r>
          </w:p>
        </w:tc>
        <w:tc>
          <w:tcPr/>
          <w:p>
            <w:pPr>
              <w:pStyle w:val="Compact"/>
              <w:jc w:val="left"/>
            </w:pPr>
            <w:r>
              <w:t xml:space="preserve">-0,03 (-0,05–0,00)</w:t>
            </w:r>
          </w:p>
        </w:tc>
        <w:tc>
          <w:tcPr/>
          <w:p>
            <w:pPr>
              <w:pStyle w:val="Compact"/>
              <w:jc w:val="left"/>
            </w:pPr>
            <w:r>
              <w:t xml:space="preserve">97,4 %</w:t>
            </w:r>
          </w:p>
        </w:tc>
        <w:tc>
          <w:tcPr/>
          <w:p>
            <w:pPr>
              <w:pStyle w:val="Compact"/>
              <w:jc w:val="left"/>
            </w:pPr>
            <w:r>
              <w:t xml:space="preserve">1,0012</w:t>
            </w:r>
          </w:p>
        </w:tc>
        <w:tc>
          <w:tcPr/>
          <w:p>
            <w:pPr>
              <w:pStyle w:val="Compact"/>
              <w:jc w:val="left"/>
            </w:pPr>
            <w:r>
              <w:t xml:space="preserve">4307</w:t>
            </w:r>
          </w:p>
        </w:tc>
        <w:tc>
          <w:tcPr/>
          <w:p>
            <w:pPr>
              <w:pStyle w:val="Compact"/>
              <w:jc w:val="left"/>
            </w:pPr>
            <w:r>
              <w:t xml:space="preserve">4746</w:t>
            </w:r>
          </w:p>
        </w:tc>
        <w:tc>
          <w:tcPr/>
          <w:p>
            <w:pPr>
              <w:pStyle w:val="Compact"/>
              <w:jc w:val="left"/>
            </w:pPr>
            <w:r>
              <w:t xml:space="preserve">0,914</w:t>
            </w:r>
          </w:p>
        </w:tc>
        <w:tc>
          <w:tcPr/>
          <w:p>
            <w:pPr>
              <w:pStyle w:val="Compact"/>
              <w:jc w:val="left"/>
            </w:pPr>
            <w:r>
              <w:t xml:space="preserve">0</w:t>
            </w:r>
          </w:p>
        </w:tc>
      </w:tr>
      <w:tr>
        <w:tc>
          <w:tcPr/>
          <w:p>
            <w:pPr>
              <w:pStyle w:val="Compact"/>
              <w:jc w:val="left"/>
            </w:pPr>
            <w:r>
              <w:t xml:space="preserve">2020–junio 2024</w:t>
            </w:r>
          </w:p>
        </w:tc>
        <w:tc>
          <w:tcPr/>
          <w:p>
            <w:pPr>
              <w:pStyle w:val="Compact"/>
              <w:jc w:val="left"/>
            </w:pPr>
            <w:r>
              <w:t xml:space="preserve">Embarazo planeado</w:t>
            </w:r>
          </w:p>
        </w:tc>
        <w:tc>
          <w:tcPr/>
          <w:p>
            <w:pPr>
              <w:pStyle w:val="Compact"/>
              <w:jc w:val="left"/>
            </w:pPr>
            <w:r>
              <w:t xml:space="preserve">1080</w:t>
            </w:r>
          </w:p>
        </w:tc>
        <w:tc>
          <w:tcPr/>
          <w:p>
            <w:pPr>
              <w:pStyle w:val="Compact"/>
              <w:jc w:val="left"/>
            </w:pPr>
            <w:r>
              <w:t xml:space="preserve">152</w:t>
            </w:r>
          </w:p>
        </w:tc>
        <w:tc>
          <w:tcPr/>
          <w:p>
            <w:pPr>
              <w:pStyle w:val="Compact"/>
              <w:jc w:val="left"/>
            </w:pPr>
            <w:r>
              <w:t xml:space="preserve">0,71 (0,38–1,19)</w:t>
            </w:r>
          </w:p>
        </w:tc>
        <w:tc>
          <w:tcPr/>
          <w:p>
            <w:pPr>
              <w:pStyle w:val="Compact"/>
              <w:jc w:val="left"/>
            </w:pPr>
            <w:r>
              <w:t xml:space="preserve">-0,04 (-0,09–0,03)</w:t>
            </w:r>
          </w:p>
        </w:tc>
        <w:tc>
          <w:tcPr/>
          <w:p>
            <w:pPr>
              <w:pStyle w:val="Compact"/>
              <w:jc w:val="left"/>
            </w:pPr>
            <w:r>
              <w:t xml:space="preserve">89,0 %</w:t>
            </w:r>
          </w:p>
        </w:tc>
        <w:tc>
          <w:tcPr/>
          <w:p>
            <w:pPr>
              <w:pStyle w:val="Compact"/>
              <w:jc w:val="left"/>
            </w:pPr>
            <w:r>
              <w:t xml:space="preserve">1,0006</w:t>
            </w:r>
          </w:p>
        </w:tc>
        <w:tc>
          <w:tcPr/>
          <w:p>
            <w:pPr>
              <w:pStyle w:val="Compact"/>
              <w:jc w:val="left"/>
            </w:pPr>
            <w:r>
              <w:t xml:space="preserve">4316</w:t>
            </w:r>
          </w:p>
        </w:tc>
        <w:tc>
          <w:tcPr/>
          <w:p>
            <w:pPr>
              <w:pStyle w:val="Compact"/>
              <w:jc w:val="left"/>
            </w:pPr>
            <w:r>
              <w:t xml:space="preserve">5528</w:t>
            </w:r>
          </w:p>
        </w:tc>
        <w:tc>
          <w:tcPr/>
          <w:p>
            <w:pPr>
              <w:pStyle w:val="Compact"/>
              <w:jc w:val="left"/>
            </w:pPr>
            <w:r>
              <w:t xml:space="preserve">0,935</w:t>
            </w:r>
          </w:p>
        </w:tc>
        <w:tc>
          <w:tcPr/>
          <w:p>
            <w:pPr>
              <w:pStyle w:val="Compact"/>
              <w:jc w:val="left"/>
            </w:pPr>
            <w:r>
              <w:t xml:space="preserve">0</w:t>
            </w:r>
          </w:p>
        </w:tc>
      </w:tr>
      <w:tr>
        <w:tc>
          <w:tcPr/>
          <w:p>
            <w:pPr>
              <w:pStyle w:val="Compact"/>
              <w:jc w:val="left"/>
            </w:pPr>
            <w:r>
              <w:t xml:space="preserve">2020–junio 2024</w:t>
            </w:r>
          </w:p>
        </w:tc>
        <w:tc>
          <w:tcPr/>
          <w:p>
            <w:pPr>
              <w:pStyle w:val="Compact"/>
              <w:jc w:val="left"/>
            </w:pPr>
            <w:r>
              <w:t xml:space="preserve">Falla de método anticonceptivo</w:t>
            </w:r>
          </w:p>
        </w:tc>
        <w:tc>
          <w:tcPr/>
          <w:p>
            <w:pPr>
              <w:pStyle w:val="Compact"/>
              <w:jc w:val="left"/>
            </w:pPr>
            <w:r>
              <w:t xml:space="preserve">1080</w:t>
            </w:r>
          </w:p>
        </w:tc>
        <w:tc>
          <w:tcPr/>
          <w:p>
            <w:pPr>
              <w:pStyle w:val="Compact"/>
              <w:jc w:val="left"/>
            </w:pPr>
            <w:r>
              <w:t xml:space="preserve">130</w:t>
            </w:r>
          </w:p>
        </w:tc>
        <w:tc>
          <w:tcPr/>
          <w:p>
            <w:pPr>
              <w:pStyle w:val="Compact"/>
              <w:jc w:val="left"/>
            </w:pPr>
            <w:r>
              <w:t xml:space="preserve">0,38 (0,15–0,78)</w:t>
            </w:r>
          </w:p>
        </w:tc>
        <w:tc>
          <w:tcPr/>
          <w:p>
            <w:pPr>
              <w:pStyle w:val="Compact"/>
              <w:jc w:val="left"/>
            </w:pPr>
            <w:r>
              <w:t xml:space="preserve">-0,08 (-0,12 a -0,03)</w:t>
            </w:r>
          </w:p>
        </w:tc>
        <w:tc>
          <w:tcPr/>
          <w:p>
            <w:pPr>
              <w:pStyle w:val="Compact"/>
              <w:jc w:val="left"/>
            </w:pPr>
            <w:r>
              <w:t xml:space="preserve">99,6 %</w:t>
            </w:r>
          </w:p>
        </w:tc>
        <w:tc>
          <w:tcPr/>
          <w:p>
            <w:pPr>
              <w:pStyle w:val="Compact"/>
              <w:jc w:val="left"/>
            </w:pPr>
            <w:r>
              <w:t xml:space="preserve">1,0019</w:t>
            </w:r>
          </w:p>
        </w:tc>
        <w:tc>
          <w:tcPr/>
          <w:p>
            <w:pPr>
              <w:pStyle w:val="Compact"/>
              <w:jc w:val="left"/>
            </w:pPr>
            <w:r>
              <w:t xml:space="preserve">3964</w:t>
            </w:r>
          </w:p>
        </w:tc>
        <w:tc>
          <w:tcPr/>
          <w:p>
            <w:pPr>
              <w:pStyle w:val="Compact"/>
              <w:jc w:val="left"/>
            </w:pPr>
            <w:r>
              <w:t xml:space="preserve">3933</w:t>
            </w:r>
          </w:p>
        </w:tc>
        <w:tc>
          <w:tcPr/>
          <w:p>
            <w:pPr>
              <w:pStyle w:val="Compact"/>
              <w:jc w:val="left"/>
            </w:pPr>
            <w:r>
              <w:t xml:space="preserve">0,958</w:t>
            </w:r>
          </w:p>
        </w:tc>
        <w:tc>
          <w:tcPr/>
          <w:p>
            <w:pPr>
              <w:pStyle w:val="Compact"/>
              <w:jc w:val="left"/>
            </w:pPr>
            <w:r>
              <w:t xml:space="preserve">0</w:t>
            </w:r>
          </w:p>
        </w:tc>
      </w:tr>
      <w:tr>
        <w:tc>
          <w:tcPr/>
          <w:p>
            <w:pPr>
              <w:pStyle w:val="Compact"/>
              <w:jc w:val="left"/>
            </w:pPr>
            <w:r>
              <w:t xml:space="preserve">2020–junio 2024</w:t>
            </w:r>
          </w:p>
        </w:tc>
        <w:tc>
          <w:tcPr/>
          <w:p>
            <w:pPr>
              <w:pStyle w:val="Compact"/>
              <w:jc w:val="left"/>
            </w:pPr>
            <w:r>
              <w:t xml:space="preserve">Infeccion urinaria</w:t>
            </w:r>
          </w:p>
        </w:tc>
        <w:tc>
          <w:tcPr/>
          <w:p>
            <w:pPr>
              <w:pStyle w:val="Compact"/>
              <w:jc w:val="left"/>
            </w:pPr>
            <w:r>
              <w:t xml:space="preserve">1074</w:t>
            </w:r>
          </w:p>
        </w:tc>
        <w:tc>
          <w:tcPr/>
          <w:p>
            <w:pPr>
              <w:pStyle w:val="Compact"/>
              <w:jc w:val="left"/>
            </w:pPr>
            <w:r>
              <w:t xml:space="preserve">311</w:t>
            </w:r>
          </w:p>
        </w:tc>
        <w:tc>
          <w:tcPr/>
          <w:p>
            <w:pPr>
              <w:pStyle w:val="Compact"/>
              <w:jc w:val="left"/>
            </w:pPr>
            <w:r>
              <w:t xml:space="preserve">0,54 (0,35–0,81)</w:t>
            </w:r>
          </w:p>
        </w:tc>
        <w:tc>
          <w:tcPr/>
          <w:p>
            <w:pPr>
              <w:pStyle w:val="Compact"/>
              <w:jc w:val="left"/>
            </w:pPr>
            <w:r>
              <w:t xml:space="preserve">-0,14 (-0,21 a -0,06)</w:t>
            </w:r>
          </w:p>
        </w:tc>
        <w:tc>
          <w:tcPr/>
          <w:p>
            <w:pPr>
              <w:pStyle w:val="Compact"/>
              <w:jc w:val="left"/>
            </w:pPr>
            <w:r>
              <w:t xml:space="preserve">99,95 %</w:t>
            </w:r>
          </w:p>
        </w:tc>
        <w:tc>
          <w:tcPr/>
          <w:p>
            <w:pPr>
              <w:pStyle w:val="Compact"/>
              <w:jc w:val="left"/>
            </w:pPr>
            <w:r>
              <w:t xml:space="preserve">1,0010</w:t>
            </w:r>
          </w:p>
        </w:tc>
        <w:tc>
          <w:tcPr/>
          <w:p>
            <w:pPr>
              <w:pStyle w:val="Compact"/>
              <w:jc w:val="left"/>
            </w:pPr>
            <w:r>
              <w:t xml:space="preserve">4619</w:t>
            </w:r>
          </w:p>
        </w:tc>
        <w:tc>
          <w:tcPr/>
          <w:p>
            <w:pPr>
              <w:pStyle w:val="Compact"/>
              <w:jc w:val="left"/>
            </w:pPr>
            <w:r>
              <w:t xml:space="preserve">5253</w:t>
            </w:r>
          </w:p>
        </w:tc>
        <w:tc>
          <w:tcPr/>
          <w:p>
            <w:pPr>
              <w:pStyle w:val="Compact"/>
              <w:jc w:val="left"/>
            </w:pPr>
            <w:r>
              <w:t xml:space="preserve">1,024</w:t>
            </w:r>
          </w:p>
        </w:tc>
        <w:tc>
          <w:tcPr/>
          <w:p>
            <w:pPr>
              <w:pStyle w:val="Compact"/>
              <w:jc w:val="left"/>
            </w:pPr>
            <w:r>
              <w:t xml:space="preserve">0</w:t>
            </w:r>
          </w:p>
        </w:tc>
      </w:tr>
      <w:tr>
        <w:tc>
          <w:tcPr/>
          <w:p>
            <w:pPr>
              <w:pStyle w:val="Compact"/>
              <w:jc w:val="left"/>
            </w:pPr>
            <w:r>
              <w:t xml:space="preserve">2020–junio 2024</w:t>
            </w:r>
          </w:p>
        </w:tc>
        <w:tc>
          <w:tcPr/>
          <w:p>
            <w:pPr>
              <w:pStyle w:val="Compact"/>
              <w:jc w:val="left"/>
            </w:pPr>
            <w:r>
              <w:t xml:space="preserve">Compromiso del bienestar fetal</w:t>
            </w:r>
          </w:p>
        </w:tc>
        <w:tc>
          <w:tcPr/>
          <w:p>
            <w:pPr>
              <w:pStyle w:val="Compact"/>
              <w:jc w:val="left"/>
            </w:pPr>
            <w:r>
              <w:t xml:space="preserve">1080</w:t>
            </w:r>
          </w:p>
        </w:tc>
        <w:tc>
          <w:tcPr/>
          <w:p>
            <w:pPr>
              <w:pStyle w:val="Compact"/>
              <w:jc w:val="left"/>
            </w:pPr>
            <w:r>
              <w:t xml:space="preserve">120</w:t>
            </w:r>
          </w:p>
        </w:tc>
        <w:tc>
          <w:tcPr/>
          <w:p>
            <w:pPr>
              <w:pStyle w:val="Compact"/>
              <w:jc w:val="left"/>
            </w:pPr>
            <w:r>
              <w:t xml:space="preserve">0,58 (0,26–1,09)</w:t>
            </w:r>
          </w:p>
        </w:tc>
        <w:tc>
          <w:tcPr/>
          <w:p>
            <w:pPr>
              <w:pStyle w:val="Compact"/>
              <w:jc w:val="left"/>
            </w:pPr>
            <w:r>
              <w:t xml:space="preserve">-0,05 (-0,09–0,01)</w:t>
            </w:r>
          </w:p>
        </w:tc>
        <w:tc>
          <w:tcPr/>
          <w:p>
            <w:pPr>
              <w:pStyle w:val="Compact"/>
              <w:jc w:val="left"/>
            </w:pPr>
            <w:r>
              <w:t xml:space="preserve">95,5 %</w:t>
            </w:r>
          </w:p>
        </w:tc>
        <w:tc>
          <w:tcPr/>
          <w:p>
            <w:pPr>
              <w:pStyle w:val="Compact"/>
              <w:jc w:val="left"/>
            </w:pPr>
            <w:r>
              <w:t xml:space="preserve">1,0011</w:t>
            </w:r>
          </w:p>
        </w:tc>
        <w:tc>
          <w:tcPr/>
          <w:p>
            <w:pPr>
              <w:pStyle w:val="Compact"/>
              <w:jc w:val="left"/>
            </w:pPr>
            <w:r>
              <w:t xml:space="preserve">4273</w:t>
            </w:r>
          </w:p>
        </w:tc>
        <w:tc>
          <w:tcPr/>
          <w:p>
            <w:pPr>
              <w:pStyle w:val="Compact"/>
              <w:jc w:val="left"/>
            </w:pPr>
            <w:r>
              <w:t xml:space="preserve">5250</w:t>
            </w:r>
          </w:p>
        </w:tc>
        <w:tc>
          <w:tcPr/>
          <w:p>
            <w:pPr>
              <w:pStyle w:val="Compact"/>
              <w:jc w:val="left"/>
            </w:pPr>
            <w:r>
              <w:t xml:space="preserve">0,991</w:t>
            </w:r>
          </w:p>
        </w:tc>
        <w:tc>
          <w:tcPr/>
          <w:p>
            <w:pPr>
              <w:pStyle w:val="Compact"/>
              <w:jc w:val="left"/>
            </w:pPr>
            <w:r>
              <w:t xml:space="preserve">0</w:t>
            </w:r>
          </w:p>
        </w:tc>
      </w:tr>
      <w:tr>
        <w:tc>
          <w:tcPr/>
          <w:p>
            <w:pPr>
              <w:pStyle w:val="Compact"/>
              <w:jc w:val="left"/>
            </w:pPr>
            <w:r>
              <w:t xml:space="preserve">2020–junio 2024</w:t>
            </w:r>
          </w:p>
        </w:tc>
        <w:tc>
          <w:tcPr/>
          <w:p>
            <w:pPr>
              <w:pStyle w:val="Compact"/>
              <w:jc w:val="left"/>
            </w:pPr>
            <w:r>
              <w:t xml:space="preserve">Trastorno hipertensivo del embarazo</w:t>
            </w:r>
          </w:p>
        </w:tc>
        <w:tc>
          <w:tcPr/>
          <w:p>
            <w:pPr>
              <w:pStyle w:val="Compact"/>
              <w:jc w:val="left"/>
            </w:pPr>
            <w:r>
              <w:t xml:space="preserve">1076</w:t>
            </w:r>
          </w:p>
        </w:tc>
        <w:tc>
          <w:tcPr/>
          <w:p>
            <w:pPr>
              <w:pStyle w:val="Compact"/>
              <w:jc w:val="left"/>
            </w:pPr>
            <w:r>
              <w:t xml:space="preserve">143</w:t>
            </w:r>
          </w:p>
        </w:tc>
        <w:tc>
          <w:tcPr/>
          <w:p>
            <w:pPr>
              <w:pStyle w:val="Compact"/>
              <w:jc w:val="left"/>
            </w:pPr>
            <w:r>
              <w:t xml:space="preserve">0,62 (0,32–1,08)</w:t>
            </w:r>
          </w:p>
        </w:tc>
        <w:tc>
          <w:tcPr/>
          <w:p>
            <w:pPr>
              <w:pStyle w:val="Compact"/>
              <w:jc w:val="left"/>
            </w:pPr>
            <w:r>
              <w:t xml:space="preserve">-0,05 (-0,10–0,01)</w:t>
            </w:r>
          </w:p>
        </w:tc>
        <w:tc>
          <w:tcPr/>
          <w:p>
            <w:pPr>
              <w:pStyle w:val="Compact"/>
              <w:jc w:val="left"/>
            </w:pPr>
            <w:r>
              <w:t xml:space="preserve">95,3 %</w:t>
            </w:r>
          </w:p>
        </w:tc>
        <w:tc>
          <w:tcPr/>
          <w:p>
            <w:pPr>
              <w:pStyle w:val="Compact"/>
              <w:jc w:val="left"/>
            </w:pPr>
            <w:r>
              <w:t xml:space="preserve">1,0007</w:t>
            </w:r>
          </w:p>
        </w:tc>
        <w:tc>
          <w:tcPr/>
          <w:p>
            <w:pPr>
              <w:pStyle w:val="Compact"/>
              <w:jc w:val="left"/>
            </w:pPr>
            <w:r>
              <w:t xml:space="preserve">4347</w:t>
            </w:r>
          </w:p>
        </w:tc>
        <w:tc>
          <w:tcPr/>
          <w:p>
            <w:pPr>
              <w:pStyle w:val="Compact"/>
              <w:jc w:val="left"/>
            </w:pPr>
            <w:r>
              <w:t xml:space="preserve">5310</w:t>
            </w:r>
          </w:p>
        </w:tc>
        <w:tc>
          <w:tcPr/>
          <w:p>
            <w:pPr>
              <w:pStyle w:val="Compact"/>
              <w:jc w:val="left"/>
            </w:pPr>
            <w:r>
              <w:t xml:space="preserve">0,975</w:t>
            </w:r>
          </w:p>
        </w:tc>
        <w:tc>
          <w:tcPr/>
          <w:p>
            <w:pPr>
              <w:pStyle w:val="Compact"/>
              <w:jc w:val="left"/>
            </w:pPr>
            <w:r>
              <w:t xml:space="preserve">0</w:t>
            </w:r>
          </w:p>
        </w:tc>
      </w:tr>
      <w:tr>
        <w:tc>
          <w:tcPr/>
          <w:p>
            <w:pPr>
              <w:pStyle w:val="Compact"/>
              <w:jc w:val="left"/>
            </w:pPr>
            <w:r>
              <w:t xml:space="preserve">2020–junio 2024</w:t>
            </w:r>
          </w:p>
        </w:tc>
        <w:tc>
          <w:tcPr/>
          <w:p>
            <w:pPr>
              <w:pStyle w:val="Compact"/>
              <w:jc w:val="left"/>
            </w:pPr>
            <w:r>
              <w:t xml:space="preserve">Parto vía vaginal</w:t>
            </w:r>
          </w:p>
        </w:tc>
        <w:tc>
          <w:tcPr/>
          <w:p>
            <w:pPr>
              <w:pStyle w:val="Compact"/>
              <w:jc w:val="left"/>
            </w:pPr>
            <w:r>
              <w:t xml:space="preserve">1080</w:t>
            </w:r>
          </w:p>
        </w:tc>
        <w:tc>
          <w:tcPr/>
          <w:p>
            <w:pPr>
              <w:pStyle w:val="Compact"/>
              <w:jc w:val="left"/>
            </w:pPr>
            <w:r>
              <w:t xml:space="preserve">689</w:t>
            </w:r>
          </w:p>
        </w:tc>
        <w:tc>
          <w:tcPr/>
          <w:p>
            <w:pPr>
              <w:pStyle w:val="Compact"/>
              <w:jc w:val="left"/>
            </w:pPr>
            <w:r>
              <w:t xml:space="preserve">1,21 (1,06–1,35)</w:t>
            </w:r>
          </w:p>
        </w:tc>
        <w:tc>
          <w:tcPr/>
          <w:p>
            <w:pPr>
              <w:pStyle w:val="Compact"/>
              <w:jc w:val="left"/>
            </w:pPr>
            <w:r>
              <w:t xml:space="preserve">0,13 (0,04–0,21)</w:t>
            </w:r>
          </w:p>
        </w:tc>
        <w:tc>
          <w:tcPr/>
          <w:p>
            <w:pPr>
              <w:pStyle w:val="Compact"/>
              <w:jc w:val="left"/>
            </w:pPr>
            <w:r>
              <w:t xml:space="preserve">99,8 %</w:t>
            </w:r>
          </w:p>
        </w:tc>
        <w:tc>
          <w:tcPr/>
          <w:p>
            <w:pPr>
              <w:pStyle w:val="Compact"/>
              <w:jc w:val="left"/>
            </w:pPr>
            <w:r>
              <w:t xml:space="preserve">1,0013</w:t>
            </w:r>
          </w:p>
        </w:tc>
        <w:tc>
          <w:tcPr/>
          <w:p>
            <w:pPr>
              <w:pStyle w:val="Compact"/>
              <w:jc w:val="left"/>
            </w:pPr>
            <w:r>
              <w:t xml:space="preserve">4040</w:t>
            </w:r>
          </w:p>
        </w:tc>
        <w:tc>
          <w:tcPr/>
          <w:p>
            <w:pPr>
              <w:pStyle w:val="Compact"/>
              <w:jc w:val="left"/>
            </w:pPr>
            <w:r>
              <w:t xml:space="preserve">4632</w:t>
            </w:r>
          </w:p>
        </w:tc>
        <w:tc>
          <w:tcPr/>
          <w:p>
            <w:pPr>
              <w:pStyle w:val="Compact"/>
              <w:jc w:val="left"/>
            </w:pPr>
            <w:r>
              <w:t xml:space="preserve">0,988</w:t>
            </w:r>
          </w:p>
        </w:tc>
        <w:tc>
          <w:tcPr/>
          <w:p>
            <w:pPr>
              <w:pStyle w:val="Compact"/>
              <w:jc w:val="left"/>
            </w:pPr>
            <w:r>
              <w:t xml:space="preserve">0</w:t>
            </w:r>
          </w:p>
        </w:tc>
      </w:tr>
      <w:tr>
        <w:tc>
          <w:tcPr/>
          <w:p>
            <w:pPr>
              <w:pStyle w:val="Compact"/>
              <w:jc w:val="left"/>
            </w:pPr>
            <w:r>
              <w:t xml:space="preserve">2020–junio 2024</w:t>
            </w:r>
          </w:p>
        </w:tc>
        <w:tc>
          <w:tcPr/>
          <w:p>
            <w:pPr>
              <w:pStyle w:val="Compact"/>
              <w:jc w:val="left"/>
            </w:pPr>
            <w:r>
              <w:t xml:space="preserve">Rezago escolar</w:t>
            </w:r>
          </w:p>
        </w:tc>
        <w:tc>
          <w:tcPr/>
          <w:p>
            <w:pPr>
              <w:pStyle w:val="Compact"/>
              <w:jc w:val="left"/>
            </w:pPr>
            <w:r>
              <w:t xml:space="preserve">1076</w:t>
            </w:r>
          </w:p>
        </w:tc>
        <w:tc>
          <w:tcPr/>
          <w:p>
            <w:pPr>
              <w:pStyle w:val="Compact"/>
              <w:jc w:val="left"/>
            </w:pPr>
            <w:r>
              <w:t xml:space="preserve">191</w:t>
            </w:r>
          </w:p>
        </w:tc>
        <w:tc>
          <w:tcPr/>
          <w:p>
            <w:pPr>
              <w:pStyle w:val="Compact"/>
              <w:jc w:val="left"/>
            </w:pPr>
            <w:r>
              <w:t xml:space="preserve">1,69 (1,18–2,31)</w:t>
            </w:r>
          </w:p>
        </w:tc>
        <w:tc>
          <w:tcPr/>
          <w:p>
            <w:pPr>
              <w:pStyle w:val="Compact"/>
              <w:jc w:val="left"/>
            </w:pPr>
            <w:r>
              <w:t xml:space="preserve">0,11 (0,03–0,20)</w:t>
            </w:r>
          </w:p>
        </w:tc>
        <w:tc>
          <w:tcPr/>
          <w:p>
            <w:pPr>
              <w:pStyle w:val="Compact"/>
              <w:jc w:val="left"/>
            </w:pPr>
            <w:r>
              <w:t xml:space="preserve">99,7 %</w:t>
            </w:r>
          </w:p>
        </w:tc>
        <w:tc>
          <w:tcPr/>
          <w:p>
            <w:pPr>
              <w:pStyle w:val="Compact"/>
              <w:jc w:val="left"/>
            </w:pPr>
            <w:r>
              <w:t xml:space="preserve">1,0007</w:t>
            </w:r>
          </w:p>
        </w:tc>
        <w:tc>
          <w:tcPr/>
          <w:p>
            <w:pPr>
              <w:pStyle w:val="Compact"/>
              <w:jc w:val="left"/>
            </w:pPr>
            <w:r>
              <w:t xml:space="preserve">4330</w:t>
            </w:r>
          </w:p>
        </w:tc>
        <w:tc>
          <w:tcPr/>
          <w:p>
            <w:pPr>
              <w:pStyle w:val="Compact"/>
              <w:jc w:val="left"/>
            </w:pPr>
            <w:r>
              <w:t xml:space="preserve">5215</w:t>
            </w:r>
          </w:p>
        </w:tc>
        <w:tc>
          <w:tcPr/>
          <w:p>
            <w:pPr>
              <w:pStyle w:val="Compact"/>
              <w:jc w:val="left"/>
            </w:pPr>
            <w:r>
              <w:t xml:space="preserve">0,966</w:t>
            </w:r>
          </w:p>
        </w:tc>
        <w:tc>
          <w:tcPr/>
          <w:p>
            <w:pPr>
              <w:pStyle w:val="Compact"/>
              <w:jc w:val="left"/>
            </w:pPr>
            <w:r>
              <w:t xml:space="preserve">0</w:t>
            </w:r>
          </w:p>
        </w:tc>
      </w:tr>
      <w:tr>
        <w:tc>
          <w:tcPr/>
          <w:p>
            <w:pPr>
              <w:pStyle w:val="Compact"/>
              <w:jc w:val="left"/>
            </w:pPr>
            <w:r>
              <w:t xml:space="preserve">2020–junio 2024</w:t>
            </w:r>
          </w:p>
        </w:tc>
        <w:tc>
          <w:tcPr/>
          <w:p>
            <w:pPr>
              <w:pStyle w:val="Compact"/>
              <w:jc w:val="left"/>
            </w:pPr>
            <w:r>
              <w:t xml:space="preserve">Control prenatal adecuado: sí/no</w:t>
            </w:r>
          </w:p>
        </w:tc>
        <w:tc>
          <w:tcPr/>
          <w:p>
            <w:pPr>
              <w:pStyle w:val="Compact"/>
              <w:jc w:val="left"/>
            </w:pPr>
            <w:r>
              <w:t xml:space="preserve">1044</w:t>
            </w:r>
          </w:p>
        </w:tc>
        <w:tc>
          <w:tcPr/>
          <w:p>
            <w:pPr>
              <w:pStyle w:val="Compact"/>
              <w:jc w:val="left"/>
            </w:pPr>
            <w:r>
              <w:t xml:space="preserve">590</w:t>
            </w:r>
          </w:p>
        </w:tc>
        <w:tc>
          <w:tcPr/>
          <w:p>
            <w:pPr>
              <w:pStyle w:val="Compact"/>
              <w:jc w:val="left"/>
            </w:pPr>
            <w:r>
              <w:t xml:space="preserve">0,98 (0,80–1,15)</w:t>
            </w:r>
          </w:p>
        </w:tc>
        <w:tc>
          <w:tcPr/>
          <w:p>
            <w:pPr>
              <w:pStyle w:val="Compact"/>
              <w:jc w:val="left"/>
            </w:pPr>
            <w:r>
              <w:t xml:space="preserve">-0,01 (-0,12–0,08)</w:t>
            </w:r>
          </w:p>
        </w:tc>
        <w:tc>
          <w:tcPr/>
          <w:p>
            <w:pPr>
              <w:pStyle w:val="Compact"/>
              <w:jc w:val="left"/>
            </w:pPr>
            <w:r>
              <w:t xml:space="preserve">60,3 %</w:t>
            </w:r>
          </w:p>
        </w:tc>
        <w:tc>
          <w:tcPr/>
          <w:p>
            <w:pPr>
              <w:pStyle w:val="Compact"/>
              <w:jc w:val="left"/>
            </w:pPr>
            <w:r>
              <w:t xml:space="preserve">1,0012</w:t>
            </w:r>
          </w:p>
        </w:tc>
        <w:tc>
          <w:tcPr/>
          <w:p>
            <w:pPr>
              <w:pStyle w:val="Compact"/>
              <w:jc w:val="left"/>
            </w:pPr>
            <w:r>
              <w:t xml:space="preserve">3695</w:t>
            </w:r>
          </w:p>
        </w:tc>
        <w:tc>
          <w:tcPr/>
          <w:p>
            <w:pPr>
              <w:pStyle w:val="Compact"/>
              <w:jc w:val="left"/>
            </w:pPr>
            <w:r>
              <w:t xml:space="preserve">4867</w:t>
            </w:r>
          </w:p>
        </w:tc>
        <w:tc>
          <w:tcPr/>
          <w:p>
            <w:pPr>
              <w:pStyle w:val="Compact"/>
              <w:jc w:val="left"/>
            </w:pPr>
            <w:r>
              <w:t xml:space="preserve">0,908</w:t>
            </w:r>
          </w:p>
        </w:tc>
        <w:tc>
          <w:tcPr/>
          <w:p>
            <w:pPr>
              <w:pStyle w:val="Compact"/>
              <w:jc w:val="left"/>
            </w:pPr>
            <w:r>
              <w:t xml:space="preserve">0</w:t>
            </w:r>
          </w:p>
        </w:tc>
      </w:tr>
    </w:tbl>
    <w:p>
      <w:pPr>
        <w:pStyle w:val="BodyText"/>
      </w:pPr>
      <w:r>
        <w:t xml:space="preserve">Bernoulli-logit con estandarización posterior, un modelo independiente por característica (10–14 años vs. 15–19 años como referencia). RP: razón de prevalencia; DP: diferencia de prevalencia marginal estandarizada; ev.: eventos; Div.: divergencias. Diagnósticos de convergencia adecuados en todos los modelos (R-hat ≤1,01; cero divergencias; E-BFMI ≥0,30).</w:t>
      </w:r>
    </w:p>
    <w:bookmarkEnd w:id="26"/>
    <w:bookmarkStart w:id="27" w:name="X52bcd9340364808f14d6d3fe0e85ccbc6ccf1cd"/>
    <w:p>
      <w:pPr>
        <w:pStyle w:val="Heading2"/>
      </w:pPr>
      <w:r>
        <w:t xml:space="preserve">Tabla S3. Modelos secundarios de atención prenatal</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Análisis</w:t>
            </w:r>
          </w:p>
        </w:tc>
        <w:tc>
          <w:tcPr/>
          <w:p>
            <w:pPr>
              <w:pStyle w:val="Compact"/>
              <w:jc w:val="left"/>
            </w:pPr>
            <w:r>
              <w:rPr>
                <w:b/>
                <w:bCs/>
              </w:rPr>
              <w:t xml:space="preserve">Estimador</w:t>
            </w:r>
          </w:p>
        </w:tc>
        <w:tc>
          <w:tcPr/>
          <w:p>
            <w:pPr>
              <w:pStyle w:val="Compact"/>
              <w:jc w:val="left"/>
            </w:pPr>
            <w:r>
              <w:rPr>
                <w:b/>
                <w:bCs/>
              </w:rPr>
              <w:t xml:space="preserve">n</w:t>
            </w:r>
          </w:p>
        </w:tc>
        <w:tc>
          <w:tcPr/>
          <w:p>
            <w:pPr>
              <w:pStyle w:val="Compact"/>
              <w:jc w:val="left"/>
            </w:pPr>
            <w:r>
              <w:rPr>
                <w:b/>
                <w:bCs/>
              </w:rPr>
              <w:t xml:space="preserve">Valor (ICr95 %)</w:t>
            </w:r>
          </w:p>
        </w:tc>
        <w:tc>
          <w:tcPr/>
          <w:p>
            <w:pPr>
              <w:pStyle w:val="Compact"/>
              <w:jc w:val="left"/>
            </w:pPr>
            <w:r>
              <w:rPr>
                <w:b/>
                <w:bCs/>
              </w:rPr>
              <w:t xml:space="preserve">pd</w:t>
            </w:r>
          </w:p>
        </w:tc>
        <w:tc>
          <w:tcPr/>
          <w:p>
            <w:pPr>
              <w:pStyle w:val="Compact"/>
              <w:jc w:val="left"/>
            </w:pPr>
            <w:r>
              <w:rPr>
                <w:b/>
                <w:bCs/>
              </w:rPr>
              <w:t xml:space="preserve">R-hat / Div.</w:t>
            </w:r>
          </w:p>
        </w:tc>
      </w:tr>
      <w:tr>
        <w:tc>
          <w:tcPr/>
          <w:p>
            <w:pPr>
              <w:pStyle w:val="Compact"/>
              <w:jc w:val="left"/>
            </w:pPr>
            <w:r>
              <w:t xml:space="preserve">Adecuación ordinal del control prenatal</w:t>
            </w:r>
          </w:p>
        </w:tc>
        <w:tc>
          <w:tcPr/>
          <w:p>
            <w:pPr>
              <w:pStyle w:val="Compact"/>
              <w:jc w:val="left"/>
            </w:pPr>
            <w:r>
              <w:t xml:space="preserve">OR</w:t>
            </w:r>
          </w:p>
        </w:tc>
        <w:tc>
          <w:tcPr/>
          <w:p>
            <w:pPr>
              <w:pStyle w:val="Compact"/>
              <w:jc w:val="left"/>
            </w:pPr>
            <w:r>
              <w:t xml:space="preserve">6860</w:t>
            </w:r>
          </w:p>
        </w:tc>
        <w:tc>
          <w:tcPr/>
          <w:p>
            <w:pPr>
              <w:pStyle w:val="Compact"/>
              <w:jc w:val="left"/>
            </w:pPr>
            <w:r>
              <w:t xml:space="preserve">0,69 (0,56–0,84)</w:t>
            </w:r>
          </w:p>
        </w:tc>
        <w:tc>
          <w:tcPr/>
          <w:p>
            <w:pPr>
              <w:pStyle w:val="Compact"/>
              <w:jc w:val="left"/>
            </w:pPr>
            <w:r>
              <w:t xml:space="preserve">&gt;99,9 %</w:t>
            </w:r>
          </w:p>
        </w:tc>
        <w:tc>
          <w:tcPr/>
          <w:p>
            <w:pPr>
              <w:pStyle w:val="Compact"/>
              <w:jc w:val="left"/>
            </w:pPr>
            <w:r>
              <w:t xml:space="preserve">1,0009 / 0</w:t>
            </w:r>
          </w:p>
        </w:tc>
      </w:tr>
      <w:tr>
        <w:tc>
          <w:tcPr/>
          <w:p>
            <w:pPr>
              <w:pStyle w:val="Compact"/>
              <w:jc w:val="left"/>
            </w:pPr>
            <w:r>
              <w:t xml:space="preserve">N.º de consultas prenatales no ajustado</w:t>
            </w:r>
          </w:p>
        </w:tc>
        <w:tc>
          <w:tcPr/>
          <w:p>
            <w:pPr>
              <w:pStyle w:val="Compact"/>
              <w:jc w:val="left"/>
            </w:pPr>
            <w:r>
              <w:t xml:space="preserve">Dif. de medias</w:t>
            </w:r>
          </w:p>
        </w:tc>
        <w:tc>
          <w:tcPr/>
          <w:p>
            <w:pPr>
              <w:pStyle w:val="Compact"/>
              <w:jc w:val="left"/>
            </w:pPr>
            <w:r>
              <w:t xml:space="preserve">6884</w:t>
            </w:r>
          </w:p>
        </w:tc>
        <w:tc>
          <w:tcPr/>
          <w:p>
            <w:pPr>
              <w:pStyle w:val="Compact"/>
              <w:jc w:val="left"/>
            </w:pPr>
            <w:r>
              <w:t xml:space="preserve">-0,56 (-0,85 a -0,27)</w:t>
            </w:r>
          </w:p>
        </w:tc>
        <w:tc>
          <w:tcPr/>
          <w:p>
            <w:pPr>
              <w:pStyle w:val="Compact"/>
              <w:jc w:val="left"/>
            </w:pPr>
            <w:r>
              <w:t xml:space="preserve">&gt;99,9 %</w:t>
            </w:r>
          </w:p>
        </w:tc>
        <w:tc>
          <w:tcPr/>
          <w:p>
            <w:pPr>
              <w:pStyle w:val="Compact"/>
              <w:jc w:val="left"/>
            </w:pPr>
            <w:r>
              <w:t xml:space="preserve">1,0028 / 0</w:t>
            </w:r>
          </w:p>
        </w:tc>
      </w:tr>
      <w:tr>
        <w:tc>
          <w:tcPr/>
          <w:p>
            <w:pPr>
              <w:pStyle w:val="Compact"/>
              <w:jc w:val="left"/>
            </w:pPr>
            <w:r>
              <w:t xml:space="preserve">N.º de consultas prenatales ajustado por edad gestacional al parto</w:t>
            </w:r>
          </w:p>
        </w:tc>
        <w:tc>
          <w:tcPr/>
          <w:p>
            <w:pPr>
              <w:pStyle w:val="Compact"/>
              <w:jc w:val="left"/>
            </w:pPr>
            <w:r>
              <w:t xml:space="preserve">Dif. de medias</w:t>
            </w:r>
          </w:p>
        </w:tc>
        <w:tc>
          <w:tcPr/>
          <w:p>
            <w:pPr>
              <w:pStyle w:val="Compact"/>
              <w:jc w:val="left"/>
            </w:pPr>
            <w:r>
              <w:t xml:space="preserve">6860</w:t>
            </w:r>
          </w:p>
        </w:tc>
        <w:tc>
          <w:tcPr/>
          <w:p>
            <w:pPr>
              <w:pStyle w:val="Compact"/>
              <w:jc w:val="left"/>
            </w:pPr>
            <w:r>
              <w:t xml:space="preserve">-0,55 (-0,83 a -0,27)</w:t>
            </w:r>
          </w:p>
        </w:tc>
        <w:tc>
          <w:tcPr/>
          <w:p>
            <w:pPr>
              <w:pStyle w:val="Compact"/>
              <w:jc w:val="left"/>
            </w:pPr>
            <w:r>
              <w:t xml:space="preserve">99,99 %</w:t>
            </w:r>
          </w:p>
        </w:tc>
        <w:tc>
          <w:tcPr/>
          <w:p>
            <w:pPr>
              <w:pStyle w:val="Compact"/>
              <w:jc w:val="left"/>
            </w:pPr>
            <w:r>
              <w:t xml:space="preserve">1,0009 / 0</w:t>
            </w:r>
          </w:p>
        </w:tc>
      </w:tr>
    </w:tbl>
    <w:p>
      <w:pPr>
        <w:pStyle w:val="BodyText"/>
      </w:pPr>
      <w:r>
        <w:t xml:space="preserve">Modelo cumulative-logit (adecuación ordinal del control prenatal) y modelos gaussianos de sensibilidad (número de consultas prenatales, no ajustado y ajustado por edad gestacional al parto). La comparación completa de los modelos para el conteo se presenta en la Tabla S8.</w:t>
      </w:r>
    </w:p>
    <w:p>
      <w:pPr>
        <w:pStyle w:val="BodyText"/>
      </w:pPr>
      <w:r>
        <w:t xml:space="preserve">Los estimadores comparan adolescentes de 10–14 años frente a adolescentes de 15–19 años como grupo de referencia. Los valores negativos indican un menor número medio de consultas prenatales en el grupo de 10–14 años. OR: razón de momios acumulada; ICr: intervalo de credibilidad; pd: probabilidad de dirección.</w:t>
      </w:r>
    </w:p>
    <w:bookmarkEnd w:id="27"/>
    <w:bookmarkStart w:id="28" w:name="X89f375b10c6f35523382f1b469af4595113004a"/>
    <w:p>
      <w:pPr>
        <w:pStyle w:val="Heading2"/>
      </w:pPr>
      <w:r>
        <w:t xml:space="preserve">Tabla S4. Datos faltantes por variable y completitud del análisis</w:t>
      </w:r>
    </w:p>
    <w:tbl>
      <w:tblPr>
        <w:tblStyle w:val="Table"/>
        <w:tblW w:type="pct" w:w="5000"/>
        <w:tblLayout w:type="fixed"/>
        <w:tblLook w:firstRow="1" w:lastRow="0" w:firstColumn="0" w:lastColumn="0" w:noHBand="0" w:noVBand="0" w:val="0020"/>
      </w:tblPr>
      <w:tblGrid>
        <w:gridCol w:w="2640"/>
        <w:gridCol w:w="1760"/>
        <w:gridCol w:w="1760"/>
        <w:gridCol w:w="1760"/>
      </w:tblGrid>
      <w:tr>
        <w:trPr>
          <w:tblHeader w:val="on"/>
        </w:trPr>
        <w:tc>
          <w:tcPr/>
          <w:p>
            <w:pPr>
              <w:pStyle w:val="Compact"/>
              <w:jc w:val="left"/>
            </w:pPr>
            <w:r>
              <w:rPr>
                <w:b/>
                <w:bCs/>
              </w:rPr>
              <w:t xml:space="preserve">Variable</w:t>
            </w:r>
          </w:p>
        </w:tc>
        <w:tc>
          <w:tcPr/>
          <w:p>
            <w:pPr>
              <w:pStyle w:val="Compact"/>
              <w:jc w:val="left"/>
            </w:pPr>
            <w:r>
              <w:rPr>
                <w:b/>
                <w:bCs/>
              </w:rPr>
              <w:t xml:space="preserve">n total</w:t>
            </w:r>
          </w:p>
        </w:tc>
        <w:tc>
          <w:tcPr/>
          <w:p>
            <w:pPr>
              <w:pStyle w:val="Compact"/>
              <w:jc w:val="left"/>
            </w:pPr>
            <w:r>
              <w:rPr>
                <w:b/>
                <w:bCs/>
              </w:rPr>
              <w:t xml:space="preserve">n faltante</w:t>
            </w:r>
          </w:p>
        </w:tc>
        <w:tc>
          <w:tcPr/>
          <w:p>
            <w:pPr>
              <w:pStyle w:val="Compact"/>
              <w:jc w:val="left"/>
            </w:pPr>
            <w:r>
              <w:rPr>
                <w:b/>
                <w:bCs/>
              </w:rPr>
              <w:t xml:space="preserve">% faltante</w:t>
            </w:r>
          </w:p>
        </w:tc>
      </w:tr>
      <w:tr>
        <w:tc>
          <w:tcPr/>
          <w:p>
            <w:pPr>
              <w:pStyle w:val="Compact"/>
              <w:jc w:val="left"/>
            </w:pPr>
            <w:r>
              <w:t xml:space="preserve">Lactancia exclusiva al egreso</w:t>
            </w:r>
          </w:p>
        </w:tc>
        <w:tc>
          <w:tcPr/>
          <w:p>
            <w:pPr>
              <w:pStyle w:val="Compact"/>
              <w:jc w:val="left"/>
            </w:pPr>
            <w:r>
              <w:t xml:space="preserve">7035</w:t>
            </w:r>
          </w:p>
        </w:tc>
        <w:tc>
          <w:tcPr/>
          <w:p>
            <w:pPr>
              <w:pStyle w:val="Compact"/>
              <w:jc w:val="left"/>
            </w:pPr>
            <w:r>
              <w:t xml:space="preserve">1023</w:t>
            </w:r>
          </w:p>
        </w:tc>
        <w:tc>
          <w:tcPr/>
          <w:p>
            <w:pPr>
              <w:pStyle w:val="Compact"/>
              <w:jc w:val="left"/>
            </w:pPr>
            <w:r>
              <w:t xml:space="preserve">14,54 %</w:t>
            </w:r>
          </w:p>
        </w:tc>
      </w:tr>
      <w:tr>
        <w:tc>
          <w:tcPr/>
          <w:p>
            <w:pPr>
              <w:pStyle w:val="Compact"/>
              <w:jc w:val="left"/>
            </w:pPr>
            <w:r>
              <w:t xml:space="preserve">Adecuación</w:t>
            </w:r>
            <w:r>
              <w:t xml:space="preserve"> </w:t>
            </w:r>
            <w:r>
              <w:t xml:space="preserve">“adecuada”</w:t>
            </w:r>
            <w:r>
              <w:t xml:space="preserve"> </w:t>
            </w:r>
            <w:r>
              <w:t xml:space="preserve">del control prenatal</w:t>
            </w:r>
          </w:p>
        </w:tc>
        <w:tc>
          <w:tcPr/>
          <w:p>
            <w:pPr>
              <w:pStyle w:val="Compact"/>
              <w:jc w:val="left"/>
            </w:pPr>
            <w:r>
              <w:t xml:space="preserve">7035</w:t>
            </w:r>
          </w:p>
        </w:tc>
        <w:tc>
          <w:tcPr/>
          <w:p>
            <w:pPr>
              <w:pStyle w:val="Compact"/>
              <w:jc w:val="left"/>
            </w:pPr>
            <w:r>
              <w:t xml:space="preserve">175</w:t>
            </w:r>
          </w:p>
        </w:tc>
        <w:tc>
          <w:tcPr/>
          <w:p>
            <w:pPr>
              <w:pStyle w:val="Compact"/>
              <w:jc w:val="left"/>
            </w:pPr>
            <w:r>
              <w:t xml:space="preserve">2,49 %</w:t>
            </w:r>
          </w:p>
        </w:tc>
      </w:tr>
      <w:tr>
        <w:tc>
          <w:tcPr/>
          <w:p>
            <w:pPr>
              <w:pStyle w:val="Compact"/>
              <w:jc w:val="left"/>
            </w:pPr>
            <w:r>
              <w:t xml:space="preserve">Adecuación del control prenatal (categórica)</w:t>
            </w:r>
          </w:p>
        </w:tc>
        <w:tc>
          <w:tcPr/>
          <w:p>
            <w:pPr>
              <w:pStyle w:val="Compact"/>
              <w:jc w:val="left"/>
            </w:pPr>
            <w:r>
              <w:t xml:space="preserve">7035</w:t>
            </w:r>
          </w:p>
        </w:tc>
        <w:tc>
          <w:tcPr/>
          <w:p>
            <w:pPr>
              <w:pStyle w:val="Compact"/>
              <w:jc w:val="left"/>
            </w:pPr>
            <w:r>
              <w:t xml:space="preserve">175</w:t>
            </w:r>
          </w:p>
        </w:tc>
        <w:tc>
          <w:tcPr/>
          <w:p>
            <w:pPr>
              <w:pStyle w:val="Compact"/>
              <w:jc w:val="left"/>
            </w:pPr>
            <w:r>
              <w:t xml:space="preserve">2,49 %</w:t>
            </w:r>
          </w:p>
        </w:tc>
      </w:tr>
      <w:tr>
        <w:tc>
          <w:tcPr/>
          <w:p>
            <w:pPr>
              <w:pStyle w:val="Compact"/>
              <w:jc w:val="left"/>
            </w:pPr>
            <w:r>
              <w:t xml:space="preserve">N.º de consultas prenatales</w:t>
            </w:r>
          </w:p>
        </w:tc>
        <w:tc>
          <w:tcPr/>
          <w:p>
            <w:pPr>
              <w:pStyle w:val="Compact"/>
              <w:jc w:val="left"/>
            </w:pPr>
            <w:r>
              <w:t xml:space="preserve">7035</w:t>
            </w:r>
          </w:p>
        </w:tc>
        <w:tc>
          <w:tcPr/>
          <w:p>
            <w:pPr>
              <w:pStyle w:val="Compact"/>
              <w:jc w:val="left"/>
            </w:pPr>
            <w:r>
              <w:t xml:space="preserve">151</w:t>
            </w:r>
          </w:p>
        </w:tc>
        <w:tc>
          <w:tcPr/>
          <w:p>
            <w:pPr>
              <w:pStyle w:val="Compact"/>
              <w:jc w:val="left"/>
            </w:pPr>
            <w:r>
              <w:t xml:space="preserve">2,15 %</w:t>
            </w:r>
          </w:p>
        </w:tc>
      </w:tr>
      <w:tr>
        <w:tc>
          <w:tcPr/>
          <w:p>
            <w:pPr>
              <w:pStyle w:val="Compact"/>
              <w:jc w:val="left"/>
            </w:pPr>
            <w:r>
              <w:t xml:space="preserve">Apgar 1 min bajo</w:t>
            </w:r>
          </w:p>
        </w:tc>
        <w:tc>
          <w:tcPr/>
          <w:p>
            <w:pPr>
              <w:pStyle w:val="Compact"/>
              <w:jc w:val="left"/>
            </w:pPr>
            <w:r>
              <w:t xml:space="preserve">7035</w:t>
            </w:r>
          </w:p>
        </w:tc>
        <w:tc>
          <w:tcPr/>
          <w:p>
            <w:pPr>
              <w:pStyle w:val="Compact"/>
              <w:jc w:val="left"/>
            </w:pPr>
            <w:r>
              <w:t xml:space="preserve">126</w:t>
            </w:r>
          </w:p>
        </w:tc>
        <w:tc>
          <w:tcPr/>
          <w:p>
            <w:pPr>
              <w:pStyle w:val="Compact"/>
              <w:jc w:val="left"/>
            </w:pPr>
            <w:r>
              <w:t xml:space="preserve">1,79 %</w:t>
            </w:r>
          </w:p>
        </w:tc>
      </w:tr>
      <w:tr>
        <w:tc>
          <w:tcPr/>
          <w:p>
            <w:pPr>
              <w:pStyle w:val="Compact"/>
              <w:jc w:val="left"/>
            </w:pPr>
            <w:r>
              <w:t xml:space="preserve">Trastorno hipertensivo del embarazo</w:t>
            </w:r>
          </w:p>
        </w:tc>
        <w:tc>
          <w:tcPr/>
          <w:p>
            <w:pPr>
              <w:pStyle w:val="Compact"/>
              <w:jc w:val="left"/>
            </w:pPr>
            <w:r>
              <w:t xml:space="preserve">7035</w:t>
            </w:r>
          </w:p>
        </w:tc>
        <w:tc>
          <w:tcPr/>
          <w:p>
            <w:pPr>
              <w:pStyle w:val="Compact"/>
              <w:jc w:val="left"/>
            </w:pPr>
            <w:r>
              <w:t xml:space="preserve">124</w:t>
            </w:r>
          </w:p>
        </w:tc>
        <w:tc>
          <w:tcPr/>
          <w:p>
            <w:pPr>
              <w:pStyle w:val="Compact"/>
              <w:jc w:val="left"/>
            </w:pPr>
            <w:r>
              <w:t xml:space="preserve">1,76 %</w:t>
            </w:r>
          </w:p>
        </w:tc>
      </w:tr>
      <w:tr>
        <w:tc>
          <w:tcPr/>
          <w:p>
            <w:pPr>
              <w:pStyle w:val="Compact"/>
              <w:jc w:val="left"/>
            </w:pPr>
            <w:r>
              <w:t xml:space="preserve">Apgar 5 min bajo</w:t>
            </w:r>
          </w:p>
        </w:tc>
        <w:tc>
          <w:tcPr/>
          <w:p>
            <w:pPr>
              <w:pStyle w:val="Compact"/>
              <w:jc w:val="left"/>
            </w:pPr>
            <w:r>
              <w:t xml:space="preserve">7035</w:t>
            </w:r>
          </w:p>
        </w:tc>
        <w:tc>
          <w:tcPr/>
          <w:p>
            <w:pPr>
              <w:pStyle w:val="Compact"/>
              <w:jc w:val="left"/>
            </w:pPr>
            <w:r>
              <w:t xml:space="preserve">118</w:t>
            </w:r>
          </w:p>
        </w:tc>
        <w:tc>
          <w:tcPr/>
          <w:p>
            <w:pPr>
              <w:pStyle w:val="Compact"/>
              <w:jc w:val="left"/>
            </w:pPr>
            <w:r>
              <w:t xml:space="preserve">1,68 %</w:t>
            </w:r>
          </w:p>
        </w:tc>
      </w:tr>
      <w:tr>
        <w:tc>
          <w:tcPr/>
          <w:p>
            <w:pPr>
              <w:pStyle w:val="Compact"/>
              <w:jc w:val="left"/>
            </w:pPr>
            <w:r>
              <w:t xml:space="preserve">Recién nacido vivo</w:t>
            </w:r>
          </w:p>
        </w:tc>
        <w:tc>
          <w:tcPr/>
          <w:p>
            <w:pPr>
              <w:pStyle w:val="Compact"/>
              <w:jc w:val="left"/>
            </w:pPr>
            <w:r>
              <w:t xml:space="preserve">7035</w:t>
            </w:r>
          </w:p>
        </w:tc>
        <w:tc>
          <w:tcPr/>
          <w:p>
            <w:pPr>
              <w:pStyle w:val="Compact"/>
              <w:jc w:val="left"/>
            </w:pPr>
            <w:r>
              <w:t xml:space="preserve">103</w:t>
            </w:r>
          </w:p>
        </w:tc>
        <w:tc>
          <w:tcPr/>
          <w:p>
            <w:pPr>
              <w:pStyle w:val="Compact"/>
              <w:jc w:val="left"/>
            </w:pPr>
            <w:r>
              <w:t xml:space="preserve">1,46 %</w:t>
            </w:r>
          </w:p>
        </w:tc>
      </w:tr>
      <w:tr>
        <w:tc>
          <w:tcPr/>
          <w:p>
            <w:pPr>
              <w:pStyle w:val="Compact"/>
              <w:jc w:val="left"/>
            </w:pPr>
            <w:r>
              <w:t xml:space="preserve">Infección urinaria</w:t>
            </w:r>
          </w:p>
        </w:tc>
        <w:tc>
          <w:tcPr/>
          <w:p>
            <w:pPr>
              <w:pStyle w:val="Compact"/>
              <w:jc w:val="left"/>
            </w:pPr>
            <w:r>
              <w:t xml:space="preserve">7035</w:t>
            </w:r>
          </w:p>
        </w:tc>
        <w:tc>
          <w:tcPr/>
          <w:p>
            <w:pPr>
              <w:pStyle w:val="Compact"/>
              <w:jc w:val="left"/>
            </w:pPr>
            <w:r>
              <w:t xml:space="preserve">96</w:t>
            </w:r>
          </w:p>
        </w:tc>
        <w:tc>
          <w:tcPr/>
          <w:p>
            <w:pPr>
              <w:pStyle w:val="Compact"/>
              <w:jc w:val="left"/>
            </w:pPr>
            <w:r>
              <w:t xml:space="preserve">1,36 %</w:t>
            </w:r>
          </w:p>
        </w:tc>
      </w:tr>
      <w:tr>
        <w:tc>
          <w:tcPr/>
          <w:p>
            <w:pPr>
              <w:pStyle w:val="Compact"/>
              <w:jc w:val="left"/>
            </w:pPr>
            <w:r>
              <w:t xml:space="preserve">Prematuro</w:t>
            </w:r>
          </w:p>
        </w:tc>
        <w:tc>
          <w:tcPr/>
          <w:p>
            <w:pPr>
              <w:pStyle w:val="Compact"/>
              <w:jc w:val="left"/>
            </w:pPr>
            <w:r>
              <w:t xml:space="preserve">7035</w:t>
            </w:r>
          </w:p>
        </w:tc>
        <w:tc>
          <w:tcPr/>
          <w:p>
            <w:pPr>
              <w:pStyle w:val="Compact"/>
              <w:jc w:val="left"/>
            </w:pPr>
            <w:r>
              <w:t xml:space="preserve">43</w:t>
            </w:r>
          </w:p>
        </w:tc>
        <w:tc>
          <w:tcPr/>
          <w:p>
            <w:pPr>
              <w:pStyle w:val="Compact"/>
              <w:jc w:val="left"/>
            </w:pPr>
            <w:r>
              <w:t xml:space="preserve">0,61 %</w:t>
            </w:r>
          </w:p>
        </w:tc>
      </w:tr>
      <w:tr>
        <w:tc>
          <w:tcPr/>
          <w:p>
            <w:pPr>
              <w:pStyle w:val="Compact"/>
              <w:jc w:val="left"/>
            </w:pPr>
            <w:r>
              <w:t xml:space="preserve">Edad gestacional al parto</w:t>
            </w:r>
          </w:p>
        </w:tc>
        <w:tc>
          <w:tcPr/>
          <w:p>
            <w:pPr>
              <w:pStyle w:val="Compact"/>
              <w:jc w:val="left"/>
            </w:pPr>
            <w:r>
              <w:t xml:space="preserve">7035</w:t>
            </w:r>
          </w:p>
        </w:tc>
        <w:tc>
          <w:tcPr/>
          <w:p>
            <w:pPr>
              <w:pStyle w:val="Compact"/>
              <w:jc w:val="left"/>
            </w:pPr>
            <w:r>
              <w:t xml:space="preserve">26</w:t>
            </w:r>
          </w:p>
        </w:tc>
        <w:tc>
          <w:tcPr/>
          <w:p>
            <w:pPr>
              <w:pStyle w:val="Compact"/>
              <w:jc w:val="left"/>
            </w:pPr>
            <w:r>
              <w:t xml:space="preserve">0,37 %</w:t>
            </w:r>
          </w:p>
        </w:tc>
      </w:tr>
      <w:tr>
        <w:tc>
          <w:tcPr/>
          <w:p>
            <w:pPr>
              <w:pStyle w:val="Compact"/>
              <w:jc w:val="left"/>
            </w:pPr>
            <w:r>
              <w:t xml:space="preserve">Rezago escolar (binario)</w:t>
            </w:r>
          </w:p>
        </w:tc>
        <w:tc>
          <w:tcPr/>
          <w:p>
            <w:pPr>
              <w:pStyle w:val="Compact"/>
              <w:jc w:val="left"/>
            </w:pPr>
            <w:r>
              <w:t xml:space="preserve">7035</w:t>
            </w:r>
          </w:p>
        </w:tc>
        <w:tc>
          <w:tcPr/>
          <w:p>
            <w:pPr>
              <w:pStyle w:val="Compact"/>
              <w:jc w:val="left"/>
            </w:pPr>
            <w:r>
              <w:t xml:space="preserve">8</w:t>
            </w:r>
          </w:p>
        </w:tc>
        <w:tc>
          <w:tcPr/>
          <w:p>
            <w:pPr>
              <w:pStyle w:val="Compact"/>
              <w:jc w:val="left"/>
            </w:pPr>
            <w:r>
              <w:t xml:space="preserve">0,11 %</w:t>
            </w:r>
          </w:p>
        </w:tc>
      </w:tr>
      <w:tr>
        <w:tc>
          <w:tcPr/>
          <w:p>
            <w:pPr>
              <w:pStyle w:val="Compact"/>
              <w:jc w:val="left"/>
            </w:pPr>
            <w:r>
              <w:t xml:space="preserve">Categoría de rezago escolar</w:t>
            </w:r>
          </w:p>
        </w:tc>
        <w:tc>
          <w:tcPr/>
          <w:p>
            <w:pPr>
              <w:pStyle w:val="Compact"/>
              <w:jc w:val="left"/>
            </w:pPr>
            <w:r>
              <w:t xml:space="preserve">7035</w:t>
            </w:r>
          </w:p>
        </w:tc>
        <w:tc>
          <w:tcPr/>
          <w:p>
            <w:pPr>
              <w:pStyle w:val="Compact"/>
              <w:jc w:val="left"/>
            </w:pPr>
            <w:r>
              <w:t xml:space="preserve">8</w:t>
            </w:r>
          </w:p>
        </w:tc>
        <w:tc>
          <w:tcPr/>
          <w:p>
            <w:pPr>
              <w:pStyle w:val="Compact"/>
              <w:jc w:val="left"/>
            </w:pPr>
            <w:r>
              <w:t xml:space="preserve">0,11 %</w:t>
            </w:r>
          </w:p>
        </w:tc>
      </w:tr>
      <w:tr>
        <w:tc>
          <w:tcPr/>
          <w:p>
            <w:pPr>
              <w:pStyle w:val="Compact"/>
              <w:jc w:val="left"/>
            </w:pPr>
            <w:r>
              <w:t xml:space="preserve">Parto vía vaginal</w:t>
            </w:r>
          </w:p>
        </w:tc>
        <w:tc>
          <w:tcPr/>
          <w:p>
            <w:pPr>
              <w:pStyle w:val="Compact"/>
              <w:jc w:val="left"/>
            </w:pPr>
            <w:r>
              <w:t xml:space="preserve">7035</w:t>
            </w:r>
          </w:p>
        </w:tc>
        <w:tc>
          <w:tcPr/>
          <w:p>
            <w:pPr>
              <w:pStyle w:val="Compact"/>
              <w:jc w:val="left"/>
            </w:pPr>
            <w:r>
              <w:t xml:space="preserve">5</w:t>
            </w:r>
          </w:p>
        </w:tc>
        <w:tc>
          <w:tcPr/>
          <w:p>
            <w:pPr>
              <w:pStyle w:val="Compact"/>
              <w:jc w:val="left"/>
            </w:pPr>
            <w:r>
              <w:t xml:space="preserve">0,07 %</w:t>
            </w:r>
          </w:p>
        </w:tc>
      </w:tr>
      <w:tr>
        <w:tc>
          <w:tcPr/>
          <w:p>
            <w:pPr>
              <w:pStyle w:val="Compact"/>
              <w:jc w:val="left"/>
            </w:pPr>
            <w:r>
              <w:t xml:space="preserve">Pequeño para la edad gestacional</w:t>
            </w:r>
          </w:p>
        </w:tc>
        <w:tc>
          <w:tcPr/>
          <w:p>
            <w:pPr>
              <w:pStyle w:val="Compact"/>
              <w:jc w:val="left"/>
            </w:pPr>
            <w:r>
              <w:t xml:space="preserve">7035</w:t>
            </w:r>
          </w:p>
        </w:tc>
        <w:tc>
          <w:tcPr/>
          <w:p>
            <w:pPr>
              <w:pStyle w:val="Compact"/>
              <w:jc w:val="left"/>
            </w:pPr>
            <w:r>
              <w:t xml:space="preserve">1</w:t>
            </w:r>
          </w:p>
        </w:tc>
        <w:tc>
          <w:tcPr/>
          <w:p>
            <w:pPr>
              <w:pStyle w:val="Compact"/>
              <w:jc w:val="left"/>
            </w:pPr>
            <w:r>
              <w:t xml:space="preserve">0,01 %</w:t>
            </w:r>
          </w:p>
        </w:tc>
      </w:tr>
      <w:tr>
        <w:tc>
          <w:tcPr/>
          <w:p>
            <w:pPr>
              <w:pStyle w:val="Compact"/>
              <w:jc w:val="left"/>
            </w:pPr>
            <w:r>
              <w:t xml:space="preserve">Peso al nacer</w:t>
            </w:r>
          </w:p>
        </w:tc>
        <w:tc>
          <w:tcPr/>
          <w:p>
            <w:pPr>
              <w:pStyle w:val="Compact"/>
              <w:jc w:val="left"/>
            </w:pPr>
            <w:r>
              <w:t xml:space="preserve">7035</w:t>
            </w:r>
          </w:p>
        </w:tc>
        <w:tc>
          <w:tcPr/>
          <w:p>
            <w:pPr>
              <w:pStyle w:val="Compact"/>
              <w:jc w:val="left"/>
            </w:pPr>
            <w:r>
              <w:t xml:space="preserve">1</w:t>
            </w:r>
          </w:p>
        </w:tc>
        <w:tc>
          <w:tcPr/>
          <w:p>
            <w:pPr>
              <w:pStyle w:val="Compact"/>
              <w:jc w:val="left"/>
            </w:pPr>
            <w:r>
              <w:t xml:space="preserve">0,01 %</w:t>
            </w:r>
          </w:p>
        </w:tc>
      </w:tr>
      <w:tr>
        <w:tc>
          <w:tcPr/>
          <w:p>
            <w:pPr>
              <w:pStyle w:val="Compact"/>
              <w:jc w:val="left"/>
            </w:pPr>
            <w:r>
              <w:t xml:space="preserve">Pareja estable</w:t>
            </w:r>
          </w:p>
        </w:tc>
        <w:tc>
          <w:tcPr/>
          <w:p>
            <w:pPr>
              <w:pStyle w:val="Compact"/>
              <w:jc w:val="left"/>
            </w:pPr>
            <w:r>
              <w:t xml:space="preserve">7035</w:t>
            </w:r>
          </w:p>
        </w:tc>
        <w:tc>
          <w:tcPr/>
          <w:p>
            <w:pPr>
              <w:pStyle w:val="Compact"/>
              <w:jc w:val="left"/>
            </w:pPr>
            <w:r>
              <w:t xml:space="preserve">0</w:t>
            </w:r>
          </w:p>
        </w:tc>
        <w:tc>
          <w:tcPr/>
          <w:p>
            <w:pPr>
              <w:pStyle w:val="Compact"/>
              <w:jc w:val="left"/>
            </w:pPr>
            <w:r>
              <w:t xml:space="preserve">0,00 %</w:t>
            </w:r>
          </w:p>
        </w:tc>
      </w:tr>
      <w:tr>
        <w:tc>
          <w:tcPr/>
          <w:p>
            <w:pPr>
              <w:pStyle w:val="Compact"/>
              <w:jc w:val="left"/>
            </w:pPr>
            <w:r>
              <w:t xml:space="preserve">Menor nivel educativo registrado</w:t>
            </w:r>
          </w:p>
        </w:tc>
        <w:tc>
          <w:tcPr/>
          <w:p>
            <w:pPr>
              <w:pStyle w:val="Compact"/>
              <w:jc w:val="left"/>
            </w:pPr>
            <w:r>
              <w:t xml:space="preserve">7035</w:t>
            </w:r>
          </w:p>
        </w:tc>
        <w:tc>
          <w:tcPr/>
          <w:p>
            <w:pPr>
              <w:pStyle w:val="Compact"/>
              <w:jc w:val="left"/>
            </w:pPr>
            <w:r>
              <w:t xml:space="preserve">0</w:t>
            </w:r>
          </w:p>
        </w:tc>
        <w:tc>
          <w:tcPr/>
          <w:p>
            <w:pPr>
              <w:pStyle w:val="Compact"/>
              <w:jc w:val="left"/>
            </w:pPr>
            <w:r>
              <w:t xml:space="preserve">0,00 %</w:t>
            </w:r>
          </w:p>
        </w:tc>
      </w:tr>
      <w:tr>
        <w:tc>
          <w:tcPr/>
          <w:p>
            <w:pPr>
              <w:pStyle w:val="Compact"/>
              <w:jc w:val="left"/>
            </w:pPr>
            <w:r>
              <w:t xml:space="preserve">Etnia minoritaria</w:t>
            </w:r>
          </w:p>
        </w:tc>
        <w:tc>
          <w:tcPr/>
          <w:p>
            <w:pPr>
              <w:pStyle w:val="Compact"/>
              <w:jc w:val="left"/>
            </w:pPr>
            <w:r>
              <w:t xml:space="preserve">7035</w:t>
            </w:r>
          </w:p>
        </w:tc>
        <w:tc>
          <w:tcPr/>
          <w:p>
            <w:pPr>
              <w:pStyle w:val="Compact"/>
              <w:jc w:val="left"/>
            </w:pPr>
            <w:r>
              <w:t xml:space="preserve">0</w:t>
            </w:r>
          </w:p>
        </w:tc>
        <w:tc>
          <w:tcPr/>
          <w:p>
            <w:pPr>
              <w:pStyle w:val="Compact"/>
              <w:jc w:val="left"/>
            </w:pPr>
            <w:r>
              <w:t xml:space="preserve">0,00 %</w:t>
            </w:r>
          </w:p>
        </w:tc>
      </w:tr>
      <w:tr>
        <w:tc>
          <w:tcPr/>
          <w:p>
            <w:pPr>
              <w:pStyle w:val="Compact"/>
              <w:jc w:val="left"/>
            </w:pPr>
            <w:r>
              <w:t xml:space="preserve">Gestas previas</w:t>
            </w:r>
          </w:p>
        </w:tc>
        <w:tc>
          <w:tcPr/>
          <w:p>
            <w:pPr>
              <w:pStyle w:val="Compact"/>
              <w:jc w:val="left"/>
            </w:pPr>
            <w:r>
              <w:t xml:space="preserve">7035</w:t>
            </w:r>
          </w:p>
        </w:tc>
        <w:tc>
          <w:tcPr/>
          <w:p>
            <w:pPr>
              <w:pStyle w:val="Compact"/>
              <w:jc w:val="left"/>
            </w:pPr>
            <w:r>
              <w:t xml:space="preserve">0</w:t>
            </w:r>
          </w:p>
        </w:tc>
        <w:tc>
          <w:tcPr/>
          <w:p>
            <w:pPr>
              <w:pStyle w:val="Compact"/>
              <w:jc w:val="left"/>
            </w:pPr>
            <w:r>
              <w:t xml:space="preserve">0,00 %</w:t>
            </w:r>
          </w:p>
        </w:tc>
      </w:tr>
      <w:tr>
        <w:tc>
          <w:tcPr/>
          <w:p>
            <w:pPr>
              <w:pStyle w:val="Compact"/>
              <w:jc w:val="left"/>
            </w:pPr>
            <w:r>
              <w:t xml:space="preserve">Embarazo múltiple</w:t>
            </w:r>
          </w:p>
        </w:tc>
        <w:tc>
          <w:tcPr/>
          <w:p>
            <w:pPr>
              <w:pStyle w:val="Compact"/>
              <w:jc w:val="left"/>
            </w:pPr>
            <w:r>
              <w:t xml:space="preserve">7035</w:t>
            </w:r>
          </w:p>
        </w:tc>
        <w:tc>
          <w:tcPr/>
          <w:p>
            <w:pPr>
              <w:pStyle w:val="Compact"/>
              <w:jc w:val="left"/>
            </w:pPr>
            <w:r>
              <w:t xml:space="preserve">0</w:t>
            </w:r>
          </w:p>
        </w:tc>
        <w:tc>
          <w:tcPr/>
          <w:p>
            <w:pPr>
              <w:pStyle w:val="Compact"/>
              <w:jc w:val="left"/>
            </w:pPr>
            <w:r>
              <w:t xml:space="preserve">0,00 %</w:t>
            </w:r>
          </w:p>
        </w:tc>
      </w:tr>
      <w:tr>
        <w:tc>
          <w:tcPr/>
          <w:p>
            <w:pPr>
              <w:pStyle w:val="Compact"/>
              <w:jc w:val="left"/>
            </w:pPr>
            <w:r>
              <w:t xml:space="preserve">Embarazo planeado (registrado)</w:t>
            </w:r>
          </w:p>
        </w:tc>
        <w:tc>
          <w:tcPr/>
          <w:p>
            <w:pPr>
              <w:pStyle w:val="Compact"/>
              <w:jc w:val="left"/>
            </w:pPr>
            <w:r>
              <w:t xml:space="preserve">7035</w:t>
            </w:r>
          </w:p>
        </w:tc>
        <w:tc>
          <w:tcPr/>
          <w:p>
            <w:pPr>
              <w:pStyle w:val="Compact"/>
              <w:jc w:val="left"/>
            </w:pPr>
            <w:r>
              <w:t xml:space="preserve">0</w:t>
            </w:r>
          </w:p>
        </w:tc>
        <w:tc>
          <w:tcPr/>
          <w:p>
            <w:pPr>
              <w:pStyle w:val="Compact"/>
              <w:jc w:val="left"/>
            </w:pPr>
            <w:r>
              <w:t xml:space="preserve">0,00 %</w:t>
            </w:r>
          </w:p>
        </w:tc>
      </w:tr>
      <w:tr>
        <w:tc>
          <w:tcPr/>
          <w:p>
            <w:pPr>
              <w:pStyle w:val="Compact"/>
              <w:jc w:val="left"/>
            </w:pPr>
            <w:r>
              <w:t xml:space="preserve">Falla de método anticonceptivo (registrada)</w:t>
            </w:r>
          </w:p>
        </w:tc>
        <w:tc>
          <w:tcPr/>
          <w:p>
            <w:pPr>
              <w:pStyle w:val="Compact"/>
              <w:jc w:val="left"/>
            </w:pPr>
            <w:r>
              <w:t xml:space="preserve">7035</w:t>
            </w:r>
          </w:p>
        </w:tc>
        <w:tc>
          <w:tcPr/>
          <w:p>
            <w:pPr>
              <w:pStyle w:val="Compact"/>
              <w:jc w:val="left"/>
            </w:pPr>
            <w:r>
              <w:t xml:space="preserve">0</w:t>
            </w:r>
          </w:p>
        </w:tc>
        <w:tc>
          <w:tcPr/>
          <w:p>
            <w:pPr>
              <w:pStyle w:val="Compact"/>
              <w:jc w:val="left"/>
            </w:pPr>
            <w:r>
              <w:t xml:space="preserve">0,00 %</w:t>
            </w:r>
          </w:p>
        </w:tc>
      </w:tr>
      <w:tr>
        <w:tc>
          <w:tcPr/>
          <w:p>
            <w:pPr>
              <w:pStyle w:val="Compact"/>
              <w:jc w:val="left"/>
            </w:pPr>
            <w:r>
              <w:t xml:space="preserve">Compromiso del bienestar fetal</w:t>
            </w:r>
          </w:p>
        </w:tc>
        <w:tc>
          <w:tcPr/>
          <w:p>
            <w:pPr>
              <w:pStyle w:val="Compact"/>
              <w:jc w:val="left"/>
            </w:pPr>
            <w:r>
              <w:t xml:space="preserve">7035</w:t>
            </w:r>
          </w:p>
        </w:tc>
        <w:tc>
          <w:tcPr/>
          <w:p>
            <w:pPr>
              <w:pStyle w:val="Compact"/>
              <w:jc w:val="left"/>
            </w:pPr>
            <w:r>
              <w:t xml:space="preserve">0</w:t>
            </w:r>
          </w:p>
        </w:tc>
        <w:tc>
          <w:tcPr/>
          <w:p>
            <w:pPr>
              <w:pStyle w:val="Compact"/>
              <w:jc w:val="left"/>
            </w:pPr>
            <w:r>
              <w:t xml:space="preserve">0,00 %</w:t>
            </w:r>
          </w:p>
        </w:tc>
      </w:tr>
      <w:tr>
        <w:tc>
          <w:tcPr/>
          <w:p>
            <w:pPr>
              <w:pStyle w:val="Compact"/>
              <w:jc w:val="left"/>
            </w:pPr>
            <w:r>
              <w:t xml:space="preserve">Macrosómico</w:t>
            </w:r>
          </w:p>
        </w:tc>
        <w:tc>
          <w:tcPr/>
          <w:p>
            <w:pPr>
              <w:pStyle w:val="Compact"/>
              <w:jc w:val="left"/>
            </w:pPr>
            <w:r>
              <w:t xml:space="preserve">7035</w:t>
            </w:r>
          </w:p>
        </w:tc>
        <w:tc>
          <w:tcPr/>
          <w:p>
            <w:pPr>
              <w:pStyle w:val="Compact"/>
              <w:jc w:val="left"/>
            </w:pPr>
            <w:r>
              <w:t xml:space="preserve">0</w:t>
            </w:r>
          </w:p>
        </w:tc>
        <w:tc>
          <w:tcPr/>
          <w:p>
            <w:pPr>
              <w:pStyle w:val="Compact"/>
              <w:jc w:val="left"/>
            </w:pPr>
            <w:r>
              <w:t xml:space="preserve">0,00 %</w:t>
            </w:r>
          </w:p>
        </w:tc>
      </w:tr>
      <w:tr>
        <w:tc>
          <w:tcPr/>
          <w:p>
            <w:pPr>
              <w:pStyle w:val="Compact"/>
              <w:jc w:val="left"/>
            </w:pPr>
            <w:r>
              <w:t xml:space="preserve">Ictericia neonatal</w:t>
            </w:r>
          </w:p>
        </w:tc>
        <w:tc>
          <w:tcPr/>
          <w:p>
            <w:pPr>
              <w:pStyle w:val="Compact"/>
              <w:jc w:val="left"/>
            </w:pPr>
            <w:r>
              <w:t xml:space="preserve">7035</w:t>
            </w:r>
          </w:p>
        </w:tc>
        <w:tc>
          <w:tcPr/>
          <w:p>
            <w:pPr>
              <w:pStyle w:val="Compact"/>
              <w:jc w:val="left"/>
            </w:pPr>
            <w:r>
              <w:t xml:space="preserve">0</w:t>
            </w:r>
          </w:p>
        </w:tc>
        <w:tc>
          <w:tcPr/>
          <w:p>
            <w:pPr>
              <w:pStyle w:val="Compact"/>
              <w:jc w:val="left"/>
            </w:pPr>
            <w:r>
              <w:t xml:space="preserve">0,00 %</w:t>
            </w:r>
          </w:p>
        </w:tc>
      </w:tr>
    </w:tbl>
    <w:bookmarkEnd w:id="28"/>
    <w:bookmarkStart w:id="29" w:name="X4497c148d95056527ed024798866b13fe0d9314"/>
    <w:p>
      <w:pPr>
        <w:pStyle w:val="Heading2"/>
      </w:pPr>
      <w:r>
        <w:t xml:space="preserve">Tabla S5. Regla operacional de contactos prenatales esperados según edad gestacional</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Edad gestacional al parto</w:t>
            </w:r>
          </w:p>
        </w:tc>
        <w:tc>
          <w:tcPr/>
          <w:p>
            <w:pPr>
              <w:pStyle w:val="Compact"/>
              <w:jc w:val="right"/>
            </w:pPr>
            <w:r>
              <w:rPr>
                <w:b/>
                <w:bCs/>
              </w:rPr>
              <w:t xml:space="preserve">Contactos esperados</w:t>
            </w:r>
          </w:p>
        </w:tc>
      </w:tr>
      <w:tr>
        <w:tc>
          <w:tcPr/>
          <w:p>
            <w:pPr>
              <w:pStyle w:val="Compact"/>
              <w:jc w:val="left"/>
            </w:pPr>
            <w:r>
              <w:t xml:space="preserve">&lt;20 semanas</w:t>
            </w:r>
          </w:p>
        </w:tc>
        <w:tc>
          <w:tcPr/>
          <w:p>
            <w:pPr>
              <w:pStyle w:val="Compact"/>
              <w:jc w:val="right"/>
            </w:pPr>
            <w:r>
              <w:t xml:space="preserve">1</w:t>
            </w:r>
          </w:p>
        </w:tc>
      </w:tr>
      <w:tr>
        <w:tc>
          <w:tcPr/>
          <w:p>
            <w:pPr>
              <w:pStyle w:val="Compact"/>
              <w:jc w:val="left"/>
            </w:pPr>
            <w:r>
              <w:t xml:space="preserve">20–&lt;26 semanas</w:t>
            </w:r>
          </w:p>
        </w:tc>
        <w:tc>
          <w:tcPr/>
          <w:p>
            <w:pPr>
              <w:pStyle w:val="Compact"/>
              <w:jc w:val="right"/>
            </w:pPr>
            <w:r>
              <w:t xml:space="preserve">2</w:t>
            </w:r>
          </w:p>
        </w:tc>
      </w:tr>
      <w:tr>
        <w:tc>
          <w:tcPr/>
          <w:p>
            <w:pPr>
              <w:pStyle w:val="Compact"/>
              <w:jc w:val="left"/>
            </w:pPr>
            <w:r>
              <w:t xml:space="preserve">26–&lt;30 semanas</w:t>
            </w:r>
          </w:p>
        </w:tc>
        <w:tc>
          <w:tcPr/>
          <w:p>
            <w:pPr>
              <w:pStyle w:val="Compact"/>
              <w:jc w:val="right"/>
            </w:pPr>
            <w:r>
              <w:t xml:space="preserve">3</w:t>
            </w:r>
          </w:p>
        </w:tc>
      </w:tr>
      <w:tr>
        <w:tc>
          <w:tcPr/>
          <w:p>
            <w:pPr>
              <w:pStyle w:val="Compact"/>
              <w:jc w:val="left"/>
            </w:pPr>
            <w:r>
              <w:t xml:space="preserve">30–&lt;34 semanas</w:t>
            </w:r>
          </w:p>
        </w:tc>
        <w:tc>
          <w:tcPr/>
          <w:p>
            <w:pPr>
              <w:pStyle w:val="Compact"/>
              <w:jc w:val="right"/>
            </w:pPr>
            <w:r>
              <w:t xml:space="preserve">4</w:t>
            </w:r>
          </w:p>
        </w:tc>
      </w:tr>
      <w:tr>
        <w:tc>
          <w:tcPr/>
          <w:p>
            <w:pPr>
              <w:pStyle w:val="Compact"/>
              <w:jc w:val="left"/>
            </w:pPr>
            <w:r>
              <w:t xml:space="preserve">34–&lt;36 semanas</w:t>
            </w:r>
          </w:p>
        </w:tc>
        <w:tc>
          <w:tcPr/>
          <w:p>
            <w:pPr>
              <w:pStyle w:val="Compact"/>
              <w:jc w:val="right"/>
            </w:pPr>
            <w:r>
              <w:t xml:space="preserve">5</w:t>
            </w:r>
          </w:p>
        </w:tc>
      </w:tr>
      <w:tr>
        <w:tc>
          <w:tcPr/>
          <w:p>
            <w:pPr>
              <w:pStyle w:val="Compact"/>
              <w:jc w:val="left"/>
            </w:pPr>
            <w:r>
              <w:t xml:space="preserve">36–&lt;38 semanas</w:t>
            </w:r>
          </w:p>
        </w:tc>
        <w:tc>
          <w:tcPr/>
          <w:p>
            <w:pPr>
              <w:pStyle w:val="Compact"/>
              <w:jc w:val="right"/>
            </w:pPr>
            <w:r>
              <w:t xml:space="preserve">6</w:t>
            </w:r>
          </w:p>
        </w:tc>
      </w:tr>
      <w:tr>
        <w:tc>
          <w:tcPr/>
          <w:p>
            <w:pPr>
              <w:pStyle w:val="Compact"/>
              <w:jc w:val="left"/>
            </w:pPr>
            <w:r>
              <w:t xml:space="preserve">38–&lt;40 semanas</w:t>
            </w:r>
          </w:p>
        </w:tc>
        <w:tc>
          <w:tcPr/>
          <w:p>
            <w:pPr>
              <w:pStyle w:val="Compact"/>
              <w:jc w:val="right"/>
            </w:pPr>
            <w:r>
              <w:t xml:space="preserve">7</w:t>
            </w:r>
          </w:p>
        </w:tc>
      </w:tr>
      <w:tr>
        <w:tc>
          <w:tcPr/>
          <w:p>
            <w:pPr>
              <w:pStyle w:val="Compact"/>
              <w:jc w:val="left"/>
            </w:pPr>
            <w:r>
              <w:t xml:space="preserve">≥40 semanas</w:t>
            </w:r>
          </w:p>
        </w:tc>
        <w:tc>
          <w:tcPr/>
          <w:p>
            <w:pPr>
              <w:pStyle w:val="Compact"/>
              <w:jc w:val="right"/>
            </w:pPr>
            <w:r>
              <w:t xml:space="preserve">8</w:t>
            </w:r>
          </w:p>
        </w:tc>
      </w:tr>
    </w:tbl>
    <w:p>
      <w:pPr>
        <w:pStyle w:val="BodyText"/>
      </w:pPr>
      <w:r>
        <w:t xml:space="preserve">Operacionalización acumulativa del esquema OMS de ocho contactos utilizada para calcular la proporción de contactos observados respecto de los esperados. Sin controles = 0; inadecuado = &gt;0 y &lt;50 %; intermedio = 50 a &lt;80 %; adecuado = ≥80 %.</w:t>
      </w:r>
    </w:p>
    <w:bookmarkEnd w:id="29"/>
    <w:bookmarkStart w:id="30" w:name="X4ee8c20545cfe83faa660c6369d5d4199ca145c"/>
    <w:p>
      <w:pPr>
        <w:pStyle w:val="Heading2"/>
      </w:pPr>
      <w:r>
        <w:t xml:space="preserve">Tabla S6. Thresholds y diagnósticos del modelo ordinal de adecuación del control prenatal</w:t>
      </w:r>
    </w:p>
    <w:tbl>
      <w:tblPr>
        <w:tblStyle w:val="Table"/>
        <w:tblW w:type="pct" w:w="5000"/>
        <w:tblLayout w:type="fixed"/>
        <w:tblLook w:firstRow="1" w:lastRow="0" w:firstColumn="0" w:lastColumn="0" w:noHBand="0" w:noVBand="0" w:val="0020"/>
      </w:tblPr>
      <w:tblGrid>
        <w:gridCol w:w="1431"/>
        <w:gridCol w:w="1049"/>
        <w:gridCol w:w="1717"/>
        <w:gridCol w:w="1049"/>
        <w:gridCol w:w="1335"/>
        <w:gridCol w:w="1335"/>
      </w:tblGrid>
      <w:tr>
        <w:trPr>
          <w:tblHeader w:val="on"/>
        </w:trPr>
        <w:tc>
          <w:tcPr/>
          <w:p>
            <w:pPr>
              <w:pStyle w:val="Compact"/>
              <w:jc w:val="right"/>
            </w:pPr>
            <w:r>
              <w:rPr>
                <w:b/>
                <w:bCs/>
              </w:rPr>
              <w:t xml:space="preserve">Threshold</w:t>
            </w:r>
          </w:p>
        </w:tc>
        <w:tc>
          <w:tcPr/>
          <w:p>
            <w:pPr>
              <w:pStyle w:val="Compact"/>
              <w:jc w:val="right"/>
            </w:pPr>
            <w:r>
              <w:rPr>
                <w:b/>
                <w:bCs/>
              </w:rPr>
              <w:t xml:space="preserve">Mediana posterior</w:t>
            </w:r>
          </w:p>
        </w:tc>
        <w:tc>
          <w:tcPr/>
          <w:p>
            <w:pPr>
              <w:pStyle w:val="Compact"/>
              <w:jc w:val="left"/>
            </w:pPr>
            <w:r>
              <w:rPr>
                <w:b/>
                <w:bCs/>
              </w:rPr>
              <w:t xml:space="preserve">ICr95 %</w:t>
            </w:r>
          </w:p>
        </w:tc>
        <w:tc>
          <w:tcPr/>
          <w:p>
            <w:pPr>
              <w:pStyle w:val="Compact"/>
              <w:jc w:val="right"/>
            </w:pPr>
            <w:r>
              <w:rPr>
                <w:b/>
                <w:bCs/>
              </w:rPr>
              <w:t xml:space="preserve">R-hat</w:t>
            </w:r>
          </w:p>
        </w:tc>
        <w:tc>
          <w:tcPr/>
          <w:p>
            <w:pPr>
              <w:pStyle w:val="Compact"/>
              <w:jc w:val="right"/>
            </w:pPr>
            <w:r>
              <w:rPr>
                <w:b/>
                <w:bCs/>
              </w:rPr>
              <w:t xml:space="preserve">ESS bulk</w:t>
            </w:r>
          </w:p>
        </w:tc>
        <w:tc>
          <w:tcPr/>
          <w:p>
            <w:pPr>
              <w:pStyle w:val="Compact"/>
              <w:jc w:val="right"/>
            </w:pPr>
            <w:r>
              <w:rPr>
                <w:b/>
                <w:bCs/>
              </w:rPr>
              <w:t xml:space="preserve">ESS tail</w:t>
            </w:r>
          </w:p>
        </w:tc>
      </w:tr>
      <w:tr>
        <w:tc>
          <w:tcPr/>
          <w:p>
            <w:pPr>
              <w:pStyle w:val="Compact"/>
              <w:jc w:val="right"/>
            </w:pPr>
            <w:r>
              <w:t xml:space="preserve">1</w:t>
            </w:r>
          </w:p>
        </w:tc>
        <w:tc>
          <w:tcPr/>
          <w:p>
            <w:pPr>
              <w:pStyle w:val="Compact"/>
              <w:jc w:val="right"/>
            </w:pPr>
            <w:r>
              <w:t xml:space="preserve">-3,606</w:t>
            </w:r>
          </w:p>
        </w:tc>
        <w:tc>
          <w:tcPr/>
          <w:p>
            <w:pPr>
              <w:pStyle w:val="Compact"/>
              <w:jc w:val="left"/>
            </w:pPr>
            <w:r>
              <w:t xml:space="preserve">-3,755 a -3,462</w:t>
            </w:r>
          </w:p>
        </w:tc>
        <w:tc>
          <w:tcPr/>
          <w:p>
            <w:pPr>
              <w:pStyle w:val="Compact"/>
              <w:jc w:val="right"/>
            </w:pPr>
            <w:r>
              <w:t xml:space="preserve">1,0009</w:t>
            </w:r>
          </w:p>
        </w:tc>
        <w:tc>
          <w:tcPr/>
          <w:p>
            <w:pPr>
              <w:pStyle w:val="Compact"/>
              <w:jc w:val="right"/>
            </w:pPr>
            <w:r>
              <w:t xml:space="preserve">4182</w:t>
            </w:r>
          </w:p>
        </w:tc>
        <w:tc>
          <w:tcPr/>
          <w:p>
            <w:pPr>
              <w:pStyle w:val="Compact"/>
              <w:jc w:val="right"/>
            </w:pPr>
            <w:r>
              <w:t xml:space="preserve">5217</w:t>
            </w:r>
          </w:p>
        </w:tc>
      </w:tr>
      <w:tr>
        <w:tc>
          <w:tcPr/>
          <w:p>
            <w:pPr>
              <w:pStyle w:val="Compact"/>
              <w:jc w:val="right"/>
            </w:pPr>
            <w:r>
              <w:t xml:space="preserve">2</w:t>
            </w:r>
          </w:p>
        </w:tc>
        <w:tc>
          <w:tcPr/>
          <w:p>
            <w:pPr>
              <w:pStyle w:val="Compact"/>
              <w:jc w:val="right"/>
            </w:pPr>
            <w:r>
              <w:t xml:space="preserve">-1,851</w:t>
            </w:r>
          </w:p>
        </w:tc>
        <w:tc>
          <w:tcPr/>
          <w:p>
            <w:pPr>
              <w:pStyle w:val="Compact"/>
              <w:jc w:val="left"/>
            </w:pPr>
            <w:r>
              <w:t xml:space="preserve">-1,920 a -1,783</w:t>
            </w:r>
          </w:p>
        </w:tc>
        <w:tc>
          <w:tcPr/>
          <w:p>
            <w:pPr>
              <w:pStyle w:val="Compact"/>
              <w:jc w:val="right"/>
            </w:pPr>
            <w:r>
              <w:t xml:space="preserve">1,0000</w:t>
            </w:r>
          </w:p>
        </w:tc>
        <w:tc>
          <w:tcPr/>
          <w:p>
            <w:pPr>
              <w:pStyle w:val="Compact"/>
              <w:jc w:val="right"/>
            </w:pPr>
            <w:r>
              <w:t xml:space="preserve">7491</w:t>
            </w:r>
          </w:p>
        </w:tc>
        <w:tc>
          <w:tcPr/>
          <w:p>
            <w:pPr>
              <w:pStyle w:val="Compact"/>
              <w:jc w:val="right"/>
            </w:pPr>
            <w:r>
              <w:t xml:space="preserve">8221</w:t>
            </w:r>
          </w:p>
        </w:tc>
      </w:tr>
      <w:tr>
        <w:tc>
          <w:tcPr/>
          <w:p>
            <w:pPr>
              <w:pStyle w:val="Compact"/>
              <w:jc w:val="right"/>
            </w:pPr>
            <w:r>
              <w:t xml:space="preserve">3</w:t>
            </w:r>
          </w:p>
        </w:tc>
        <w:tc>
          <w:tcPr/>
          <w:p>
            <w:pPr>
              <w:pStyle w:val="Compact"/>
              <w:jc w:val="right"/>
            </w:pPr>
            <w:r>
              <w:t xml:space="preserve">-0,476</w:t>
            </w:r>
          </w:p>
        </w:tc>
        <w:tc>
          <w:tcPr/>
          <w:p>
            <w:pPr>
              <w:pStyle w:val="Compact"/>
              <w:jc w:val="left"/>
            </w:pPr>
            <w:r>
              <w:t xml:space="preserve">-0,525 a -0,426</w:t>
            </w:r>
          </w:p>
        </w:tc>
        <w:tc>
          <w:tcPr/>
          <w:p>
            <w:pPr>
              <w:pStyle w:val="Compact"/>
              <w:jc w:val="right"/>
            </w:pPr>
            <w:r>
              <w:t xml:space="preserve">1,0004</w:t>
            </w:r>
          </w:p>
        </w:tc>
        <w:tc>
          <w:tcPr/>
          <w:p>
            <w:pPr>
              <w:pStyle w:val="Compact"/>
              <w:jc w:val="right"/>
            </w:pPr>
            <w:r>
              <w:t xml:space="preserve">13153</w:t>
            </w:r>
          </w:p>
        </w:tc>
        <w:tc>
          <w:tcPr/>
          <w:p>
            <w:pPr>
              <w:pStyle w:val="Compact"/>
              <w:jc w:val="right"/>
            </w:pPr>
            <w:r>
              <w:t xml:space="preserve">8617</w:t>
            </w:r>
          </w:p>
        </w:tc>
      </w:tr>
    </w:tbl>
    <w:p>
      <w:pPr>
        <w:pStyle w:val="BodyText"/>
      </w:pPr>
      <w:r>
        <w:t xml:space="preserve">Diagnósticos globales del modelo cumulative-logit: R-hat máximo=1,0009; ESS bulk mínimo=4182; ESS tail mínimo=5184; cero divergencias; profundidad de árbol máxima observada=7 (máxima configurada=15), sin transiciones en la profundidad máxima; E-BFMI mínimo=0,985. Estos diagnósticos no indicaron problemas de convergencia o muestreo.</w:t>
      </w:r>
    </w:p>
    <w:bookmarkEnd w:id="30"/>
    <w:bookmarkStart w:id="31" w:name="Xd4b50690a2b0f3475a096daad50bc02f57ddd66"/>
    <w:p>
      <w:pPr>
        <w:pStyle w:val="Heading2"/>
      </w:pPr>
      <w:r>
        <w:t xml:space="preserve">Tabla S7. Sensibilidad del supuesto de odds proporcionales</w:t>
      </w:r>
    </w:p>
    <w:tbl>
      <w:tblPr>
        <w:tblStyle w:val="Table"/>
        <w:tblW w:type="pct" w:w="5000"/>
        <w:tblLayout w:type="fixed"/>
        <w:tblLook w:firstRow="1" w:lastRow="0" w:firstColumn="0" w:lastColumn="0" w:noHBand="0" w:noVBand="0" w:val="0020"/>
      </w:tblPr>
      <w:tblGrid>
        <w:gridCol w:w="2920"/>
        <w:gridCol w:w="309"/>
        <w:gridCol w:w="1681"/>
        <w:gridCol w:w="929"/>
        <w:gridCol w:w="973"/>
        <w:gridCol w:w="1106"/>
      </w:tblGrid>
      <w:tr>
        <w:trPr>
          <w:tblHeader w:val="on"/>
        </w:trPr>
        <w:tc>
          <w:tcPr/>
          <w:p>
            <w:pPr>
              <w:pStyle w:val="Compact"/>
              <w:jc w:val="left"/>
            </w:pPr>
            <w:r>
              <w:rPr>
                <w:b/>
                <w:bCs/>
              </w:rPr>
              <w:t xml:space="preserve">Corte acumulativo</w:t>
            </w:r>
          </w:p>
        </w:tc>
        <w:tc>
          <w:tcPr/>
          <w:p>
            <w:pPr>
              <w:pStyle w:val="Compact"/>
              <w:jc w:val="right"/>
            </w:pPr>
            <w:r>
              <w:rPr>
                <w:b/>
                <w:bCs/>
              </w:rPr>
              <w:t xml:space="preserve">n</w:t>
            </w:r>
          </w:p>
        </w:tc>
        <w:tc>
          <w:tcPr/>
          <w:p>
            <w:pPr>
              <w:pStyle w:val="Compact"/>
              <w:jc w:val="right"/>
            </w:pPr>
            <w:r>
              <w:rPr>
                <w:b/>
                <w:bCs/>
              </w:rPr>
              <w:t xml:space="preserve">Eventos en categorías superiores</w:t>
            </w:r>
          </w:p>
        </w:tc>
        <w:tc>
          <w:tcPr/>
          <w:p>
            <w:pPr>
              <w:pStyle w:val="Compact"/>
              <w:jc w:val="left"/>
            </w:pPr>
            <w:r>
              <w:rPr>
                <w:b/>
                <w:bCs/>
              </w:rPr>
              <w:t xml:space="preserve">OR (ICr95 %)</w:t>
            </w:r>
          </w:p>
        </w:tc>
        <w:tc>
          <w:tcPr/>
          <w:p>
            <w:pPr>
              <w:pStyle w:val="Compact"/>
              <w:jc w:val="right"/>
            </w:pPr>
            <w:r>
              <w:rPr>
                <w:b/>
                <w:bCs/>
              </w:rPr>
              <w:t xml:space="preserve">OR ordinal común</w:t>
            </w:r>
          </w:p>
        </w:tc>
        <w:tc>
          <w:tcPr/>
          <w:p>
            <w:pPr>
              <w:pStyle w:val="Compact"/>
              <w:jc w:val="left"/>
            </w:pPr>
            <w:r>
              <w:rPr>
                <w:b/>
                <w:bCs/>
              </w:rPr>
              <w:t xml:space="preserve">Solapamiento de ICr</w:t>
            </w:r>
          </w:p>
        </w:tc>
      </w:tr>
      <w:tr>
        <w:tc>
          <w:tcPr/>
          <w:p>
            <w:pPr>
              <w:pStyle w:val="Compact"/>
              <w:jc w:val="left"/>
            </w:pPr>
            <w:r>
              <w:t xml:space="preserve">Sin controles vs. categorías superiores</w:t>
            </w:r>
          </w:p>
        </w:tc>
        <w:tc>
          <w:tcPr/>
          <w:p>
            <w:pPr>
              <w:pStyle w:val="Compact"/>
              <w:jc w:val="right"/>
            </w:pPr>
            <w:r>
              <w:t xml:space="preserve">6860</w:t>
            </w:r>
          </w:p>
        </w:tc>
        <w:tc>
          <w:tcPr/>
          <w:p>
            <w:pPr>
              <w:pStyle w:val="Compact"/>
              <w:jc w:val="right"/>
            </w:pPr>
            <w:r>
              <w:t xml:space="preserve">6674</w:t>
            </w:r>
          </w:p>
        </w:tc>
        <w:tc>
          <w:tcPr/>
          <w:p>
            <w:pPr>
              <w:pStyle w:val="Compact"/>
              <w:jc w:val="left"/>
            </w:pPr>
            <w:r>
              <w:t xml:space="preserve">0,67 (0,40–1,19)</w:t>
            </w:r>
          </w:p>
        </w:tc>
        <w:tc>
          <w:tcPr/>
          <w:p>
            <w:pPr>
              <w:pStyle w:val="Compact"/>
              <w:jc w:val="right"/>
            </w:pPr>
            <w:r>
              <w:t xml:space="preserve">0,69</w:t>
            </w:r>
          </w:p>
        </w:tc>
        <w:tc>
          <w:tcPr/>
          <w:p>
            <w:pPr>
              <w:pStyle w:val="Compact"/>
              <w:jc w:val="left"/>
            </w:pPr>
            <w:r>
              <w:t xml:space="preserve">Sí</w:t>
            </w:r>
          </w:p>
        </w:tc>
      </w:tr>
      <w:tr>
        <w:tc>
          <w:tcPr/>
          <w:p>
            <w:pPr>
              <w:pStyle w:val="Compact"/>
              <w:jc w:val="left"/>
            </w:pPr>
            <w:r>
              <w:t xml:space="preserve">Sin controles + inadecuado vs. intermedio + adecuado</w:t>
            </w:r>
          </w:p>
        </w:tc>
        <w:tc>
          <w:tcPr/>
          <w:p>
            <w:pPr>
              <w:pStyle w:val="Compact"/>
              <w:jc w:val="right"/>
            </w:pPr>
            <w:r>
              <w:t xml:space="preserve">6860</w:t>
            </w:r>
          </w:p>
        </w:tc>
        <w:tc>
          <w:tcPr/>
          <w:p>
            <w:pPr>
              <w:pStyle w:val="Compact"/>
              <w:jc w:val="right"/>
            </w:pPr>
            <w:r>
              <w:t xml:space="preserve">5910</w:t>
            </w:r>
          </w:p>
        </w:tc>
        <w:tc>
          <w:tcPr/>
          <w:p>
            <w:pPr>
              <w:pStyle w:val="Compact"/>
              <w:jc w:val="left"/>
            </w:pPr>
            <w:r>
              <w:t xml:space="preserve">0,61 (0,48–0,80)</w:t>
            </w:r>
          </w:p>
        </w:tc>
        <w:tc>
          <w:tcPr/>
          <w:p>
            <w:pPr>
              <w:pStyle w:val="Compact"/>
              <w:jc w:val="right"/>
            </w:pPr>
            <w:r>
              <w:t xml:space="preserve">0,69</w:t>
            </w:r>
          </w:p>
        </w:tc>
        <w:tc>
          <w:tcPr/>
          <w:p>
            <w:pPr>
              <w:pStyle w:val="Compact"/>
              <w:jc w:val="left"/>
            </w:pPr>
            <w:r>
              <w:t xml:space="preserve">Sí</w:t>
            </w:r>
          </w:p>
        </w:tc>
      </w:tr>
      <w:tr>
        <w:tc>
          <w:tcPr/>
          <w:p>
            <w:pPr>
              <w:pStyle w:val="Compact"/>
              <w:jc w:val="left"/>
            </w:pPr>
            <w:r>
              <w:t xml:space="preserve">Sin controles + inadecuado + intermedio vs. adecuado</w:t>
            </w:r>
          </w:p>
        </w:tc>
        <w:tc>
          <w:tcPr/>
          <w:p>
            <w:pPr>
              <w:pStyle w:val="Compact"/>
              <w:jc w:val="right"/>
            </w:pPr>
            <w:r>
              <w:t xml:space="preserve">6860</w:t>
            </w:r>
          </w:p>
        </w:tc>
        <w:tc>
          <w:tcPr/>
          <w:p>
            <w:pPr>
              <w:pStyle w:val="Compact"/>
              <w:jc w:val="right"/>
            </w:pPr>
            <w:r>
              <w:t xml:space="preserve">4198</w:t>
            </w:r>
          </w:p>
        </w:tc>
        <w:tc>
          <w:tcPr/>
          <w:p>
            <w:pPr>
              <w:pStyle w:val="Compact"/>
              <w:jc w:val="left"/>
            </w:pPr>
            <w:r>
              <w:t xml:space="preserve">0,71 (0,58–0,88)</w:t>
            </w:r>
          </w:p>
        </w:tc>
        <w:tc>
          <w:tcPr/>
          <w:p>
            <w:pPr>
              <w:pStyle w:val="Compact"/>
              <w:jc w:val="right"/>
            </w:pPr>
            <w:r>
              <w:t xml:space="preserve">0,69</w:t>
            </w:r>
          </w:p>
        </w:tc>
        <w:tc>
          <w:tcPr/>
          <w:p>
            <w:pPr>
              <w:pStyle w:val="Compact"/>
              <w:jc w:val="left"/>
            </w:pPr>
            <w:r>
              <w:t xml:space="preserve">Sí</w:t>
            </w:r>
          </w:p>
        </w:tc>
      </w:tr>
    </w:tbl>
    <w:p>
      <w:pPr>
        <w:pStyle w:val="BodyText"/>
      </w:pPr>
      <w:r>
        <w:t xml:space="preserve">Modelos Bernoulli-logit separados para cada punto de corte, con adolescentes de 15–19 años como referencia. Los tres OR fueron de magnitud cercana al OR común y sus ICr95 % se solaparon con el ICr95 % del modelo ordinal, resultado compatible con el supuesto de odds proporcionales.</w:t>
      </w:r>
    </w:p>
    <w:bookmarkEnd w:id="31"/>
    <w:bookmarkStart w:id="32" w:name="Xe5e3cc41ca40210cf1bb7737727c84a938a4f04"/>
    <w:p>
      <w:pPr>
        <w:pStyle w:val="Heading2"/>
      </w:pPr>
      <w:r>
        <w:t xml:space="preserve">Tabla S8. Comparación de modelos para el número de consultas prenatales</w:t>
      </w:r>
    </w:p>
    <w:tbl>
      <w:tblPr>
        <w:tblStyle w:val="Table"/>
        <w:tblW w:type="pct" w:w="5000"/>
        <w:tblLayout w:type="fixed"/>
        <w:tblLook w:firstRow="1" w:lastRow="0" w:firstColumn="0" w:lastColumn="0" w:noHBand="0" w:noVBand="0" w:val="0020"/>
      </w:tblPr>
      <w:tblGrid>
        <w:gridCol w:w="990"/>
        <w:gridCol w:w="1555"/>
        <w:gridCol w:w="1508"/>
        <w:gridCol w:w="660"/>
        <w:gridCol w:w="754"/>
        <w:gridCol w:w="1320"/>
        <w:gridCol w:w="1131"/>
      </w:tblGrid>
      <w:tr>
        <w:trPr>
          <w:tblHeader w:val="on"/>
        </w:trPr>
        <w:tc>
          <w:tcPr/>
          <w:p>
            <w:pPr>
              <w:pStyle w:val="Compact"/>
              <w:jc w:val="left"/>
            </w:pPr>
            <w:r>
              <w:rPr>
                <w:b/>
                <w:bCs/>
              </w:rPr>
              <w:t xml:space="preserve">Modelo</w:t>
            </w:r>
          </w:p>
        </w:tc>
        <w:tc>
          <w:tcPr/>
          <w:p>
            <w:pPr>
              <w:pStyle w:val="Compact"/>
              <w:jc w:val="left"/>
            </w:pPr>
            <w:r>
              <w:rPr>
                <w:b/>
                <w:bCs/>
              </w:rPr>
              <w:t xml:space="preserve">Ajuste por edad gestacional</w:t>
            </w:r>
          </w:p>
        </w:tc>
        <w:tc>
          <w:tcPr/>
          <w:p>
            <w:pPr>
              <w:pStyle w:val="Compact"/>
              <w:jc w:val="left"/>
            </w:pPr>
            <w:r>
              <w:rPr>
                <w:b/>
                <w:bCs/>
              </w:rPr>
              <w:t xml:space="preserve">Estimador (ICr95 %)</w:t>
            </w:r>
          </w:p>
        </w:tc>
        <w:tc>
          <w:tcPr/>
          <w:p>
            <w:pPr>
              <w:pStyle w:val="Compact"/>
              <w:jc w:val="right"/>
            </w:pPr>
            <w:r>
              <w:rPr>
                <w:b/>
                <w:bCs/>
              </w:rPr>
              <w:t xml:space="preserve">ELPD-LOO</w:t>
            </w:r>
          </w:p>
        </w:tc>
        <w:tc>
          <w:tcPr/>
          <w:p>
            <w:pPr>
              <w:pStyle w:val="Compact"/>
              <w:jc w:val="right"/>
            </w:pPr>
            <w:r>
              <w:rPr>
                <w:b/>
                <w:bCs/>
              </w:rPr>
              <w:t xml:space="preserve">Delta ELPD</w:t>
            </w:r>
          </w:p>
        </w:tc>
        <w:tc>
          <w:tcPr/>
          <w:p>
            <w:pPr>
              <w:pStyle w:val="Compact"/>
              <w:jc w:val="left"/>
            </w:pPr>
            <w:r>
              <w:rPr>
                <w:b/>
                <w:bCs/>
              </w:rPr>
              <w:t xml:space="preserve">PPC fuera del ICr95 %</w:t>
            </w:r>
          </w:p>
        </w:tc>
        <w:tc>
          <w:tcPr/>
          <w:p>
            <w:pPr>
              <w:pStyle w:val="Compact"/>
              <w:jc w:val="left"/>
            </w:pPr>
            <w:r>
              <w:rPr>
                <w:b/>
                <w:bCs/>
              </w:rPr>
              <w:t xml:space="preserve">R-hat máx. / Div.</w:t>
            </w:r>
          </w:p>
        </w:tc>
      </w:tr>
      <w:tr>
        <w:tc>
          <w:tcPr/>
          <w:p>
            <w:pPr>
              <w:pStyle w:val="Compact"/>
              <w:jc w:val="left"/>
            </w:pPr>
            <w:r>
              <w:t xml:space="preserve">Binomial negativa</w:t>
            </w:r>
          </w:p>
        </w:tc>
        <w:tc>
          <w:tcPr/>
          <w:p>
            <w:pPr>
              <w:pStyle w:val="Compact"/>
              <w:jc w:val="left"/>
            </w:pPr>
            <w:r>
              <w:t xml:space="preserve">No</w:t>
            </w:r>
          </w:p>
        </w:tc>
        <w:tc>
          <w:tcPr/>
          <w:p>
            <w:pPr>
              <w:pStyle w:val="Compact"/>
              <w:jc w:val="left"/>
            </w:pPr>
            <w:r>
              <w:t xml:space="preserve">RM 0,902 (0,856–0,953)</w:t>
            </w:r>
          </w:p>
        </w:tc>
        <w:tc>
          <w:tcPr/>
          <w:p>
            <w:pPr>
              <w:pStyle w:val="Compact"/>
              <w:jc w:val="right"/>
            </w:pPr>
            <w:r>
              <w:t xml:space="preserve">-16763,08</w:t>
            </w:r>
          </w:p>
        </w:tc>
        <w:tc>
          <w:tcPr/>
          <w:p>
            <w:pPr>
              <w:pStyle w:val="Compact"/>
              <w:jc w:val="right"/>
            </w:pPr>
            <w:r>
              <w:t xml:space="preserve">0,00</w:t>
            </w:r>
          </w:p>
        </w:tc>
        <w:tc>
          <w:tcPr/>
          <w:p>
            <w:pPr>
              <w:pStyle w:val="Compact"/>
              <w:jc w:val="left"/>
            </w:pPr>
            <w:r>
              <w:t xml:space="preserve">6/16</w:t>
            </w:r>
          </w:p>
        </w:tc>
        <w:tc>
          <w:tcPr/>
          <w:p>
            <w:pPr>
              <w:pStyle w:val="Compact"/>
              <w:jc w:val="left"/>
            </w:pPr>
            <w:r>
              <w:t xml:space="preserve">1,0004 / 0</w:t>
            </w:r>
          </w:p>
        </w:tc>
      </w:tr>
      <w:tr>
        <w:tc>
          <w:tcPr/>
          <w:p>
            <w:pPr>
              <w:pStyle w:val="Compact"/>
              <w:jc w:val="left"/>
            </w:pPr>
            <w:r>
              <w:t xml:space="preserve">Gaussiano</w:t>
            </w:r>
          </w:p>
        </w:tc>
        <w:tc>
          <w:tcPr/>
          <w:p>
            <w:pPr>
              <w:pStyle w:val="Compact"/>
              <w:jc w:val="left"/>
            </w:pPr>
            <w:r>
              <w:t xml:space="preserve">No</w:t>
            </w:r>
          </w:p>
        </w:tc>
        <w:tc>
          <w:tcPr/>
          <w:p>
            <w:pPr>
              <w:pStyle w:val="Compact"/>
              <w:jc w:val="left"/>
            </w:pPr>
            <w:r>
              <w:t xml:space="preserve">DM -0,561 (-0,854 a -0,272)</w:t>
            </w:r>
          </w:p>
        </w:tc>
        <w:tc>
          <w:tcPr/>
          <w:p>
            <w:pPr>
              <w:pStyle w:val="Compact"/>
              <w:jc w:val="right"/>
            </w:pPr>
            <w:r>
              <w:t xml:space="preserve">-16772,73</w:t>
            </w:r>
          </w:p>
        </w:tc>
        <w:tc>
          <w:tcPr/>
          <w:p>
            <w:pPr>
              <w:pStyle w:val="Compact"/>
              <w:jc w:val="right"/>
            </w:pPr>
            <w:r>
              <w:t xml:space="preserve">-9,65</w:t>
            </w:r>
          </w:p>
        </w:tc>
        <w:tc>
          <w:tcPr/>
          <w:p>
            <w:pPr>
              <w:pStyle w:val="Compact"/>
              <w:jc w:val="left"/>
            </w:pPr>
            <w:r>
              <w:t xml:space="preserve">12/16</w:t>
            </w:r>
          </w:p>
        </w:tc>
        <w:tc>
          <w:tcPr/>
          <w:p>
            <w:pPr>
              <w:pStyle w:val="Compact"/>
              <w:jc w:val="left"/>
            </w:pPr>
            <w:r>
              <w:t xml:space="preserve">1,0015 / 0</w:t>
            </w:r>
          </w:p>
        </w:tc>
      </w:tr>
      <w:tr>
        <w:tc>
          <w:tcPr/>
          <w:p>
            <w:pPr>
              <w:pStyle w:val="Compact"/>
              <w:jc w:val="left"/>
            </w:pPr>
            <w:r>
              <w:t xml:space="preserve">Poisson</w:t>
            </w:r>
          </w:p>
        </w:tc>
        <w:tc>
          <w:tcPr/>
          <w:p>
            <w:pPr>
              <w:pStyle w:val="Compact"/>
              <w:jc w:val="left"/>
            </w:pPr>
            <w:r>
              <w:t xml:space="preserve">No</w:t>
            </w:r>
          </w:p>
        </w:tc>
        <w:tc>
          <w:tcPr/>
          <w:p>
            <w:pPr>
              <w:pStyle w:val="Compact"/>
              <w:jc w:val="left"/>
            </w:pPr>
            <w:r>
              <w:t xml:space="preserve">RM 0,902 (0,860–0,943)</w:t>
            </w:r>
          </w:p>
        </w:tc>
        <w:tc>
          <w:tcPr/>
          <w:p>
            <w:pPr>
              <w:pStyle w:val="Compact"/>
              <w:jc w:val="right"/>
            </w:pPr>
            <w:r>
              <w:t xml:space="preserve">-16931,00</w:t>
            </w:r>
          </w:p>
        </w:tc>
        <w:tc>
          <w:tcPr/>
          <w:p>
            <w:pPr>
              <w:pStyle w:val="Compact"/>
              <w:jc w:val="right"/>
            </w:pPr>
            <w:r>
              <w:t xml:space="preserve">-167,92</w:t>
            </w:r>
          </w:p>
        </w:tc>
        <w:tc>
          <w:tcPr/>
          <w:p>
            <w:pPr>
              <w:pStyle w:val="Compact"/>
              <w:jc w:val="left"/>
            </w:pPr>
            <w:r>
              <w:t xml:space="preserve">9/16</w:t>
            </w:r>
          </w:p>
        </w:tc>
        <w:tc>
          <w:tcPr/>
          <w:p>
            <w:pPr>
              <w:pStyle w:val="Compact"/>
              <w:jc w:val="left"/>
            </w:pPr>
            <w:r>
              <w:t xml:space="preserve">1,0021 / 0</w:t>
            </w:r>
          </w:p>
        </w:tc>
      </w:tr>
      <w:tr>
        <w:tc>
          <w:tcPr/>
          <w:p>
            <w:pPr>
              <w:pStyle w:val="Compact"/>
              <w:jc w:val="left"/>
            </w:pPr>
            <w:r>
              <w:t xml:space="preserve">Binomial negativa</w:t>
            </w:r>
          </w:p>
        </w:tc>
        <w:tc>
          <w:tcPr/>
          <w:p>
            <w:pPr>
              <w:pStyle w:val="Compact"/>
              <w:jc w:val="left"/>
            </w:pPr>
            <w:r>
              <w:t xml:space="preserve">Sí</w:t>
            </w:r>
          </w:p>
        </w:tc>
        <w:tc>
          <w:tcPr/>
          <w:p>
            <w:pPr>
              <w:pStyle w:val="Compact"/>
              <w:jc w:val="left"/>
            </w:pPr>
            <w:r>
              <w:t xml:space="preserve">RM 0,903 (0,857–0,949)</w:t>
            </w:r>
          </w:p>
        </w:tc>
        <w:tc>
          <w:tcPr/>
          <w:p>
            <w:pPr>
              <w:pStyle w:val="Compact"/>
              <w:jc w:val="right"/>
            </w:pPr>
            <w:r>
              <w:t xml:space="preserve">-16443,95</w:t>
            </w:r>
          </w:p>
        </w:tc>
        <w:tc>
          <w:tcPr/>
          <w:p>
            <w:pPr>
              <w:pStyle w:val="Compact"/>
              <w:jc w:val="right"/>
            </w:pPr>
            <w:r>
              <w:t xml:space="preserve">0,00</w:t>
            </w:r>
          </w:p>
        </w:tc>
        <w:tc>
          <w:tcPr/>
          <w:p>
            <w:pPr>
              <w:pStyle w:val="Compact"/>
              <w:jc w:val="left"/>
            </w:pPr>
            <w:r>
              <w:t xml:space="preserve">6/16</w:t>
            </w:r>
          </w:p>
        </w:tc>
        <w:tc>
          <w:tcPr/>
          <w:p>
            <w:pPr>
              <w:pStyle w:val="Compact"/>
              <w:jc w:val="left"/>
            </w:pPr>
            <w:r>
              <w:t xml:space="preserve">1,0006 / 0</w:t>
            </w:r>
          </w:p>
        </w:tc>
      </w:tr>
      <w:tr>
        <w:tc>
          <w:tcPr/>
          <w:p>
            <w:pPr>
              <w:pStyle w:val="Compact"/>
              <w:jc w:val="left"/>
            </w:pPr>
            <w:r>
              <w:t xml:space="preserve">Gaussiano</w:t>
            </w:r>
          </w:p>
        </w:tc>
        <w:tc>
          <w:tcPr/>
          <w:p>
            <w:pPr>
              <w:pStyle w:val="Compact"/>
              <w:jc w:val="left"/>
            </w:pPr>
            <w:r>
              <w:t xml:space="preserve">Sí</w:t>
            </w:r>
          </w:p>
        </w:tc>
        <w:tc>
          <w:tcPr/>
          <w:p>
            <w:pPr>
              <w:pStyle w:val="Compact"/>
              <w:jc w:val="left"/>
            </w:pPr>
            <w:r>
              <w:t xml:space="preserve">DM -0,546 (-0,828 a -0,275)</w:t>
            </w:r>
          </w:p>
        </w:tc>
        <w:tc>
          <w:tcPr/>
          <w:p>
            <w:pPr>
              <w:pStyle w:val="Compact"/>
              <w:jc w:val="right"/>
            </w:pPr>
            <w:r>
              <w:t xml:space="preserve">-16470,95</w:t>
            </w:r>
          </w:p>
        </w:tc>
        <w:tc>
          <w:tcPr/>
          <w:p>
            <w:pPr>
              <w:pStyle w:val="Compact"/>
              <w:jc w:val="right"/>
            </w:pPr>
            <w:r>
              <w:t xml:space="preserve">-27,00</w:t>
            </w:r>
          </w:p>
        </w:tc>
        <w:tc>
          <w:tcPr/>
          <w:p>
            <w:pPr>
              <w:pStyle w:val="Compact"/>
              <w:jc w:val="left"/>
            </w:pPr>
            <w:r>
              <w:t xml:space="preserve">12/16</w:t>
            </w:r>
          </w:p>
        </w:tc>
        <w:tc>
          <w:tcPr/>
          <w:p>
            <w:pPr>
              <w:pStyle w:val="Compact"/>
              <w:jc w:val="left"/>
            </w:pPr>
            <w:r>
              <w:t xml:space="preserve">1,0004 / 0</w:t>
            </w:r>
          </w:p>
        </w:tc>
      </w:tr>
      <w:tr>
        <w:tc>
          <w:tcPr/>
          <w:p>
            <w:pPr>
              <w:pStyle w:val="Compact"/>
              <w:jc w:val="left"/>
            </w:pPr>
            <w:r>
              <w:t xml:space="preserve">Poisson</w:t>
            </w:r>
          </w:p>
        </w:tc>
        <w:tc>
          <w:tcPr/>
          <w:p>
            <w:pPr>
              <w:pStyle w:val="Compact"/>
              <w:jc w:val="left"/>
            </w:pPr>
            <w:r>
              <w:t xml:space="preserve">Sí</w:t>
            </w:r>
          </w:p>
        </w:tc>
        <w:tc>
          <w:tcPr/>
          <w:p>
            <w:pPr>
              <w:pStyle w:val="Compact"/>
              <w:jc w:val="left"/>
            </w:pPr>
            <w:r>
              <w:t xml:space="preserve">RM 0,903 (0,863–0,945)</w:t>
            </w:r>
          </w:p>
        </w:tc>
        <w:tc>
          <w:tcPr/>
          <w:p>
            <w:pPr>
              <w:pStyle w:val="Compact"/>
              <w:jc w:val="right"/>
            </w:pPr>
            <w:r>
              <w:t xml:space="preserve">-16535,45</w:t>
            </w:r>
          </w:p>
        </w:tc>
        <w:tc>
          <w:tcPr/>
          <w:p>
            <w:pPr>
              <w:pStyle w:val="Compact"/>
              <w:jc w:val="right"/>
            </w:pPr>
            <w:r>
              <w:t xml:space="preserve">-91,50</w:t>
            </w:r>
          </w:p>
        </w:tc>
        <w:tc>
          <w:tcPr/>
          <w:p>
            <w:pPr>
              <w:pStyle w:val="Compact"/>
              <w:jc w:val="left"/>
            </w:pPr>
            <w:r>
              <w:t xml:space="preserve">6/16</w:t>
            </w:r>
          </w:p>
        </w:tc>
        <w:tc>
          <w:tcPr/>
          <w:p>
            <w:pPr>
              <w:pStyle w:val="Compact"/>
              <w:jc w:val="left"/>
            </w:pPr>
            <w:r>
              <w:t xml:space="preserve">1,0006 / 0</w:t>
            </w:r>
          </w:p>
        </w:tc>
      </w:tr>
    </w:tbl>
    <w:p>
      <w:pPr>
        <w:pStyle w:val="BodyText"/>
      </w:pPr>
      <w:r>
        <w:t xml:space="preserve">La edad gestacional se incluyó como ajuste por la oportunidad acumulada de recibir consultas prenatales, no como control causal de confusión. RM: razón de medias; DM: diferencia de medias; ELPD-LOO: densidad predictiva esperada estimada mediante validación cruzada leave-one-out; delta ELPD: diferencia respecto del mejor modelo dentro de cada conjunto comparable; PPC: número de 16 estadísticos predictivos observados fuera del ICr95 %; Div.: divergencias. La binomial negativa se adoptó como análisis principal por la naturaleza de conteo del desenlace y su mejor desempeño predictivo; Poisson y gaussiano se conservaron como análisis de sensibilidad.</w:t>
      </w:r>
    </w:p>
    <w:bookmarkEnd w:id="32"/>
    <w:bookmarkStart w:id="33" w:name="Xa7d41c0d4a7f467176caad3b0362d80f97d8dd4"/>
    <w:p>
      <w:pPr>
        <w:pStyle w:val="Heading2"/>
      </w:pPr>
      <w:r>
        <w:t xml:space="preserve">Tabla S9. Diagnósticos bayesianos completos de los modelos auditados</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rPr>
                <w:b/>
                <w:bCs/>
              </w:rPr>
              <w:t xml:space="preserve">Modelo</w:t>
            </w:r>
          </w:p>
        </w:tc>
        <w:tc>
          <w:tcPr/>
          <w:p>
            <w:pPr>
              <w:pStyle w:val="Compact"/>
              <w:jc w:val="left"/>
            </w:pPr>
            <w:r>
              <w:rPr>
                <w:b/>
                <w:bCs/>
              </w:rPr>
              <w:t xml:space="preserve">Familia</w:t>
            </w:r>
          </w:p>
        </w:tc>
        <w:tc>
          <w:tcPr/>
          <w:p>
            <w:pPr>
              <w:pStyle w:val="Compact"/>
              <w:jc w:val="right"/>
            </w:pPr>
            <w:r>
              <w:rPr>
                <w:b/>
                <w:bCs/>
              </w:rPr>
              <w:t xml:space="preserve">R-hat máx.</w:t>
            </w:r>
          </w:p>
        </w:tc>
        <w:tc>
          <w:tcPr/>
          <w:p>
            <w:pPr>
              <w:pStyle w:val="Compact"/>
              <w:jc w:val="right"/>
            </w:pPr>
            <w:r>
              <w:rPr>
                <w:b/>
                <w:bCs/>
              </w:rPr>
              <w:t xml:space="preserve">ESS bulk mín.</w:t>
            </w:r>
          </w:p>
        </w:tc>
        <w:tc>
          <w:tcPr/>
          <w:p>
            <w:pPr>
              <w:pStyle w:val="Compact"/>
              <w:jc w:val="right"/>
            </w:pPr>
            <w:r>
              <w:rPr>
                <w:b/>
                <w:bCs/>
              </w:rPr>
              <w:t xml:space="preserve">ESS tail mín.</w:t>
            </w:r>
          </w:p>
        </w:tc>
        <w:tc>
          <w:tcPr/>
          <w:p>
            <w:pPr>
              <w:pStyle w:val="Compact"/>
              <w:jc w:val="right"/>
            </w:pPr>
            <w:r>
              <w:rPr>
                <w:b/>
                <w:bCs/>
              </w:rPr>
              <w:t xml:space="preserve">Div.</w:t>
            </w:r>
          </w:p>
        </w:tc>
        <w:tc>
          <w:tcPr/>
          <w:p>
            <w:pPr>
              <w:pStyle w:val="Compact"/>
              <w:jc w:val="left"/>
            </w:pPr>
            <w:r>
              <w:rPr>
                <w:b/>
                <w:bCs/>
              </w:rPr>
              <w:t xml:space="preserve">Treedepth observado/configurado; en máx.</w:t>
            </w:r>
          </w:p>
        </w:tc>
        <w:tc>
          <w:tcPr/>
          <w:p>
            <w:pPr>
              <w:pStyle w:val="Compact"/>
              <w:jc w:val="right"/>
            </w:pPr>
            <w:r>
              <w:rPr>
                <w:b/>
                <w:bCs/>
              </w:rPr>
              <w:t xml:space="preserve">E-BFMI mín.</w:t>
            </w:r>
          </w:p>
        </w:tc>
        <w:tc>
          <w:tcPr/>
          <w:p>
            <w:pPr>
              <w:pStyle w:val="Compact"/>
              <w:jc w:val="left"/>
            </w:pPr>
            <w:r>
              <w:rPr>
                <w:b/>
                <w:bCs/>
              </w:rPr>
              <w:t xml:space="preserve">Resumen PPC</w:t>
            </w:r>
          </w:p>
        </w:tc>
      </w:tr>
      <w:tr>
        <w:tc>
          <w:tcPr/>
          <w:p>
            <w:pPr>
              <w:pStyle w:val="Compact"/>
              <w:jc w:val="left"/>
            </w:pPr>
            <w:r>
              <w:t xml:space="preserve">Pareja estable</w:t>
            </w:r>
          </w:p>
        </w:tc>
        <w:tc>
          <w:tcPr/>
          <w:p>
            <w:pPr>
              <w:pStyle w:val="Compact"/>
              <w:jc w:val="left"/>
            </w:pPr>
            <w:r>
              <w:t xml:space="preserve">Bernoulli-logit</w:t>
            </w:r>
          </w:p>
        </w:tc>
        <w:tc>
          <w:tcPr/>
          <w:p>
            <w:pPr>
              <w:pStyle w:val="Compact"/>
              <w:jc w:val="right"/>
            </w:pPr>
            <w:r>
              <w:t xml:space="preserve">1,0006</w:t>
            </w:r>
          </w:p>
        </w:tc>
        <w:tc>
          <w:tcPr/>
          <w:p>
            <w:pPr>
              <w:pStyle w:val="Compact"/>
              <w:jc w:val="right"/>
            </w:pPr>
            <w:r>
              <w:t xml:space="preserve">6644</w:t>
            </w:r>
          </w:p>
        </w:tc>
        <w:tc>
          <w:tcPr/>
          <w:p>
            <w:pPr>
              <w:pStyle w:val="Compact"/>
              <w:jc w:val="right"/>
            </w:pPr>
            <w:r>
              <w:t xml:space="preserve">5201</w:t>
            </w:r>
          </w:p>
        </w:tc>
        <w:tc>
          <w:tcPr/>
          <w:p>
            <w:pPr>
              <w:pStyle w:val="Compact"/>
              <w:jc w:val="right"/>
            </w:pPr>
            <w:r>
              <w:t xml:space="preserve">0</w:t>
            </w:r>
          </w:p>
        </w:tc>
        <w:tc>
          <w:tcPr/>
          <w:p>
            <w:pPr>
              <w:pStyle w:val="Compact"/>
              <w:jc w:val="left"/>
            </w:pPr>
            <w:r>
              <w:t xml:space="preserve">4/15; 0</w:t>
            </w:r>
          </w:p>
        </w:tc>
        <w:tc>
          <w:tcPr/>
          <w:p>
            <w:pPr>
              <w:pStyle w:val="Compact"/>
              <w:jc w:val="right"/>
            </w:pPr>
            <w:r>
              <w:t xml:space="preserve">0,957</w:t>
            </w:r>
          </w:p>
        </w:tc>
        <w:tc>
          <w:tcPr/>
          <w:p>
            <w:pPr>
              <w:pStyle w:val="Compact"/>
              <w:jc w:val="left"/>
            </w:pPr>
            <w:r>
              <w:t xml:space="preserve">0/4 fuera del ICr95 %</w:t>
            </w:r>
          </w:p>
        </w:tc>
      </w:tr>
      <w:tr>
        <w:tc>
          <w:tcPr/>
          <w:p>
            <w:pPr>
              <w:pStyle w:val="Compact"/>
              <w:jc w:val="left"/>
            </w:pPr>
            <w:r>
              <w:t xml:space="preserve">Escolaridad cruda: ninguna o primaria</w:t>
            </w:r>
          </w:p>
        </w:tc>
        <w:tc>
          <w:tcPr/>
          <w:p>
            <w:pPr>
              <w:pStyle w:val="Compact"/>
              <w:jc w:val="left"/>
            </w:pPr>
            <w:r>
              <w:t xml:space="preserve">Bernoulli-logit</w:t>
            </w:r>
          </w:p>
        </w:tc>
        <w:tc>
          <w:tcPr/>
          <w:p>
            <w:pPr>
              <w:pStyle w:val="Compact"/>
              <w:jc w:val="right"/>
            </w:pPr>
            <w:r>
              <w:t xml:space="preserve">1,0018</w:t>
            </w:r>
          </w:p>
        </w:tc>
        <w:tc>
          <w:tcPr/>
          <w:p>
            <w:pPr>
              <w:pStyle w:val="Compact"/>
              <w:jc w:val="right"/>
            </w:pPr>
            <w:r>
              <w:t xml:space="preserve">5841</w:t>
            </w:r>
          </w:p>
        </w:tc>
        <w:tc>
          <w:tcPr/>
          <w:p>
            <w:pPr>
              <w:pStyle w:val="Compact"/>
              <w:jc w:val="right"/>
            </w:pPr>
            <w:r>
              <w:t xml:space="preserve">5866</w:t>
            </w:r>
          </w:p>
        </w:tc>
        <w:tc>
          <w:tcPr/>
          <w:p>
            <w:pPr>
              <w:pStyle w:val="Compact"/>
              <w:jc w:val="right"/>
            </w:pPr>
            <w:r>
              <w:t xml:space="preserve">0</w:t>
            </w:r>
          </w:p>
        </w:tc>
        <w:tc>
          <w:tcPr/>
          <w:p>
            <w:pPr>
              <w:pStyle w:val="Compact"/>
              <w:jc w:val="left"/>
            </w:pPr>
            <w:r>
              <w:t xml:space="preserve">4/15; 0</w:t>
            </w:r>
          </w:p>
        </w:tc>
        <w:tc>
          <w:tcPr/>
          <w:p>
            <w:pPr>
              <w:pStyle w:val="Compact"/>
              <w:jc w:val="right"/>
            </w:pPr>
            <w:r>
              <w:t xml:space="preserve">0,974</w:t>
            </w:r>
          </w:p>
        </w:tc>
        <w:tc>
          <w:tcPr/>
          <w:p>
            <w:pPr>
              <w:pStyle w:val="Compact"/>
              <w:jc w:val="left"/>
            </w:pPr>
            <w:r>
              <w:t xml:space="preserve">0/4 fuera del ICr95 %</w:t>
            </w:r>
          </w:p>
        </w:tc>
      </w:tr>
      <w:tr>
        <w:tc>
          <w:tcPr/>
          <w:p>
            <w:pPr>
              <w:pStyle w:val="Compact"/>
              <w:jc w:val="left"/>
            </w:pPr>
            <w:r>
              <w:t xml:space="preserve">Etnia minoritaria</w:t>
            </w:r>
          </w:p>
        </w:tc>
        <w:tc>
          <w:tcPr/>
          <w:p>
            <w:pPr>
              <w:pStyle w:val="Compact"/>
              <w:jc w:val="left"/>
            </w:pPr>
            <w:r>
              <w:t xml:space="preserve">Bernoulli-logit</w:t>
            </w:r>
          </w:p>
        </w:tc>
        <w:tc>
          <w:tcPr/>
          <w:p>
            <w:pPr>
              <w:pStyle w:val="Compact"/>
              <w:jc w:val="right"/>
            </w:pPr>
            <w:r>
              <w:t xml:space="preserve">1,0008</w:t>
            </w:r>
          </w:p>
        </w:tc>
        <w:tc>
          <w:tcPr/>
          <w:p>
            <w:pPr>
              <w:pStyle w:val="Compact"/>
              <w:jc w:val="right"/>
            </w:pPr>
            <w:r>
              <w:t xml:space="preserve">6039</w:t>
            </w:r>
          </w:p>
        </w:tc>
        <w:tc>
          <w:tcPr/>
          <w:p>
            <w:pPr>
              <w:pStyle w:val="Compact"/>
              <w:jc w:val="right"/>
            </w:pPr>
            <w:r>
              <w:t xml:space="preserve">5265</w:t>
            </w:r>
          </w:p>
        </w:tc>
        <w:tc>
          <w:tcPr/>
          <w:p>
            <w:pPr>
              <w:pStyle w:val="Compact"/>
              <w:jc w:val="right"/>
            </w:pPr>
            <w:r>
              <w:t xml:space="preserve">0</w:t>
            </w:r>
          </w:p>
        </w:tc>
        <w:tc>
          <w:tcPr/>
          <w:p>
            <w:pPr>
              <w:pStyle w:val="Compact"/>
              <w:jc w:val="left"/>
            </w:pPr>
            <w:r>
              <w:t xml:space="preserve">4/15; 0</w:t>
            </w:r>
          </w:p>
        </w:tc>
        <w:tc>
          <w:tcPr/>
          <w:p>
            <w:pPr>
              <w:pStyle w:val="Compact"/>
              <w:jc w:val="right"/>
            </w:pPr>
            <w:r>
              <w:t xml:space="preserve">1,014</w:t>
            </w:r>
          </w:p>
        </w:tc>
        <w:tc>
          <w:tcPr/>
          <w:p>
            <w:pPr>
              <w:pStyle w:val="Compact"/>
              <w:jc w:val="left"/>
            </w:pPr>
            <w:r>
              <w:t xml:space="preserve">0/4 fuera del ICr95 %</w:t>
            </w:r>
          </w:p>
        </w:tc>
      </w:tr>
      <w:tr>
        <w:tc>
          <w:tcPr/>
          <w:p>
            <w:pPr>
              <w:pStyle w:val="Compact"/>
              <w:jc w:val="left"/>
            </w:pPr>
            <w:r>
              <w:t xml:space="preserve">Gestas previas</w:t>
            </w:r>
          </w:p>
        </w:tc>
        <w:tc>
          <w:tcPr/>
          <w:p>
            <w:pPr>
              <w:pStyle w:val="Compact"/>
              <w:jc w:val="left"/>
            </w:pPr>
            <w:r>
              <w:t xml:space="preserve">Bernoulli-logit</w:t>
            </w:r>
          </w:p>
        </w:tc>
        <w:tc>
          <w:tcPr/>
          <w:p>
            <w:pPr>
              <w:pStyle w:val="Compact"/>
              <w:jc w:val="right"/>
            </w:pPr>
            <w:r>
              <w:t xml:space="preserve">1,0007</w:t>
            </w:r>
          </w:p>
        </w:tc>
        <w:tc>
          <w:tcPr/>
          <w:p>
            <w:pPr>
              <w:pStyle w:val="Compact"/>
              <w:jc w:val="right"/>
            </w:pPr>
            <w:r>
              <w:t xml:space="preserve">5569</w:t>
            </w:r>
          </w:p>
        </w:tc>
        <w:tc>
          <w:tcPr/>
          <w:p>
            <w:pPr>
              <w:pStyle w:val="Compact"/>
              <w:jc w:val="right"/>
            </w:pPr>
            <w:r>
              <w:t xml:space="preserve">5502</w:t>
            </w:r>
          </w:p>
        </w:tc>
        <w:tc>
          <w:tcPr/>
          <w:p>
            <w:pPr>
              <w:pStyle w:val="Compact"/>
              <w:jc w:val="right"/>
            </w:pPr>
            <w:r>
              <w:t xml:space="preserve">0</w:t>
            </w:r>
          </w:p>
        </w:tc>
        <w:tc>
          <w:tcPr/>
          <w:p>
            <w:pPr>
              <w:pStyle w:val="Compact"/>
              <w:jc w:val="left"/>
            </w:pPr>
            <w:r>
              <w:t xml:space="preserve">4/15; 0</w:t>
            </w:r>
          </w:p>
        </w:tc>
        <w:tc>
          <w:tcPr/>
          <w:p>
            <w:pPr>
              <w:pStyle w:val="Compact"/>
              <w:jc w:val="right"/>
            </w:pPr>
            <w:r>
              <w:t xml:space="preserve">0,961</w:t>
            </w:r>
          </w:p>
        </w:tc>
        <w:tc>
          <w:tcPr/>
          <w:p>
            <w:pPr>
              <w:pStyle w:val="Compact"/>
              <w:jc w:val="left"/>
            </w:pPr>
            <w:r>
              <w:t xml:space="preserve">0/4 fuera del ICr95 %</w:t>
            </w:r>
          </w:p>
        </w:tc>
      </w:tr>
      <w:tr>
        <w:tc>
          <w:tcPr/>
          <w:p>
            <w:pPr>
              <w:pStyle w:val="Compact"/>
              <w:jc w:val="left"/>
            </w:pPr>
            <w:r>
              <w:t xml:space="preserve">Embarazo múltiple</w:t>
            </w:r>
          </w:p>
        </w:tc>
        <w:tc>
          <w:tcPr/>
          <w:p>
            <w:pPr>
              <w:pStyle w:val="Compact"/>
              <w:jc w:val="left"/>
            </w:pPr>
            <w:r>
              <w:t xml:space="preserve">Bernoulli-logit</w:t>
            </w:r>
          </w:p>
        </w:tc>
        <w:tc>
          <w:tcPr/>
          <w:p>
            <w:pPr>
              <w:pStyle w:val="Compact"/>
              <w:jc w:val="right"/>
            </w:pPr>
            <w:r>
              <w:t xml:space="preserve">1,0004</w:t>
            </w:r>
          </w:p>
        </w:tc>
        <w:tc>
          <w:tcPr/>
          <w:p>
            <w:pPr>
              <w:pStyle w:val="Compact"/>
              <w:jc w:val="right"/>
            </w:pPr>
            <w:r>
              <w:t xml:space="preserve">5444</w:t>
            </w:r>
          </w:p>
        </w:tc>
        <w:tc>
          <w:tcPr/>
          <w:p>
            <w:pPr>
              <w:pStyle w:val="Compact"/>
              <w:jc w:val="right"/>
            </w:pPr>
            <w:r>
              <w:t xml:space="preserve">4885</w:t>
            </w:r>
          </w:p>
        </w:tc>
        <w:tc>
          <w:tcPr/>
          <w:p>
            <w:pPr>
              <w:pStyle w:val="Compact"/>
              <w:jc w:val="right"/>
            </w:pPr>
            <w:r>
              <w:t xml:space="preserve">0</w:t>
            </w:r>
          </w:p>
        </w:tc>
        <w:tc>
          <w:tcPr/>
          <w:p>
            <w:pPr>
              <w:pStyle w:val="Compact"/>
              <w:jc w:val="left"/>
            </w:pPr>
            <w:r>
              <w:t xml:space="preserve">4/15; 0</w:t>
            </w:r>
          </w:p>
        </w:tc>
        <w:tc>
          <w:tcPr/>
          <w:p>
            <w:pPr>
              <w:pStyle w:val="Compact"/>
              <w:jc w:val="right"/>
            </w:pPr>
            <w:r>
              <w:t xml:space="preserve">0,920</w:t>
            </w:r>
          </w:p>
        </w:tc>
        <w:tc>
          <w:tcPr/>
          <w:p>
            <w:pPr>
              <w:pStyle w:val="Compact"/>
              <w:jc w:val="left"/>
            </w:pPr>
            <w:r>
              <w:t xml:space="preserve">0/4 fuera del ICr95 %</w:t>
            </w:r>
          </w:p>
        </w:tc>
      </w:tr>
      <w:tr>
        <w:tc>
          <w:tcPr/>
          <w:p>
            <w:pPr>
              <w:pStyle w:val="Compact"/>
              <w:jc w:val="left"/>
            </w:pPr>
            <w:r>
              <w:t xml:space="preserve">Embarazo planeado</w:t>
            </w:r>
          </w:p>
        </w:tc>
        <w:tc>
          <w:tcPr/>
          <w:p>
            <w:pPr>
              <w:pStyle w:val="Compact"/>
              <w:jc w:val="left"/>
            </w:pPr>
            <w:r>
              <w:t xml:space="preserve">Bernoulli-logit</w:t>
            </w:r>
          </w:p>
        </w:tc>
        <w:tc>
          <w:tcPr/>
          <w:p>
            <w:pPr>
              <w:pStyle w:val="Compact"/>
              <w:jc w:val="right"/>
            </w:pPr>
            <w:r>
              <w:t xml:space="preserve">1,0012</w:t>
            </w:r>
          </w:p>
        </w:tc>
        <w:tc>
          <w:tcPr/>
          <w:p>
            <w:pPr>
              <w:pStyle w:val="Compact"/>
              <w:jc w:val="right"/>
            </w:pPr>
            <w:r>
              <w:t xml:space="preserve">7117</w:t>
            </w:r>
          </w:p>
        </w:tc>
        <w:tc>
          <w:tcPr/>
          <w:p>
            <w:pPr>
              <w:pStyle w:val="Compact"/>
              <w:jc w:val="right"/>
            </w:pPr>
            <w:r>
              <w:t xml:space="preserve">5920</w:t>
            </w:r>
          </w:p>
        </w:tc>
        <w:tc>
          <w:tcPr/>
          <w:p>
            <w:pPr>
              <w:pStyle w:val="Compact"/>
              <w:jc w:val="right"/>
            </w:pPr>
            <w:r>
              <w:t xml:space="preserve">0</w:t>
            </w:r>
          </w:p>
        </w:tc>
        <w:tc>
          <w:tcPr/>
          <w:p>
            <w:pPr>
              <w:pStyle w:val="Compact"/>
              <w:jc w:val="left"/>
            </w:pPr>
            <w:r>
              <w:t xml:space="preserve">4/15; 0</w:t>
            </w:r>
          </w:p>
        </w:tc>
        <w:tc>
          <w:tcPr/>
          <w:p>
            <w:pPr>
              <w:pStyle w:val="Compact"/>
              <w:jc w:val="right"/>
            </w:pPr>
            <w:r>
              <w:t xml:space="preserve">0,950</w:t>
            </w:r>
          </w:p>
        </w:tc>
        <w:tc>
          <w:tcPr/>
          <w:p>
            <w:pPr>
              <w:pStyle w:val="Compact"/>
              <w:jc w:val="left"/>
            </w:pPr>
            <w:r>
              <w:t xml:space="preserve">0/4 fuera del ICr95 %</w:t>
            </w:r>
          </w:p>
        </w:tc>
      </w:tr>
      <w:tr>
        <w:tc>
          <w:tcPr/>
          <w:p>
            <w:pPr>
              <w:pStyle w:val="Compact"/>
              <w:jc w:val="left"/>
            </w:pPr>
            <w:r>
              <w:t xml:space="preserve">Falla anticonceptiva</w:t>
            </w:r>
          </w:p>
        </w:tc>
        <w:tc>
          <w:tcPr/>
          <w:p>
            <w:pPr>
              <w:pStyle w:val="Compact"/>
              <w:jc w:val="left"/>
            </w:pPr>
            <w:r>
              <w:t xml:space="preserve">Bernoulli-logit</w:t>
            </w:r>
          </w:p>
        </w:tc>
        <w:tc>
          <w:tcPr/>
          <w:p>
            <w:pPr>
              <w:pStyle w:val="Compact"/>
              <w:jc w:val="right"/>
            </w:pPr>
            <w:r>
              <w:t xml:space="preserve">1,0005</w:t>
            </w:r>
          </w:p>
        </w:tc>
        <w:tc>
          <w:tcPr/>
          <w:p>
            <w:pPr>
              <w:pStyle w:val="Compact"/>
              <w:jc w:val="right"/>
            </w:pPr>
            <w:r>
              <w:t xml:space="preserve">6116</w:t>
            </w:r>
          </w:p>
        </w:tc>
        <w:tc>
          <w:tcPr/>
          <w:p>
            <w:pPr>
              <w:pStyle w:val="Compact"/>
              <w:jc w:val="right"/>
            </w:pPr>
            <w:r>
              <w:t xml:space="preserve">5895</w:t>
            </w:r>
          </w:p>
        </w:tc>
        <w:tc>
          <w:tcPr/>
          <w:p>
            <w:pPr>
              <w:pStyle w:val="Compact"/>
              <w:jc w:val="right"/>
            </w:pPr>
            <w:r>
              <w:t xml:space="preserve">0</w:t>
            </w:r>
          </w:p>
        </w:tc>
        <w:tc>
          <w:tcPr/>
          <w:p>
            <w:pPr>
              <w:pStyle w:val="Compact"/>
              <w:jc w:val="left"/>
            </w:pPr>
            <w:r>
              <w:t xml:space="preserve">4/15; 0</w:t>
            </w:r>
          </w:p>
        </w:tc>
        <w:tc>
          <w:tcPr/>
          <w:p>
            <w:pPr>
              <w:pStyle w:val="Compact"/>
              <w:jc w:val="right"/>
            </w:pPr>
            <w:r>
              <w:t xml:space="preserve">0,984</w:t>
            </w:r>
          </w:p>
        </w:tc>
        <w:tc>
          <w:tcPr/>
          <w:p>
            <w:pPr>
              <w:pStyle w:val="Compact"/>
              <w:jc w:val="left"/>
            </w:pPr>
            <w:r>
              <w:t xml:space="preserve">0/4 fuera del ICr95 %</w:t>
            </w:r>
          </w:p>
        </w:tc>
      </w:tr>
      <w:tr>
        <w:tc>
          <w:tcPr/>
          <w:p>
            <w:pPr>
              <w:pStyle w:val="Compact"/>
              <w:jc w:val="left"/>
            </w:pPr>
            <w:r>
              <w:t xml:space="preserve">Infección urinaria</w:t>
            </w:r>
          </w:p>
        </w:tc>
        <w:tc>
          <w:tcPr/>
          <w:p>
            <w:pPr>
              <w:pStyle w:val="Compact"/>
              <w:jc w:val="left"/>
            </w:pPr>
            <w:r>
              <w:t xml:space="preserve">Bernoulli-logit</w:t>
            </w:r>
          </w:p>
        </w:tc>
        <w:tc>
          <w:tcPr/>
          <w:p>
            <w:pPr>
              <w:pStyle w:val="Compact"/>
              <w:jc w:val="right"/>
            </w:pPr>
            <w:r>
              <w:t xml:space="preserve">1,0008</w:t>
            </w:r>
          </w:p>
        </w:tc>
        <w:tc>
          <w:tcPr/>
          <w:p>
            <w:pPr>
              <w:pStyle w:val="Compact"/>
              <w:jc w:val="right"/>
            </w:pPr>
            <w:r>
              <w:t xml:space="preserve">6468</w:t>
            </w:r>
          </w:p>
        </w:tc>
        <w:tc>
          <w:tcPr/>
          <w:p>
            <w:pPr>
              <w:pStyle w:val="Compact"/>
              <w:jc w:val="right"/>
            </w:pPr>
            <w:r>
              <w:t xml:space="preserve">5874</w:t>
            </w:r>
          </w:p>
        </w:tc>
        <w:tc>
          <w:tcPr/>
          <w:p>
            <w:pPr>
              <w:pStyle w:val="Compact"/>
              <w:jc w:val="right"/>
            </w:pPr>
            <w:r>
              <w:t xml:space="preserve">0</w:t>
            </w:r>
          </w:p>
        </w:tc>
        <w:tc>
          <w:tcPr/>
          <w:p>
            <w:pPr>
              <w:pStyle w:val="Compact"/>
              <w:jc w:val="left"/>
            </w:pPr>
            <w:r>
              <w:t xml:space="preserve">4/15; 0</w:t>
            </w:r>
          </w:p>
        </w:tc>
        <w:tc>
          <w:tcPr/>
          <w:p>
            <w:pPr>
              <w:pStyle w:val="Compact"/>
              <w:jc w:val="right"/>
            </w:pPr>
            <w:r>
              <w:t xml:space="preserve">0,909</w:t>
            </w:r>
          </w:p>
        </w:tc>
        <w:tc>
          <w:tcPr/>
          <w:p>
            <w:pPr>
              <w:pStyle w:val="Compact"/>
              <w:jc w:val="left"/>
            </w:pPr>
            <w:r>
              <w:t xml:space="preserve">0/4 fuera del ICr95 %</w:t>
            </w:r>
          </w:p>
        </w:tc>
      </w:tr>
      <w:tr>
        <w:tc>
          <w:tcPr/>
          <w:p>
            <w:pPr>
              <w:pStyle w:val="Compact"/>
              <w:jc w:val="left"/>
            </w:pPr>
            <w:r>
              <w:t xml:space="preserve">Compromiso del bienestar fetal</w:t>
            </w:r>
          </w:p>
        </w:tc>
        <w:tc>
          <w:tcPr/>
          <w:p>
            <w:pPr>
              <w:pStyle w:val="Compact"/>
              <w:jc w:val="left"/>
            </w:pPr>
            <w:r>
              <w:t xml:space="preserve">Bernoulli-logit</w:t>
            </w:r>
          </w:p>
        </w:tc>
        <w:tc>
          <w:tcPr/>
          <w:p>
            <w:pPr>
              <w:pStyle w:val="Compact"/>
              <w:jc w:val="right"/>
            </w:pPr>
            <w:r>
              <w:t xml:space="preserve">1,0013</w:t>
            </w:r>
          </w:p>
        </w:tc>
        <w:tc>
          <w:tcPr/>
          <w:p>
            <w:pPr>
              <w:pStyle w:val="Compact"/>
              <w:jc w:val="right"/>
            </w:pPr>
            <w:r>
              <w:t xml:space="preserve">6047</w:t>
            </w:r>
          </w:p>
        </w:tc>
        <w:tc>
          <w:tcPr/>
          <w:p>
            <w:pPr>
              <w:pStyle w:val="Compact"/>
              <w:jc w:val="right"/>
            </w:pPr>
            <w:r>
              <w:t xml:space="preserve">5705</w:t>
            </w:r>
          </w:p>
        </w:tc>
        <w:tc>
          <w:tcPr/>
          <w:p>
            <w:pPr>
              <w:pStyle w:val="Compact"/>
              <w:jc w:val="right"/>
            </w:pPr>
            <w:r>
              <w:t xml:space="preserve">0</w:t>
            </w:r>
          </w:p>
        </w:tc>
        <w:tc>
          <w:tcPr/>
          <w:p>
            <w:pPr>
              <w:pStyle w:val="Compact"/>
              <w:jc w:val="left"/>
            </w:pPr>
            <w:r>
              <w:t xml:space="preserve">5/15; 0</w:t>
            </w:r>
          </w:p>
        </w:tc>
        <w:tc>
          <w:tcPr/>
          <w:p>
            <w:pPr>
              <w:pStyle w:val="Compact"/>
              <w:jc w:val="right"/>
            </w:pPr>
            <w:r>
              <w:t xml:space="preserve">1,021</w:t>
            </w:r>
          </w:p>
        </w:tc>
        <w:tc>
          <w:tcPr/>
          <w:p>
            <w:pPr>
              <w:pStyle w:val="Compact"/>
              <w:jc w:val="left"/>
            </w:pPr>
            <w:r>
              <w:t xml:space="preserve">0/4 fuera del ICr95 %</w:t>
            </w:r>
          </w:p>
        </w:tc>
      </w:tr>
      <w:tr>
        <w:tc>
          <w:tcPr/>
          <w:p>
            <w:pPr>
              <w:pStyle w:val="Compact"/>
              <w:jc w:val="left"/>
            </w:pPr>
            <w:r>
              <w:t xml:space="preserve">Trastorno hipertensivo</w:t>
            </w:r>
          </w:p>
        </w:tc>
        <w:tc>
          <w:tcPr/>
          <w:p>
            <w:pPr>
              <w:pStyle w:val="Compact"/>
              <w:jc w:val="left"/>
            </w:pPr>
            <w:r>
              <w:t xml:space="preserve">Bernoulli-logit</w:t>
            </w:r>
          </w:p>
        </w:tc>
        <w:tc>
          <w:tcPr/>
          <w:p>
            <w:pPr>
              <w:pStyle w:val="Compact"/>
              <w:jc w:val="right"/>
            </w:pPr>
            <w:r>
              <w:t xml:space="preserve">1,0006</w:t>
            </w:r>
          </w:p>
        </w:tc>
        <w:tc>
          <w:tcPr/>
          <w:p>
            <w:pPr>
              <w:pStyle w:val="Compact"/>
              <w:jc w:val="right"/>
            </w:pPr>
            <w:r>
              <w:t xml:space="preserve">5263</w:t>
            </w:r>
          </w:p>
        </w:tc>
        <w:tc>
          <w:tcPr/>
          <w:p>
            <w:pPr>
              <w:pStyle w:val="Compact"/>
              <w:jc w:val="right"/>
            </w:pPr>
            <w:r>
              <w:t xml:space="preserve">4945</w:t>
            </w:r>
          </w:p>
        </w:tc>
        <w:tc>
          <w:tcPr/>
          <w:p>
            <w:pPr>
              <w:pStyle w:val="Compact"/>
              <w:jc w:val="right"/>
            </w:pPr>
            <w:r>
              <w:t xml:space="preserve">0</w:t>
            </w:r>
          </w:p>
        </w:tc>
        <w:tc>
          <w:tcPr/>
          <w:p>
            <w:pPr>
              <w:pStyle w:val="Compact"/>
              <w:jc w:val="left"/>
            </w:pPr>
            <w:r>
              <w:t xml:space="preserve">5/15; 0</w:t>
            </w:r>
          </w:p>
        </w:tc>
        <w:tc>
          <w:tcPr/>
          <w:p>
            <w:pPr>
              <w:pStyle w:val="Compact"/>
              <w:jc w:val="right"/>
            </w:pPr>
            <w:r>
              <w:t xml:space="preserve">0,995</w:t>
            </w:r>
          </w:p>
        </w:tc>
        <w:tc>
          <w:tcPr/>
          <w:p>
            <w:pPr>
              <w:pStyle w:val="Compact"/>
              <w:jc w:val="left"/>
            </w:pPr>
            <w:r>
              <w:t xml:space="preserve">0/4 fuera del ICr95 %</w:t>
            </w:r>
          </w:p>
        </w:tc>
      </w:tr>
      <w:tr>
        <w:tc>
          <w:tcPr/>
          <w:p>
            <w:pPr>
              <w:pStyle w:val="Compact"/>
              <w:jc w:val="left"/>
            </w:pPr>
            <w:r>
              <w:t xml:space="preserve">Parto vaginal</w:t>
            </w:r>
          </w:p>
        </w:tc>
        <w:tc>
          <w:tcPr/>
          <w:p>
            <w:pPr>
              <w:pStyle w:val="Compact"/>
              <w:jc w:val="left"/>
            </w:pPr>
            <w:r>
              <w:t xml:space="preserve">Bernoulli-logit</w:t>
            </w:r>
          </w:p>
        </w:tc>
        <w:tc>
          <w:tcPr/>
          <w:p>
            <w:pPr>
              <w:pStyle w:val="Compact"/>
              <w:jc w:val="right"/>
            </w:pPr>
            <w:r>
              <w:t xml:space="preserve">1,0001</w:t>
            </w:r>
          </w:p>
        </w:tc>
        <w:tc>
          <w:tcPr/>
          <w:p>
            <w:pPr>
              <w:pStyle w:val="Compact"/>
              <w:jc w:val="right"/>
            </w:pPr>
            <w:r>
              <w:t xml:space="preserve">6138</w:t>
            </w:r>
          </w:p>
        </w:tc>
        <w:tc>
          <w:tcPr/>
          <w:p>
            <w:pPr>
              <w:pStyle w:val="Compact"/>
              <w:jc w:val="right"/>
            </w:pPr>
            <w:r>
              <w:t xml:space="preserve">5944</w:t>
            </w:r>
          </w:p>
        </w:tc>
        <w:tc>
          <w:tcPr/>
          <w:p>
            <w:pPr>
              <w:pStyle w:val="Compact"/>
              <w:jc w:val="right"/>
            </w:pPr>
            <w:r>
              <w:t xml:space="preserve">0</w:t>
            </w:r>
          </w:p>
        </w:tc>
        <w:tc>
          <w:tcPr/>
          <w:p>
            <w:pPr>
              <w:pStyle w:val="Compact"/>
              <w:jc w:val="left"/>
            </w:pPr>
            <w:r>
              <w:t xml:space="preserve">4/15; 0</w:t>
            </w:r>
          </w:p>
        </w:tc>
        <w:tc>
          <w:tcPr/>
          <w:p>
            <w:pPr>
              <w:pStyle w:val="Compact"/>
              <w:jc w:val="right"/>
            </w:pPr>
            <w:r>
              <w:t xml:space="preserve">1,050</w:t>
            </w:r>
          </w:p>
        </w:tc>
        <w:tc>
          <w:tcPr/>
          <w:p>
            <w:pPr>
              <w:pStyle w:val="Compact"/>
              <w:jc w:val="left"/>
            </w:pPr>
            <w:r>
              <w:t xml:space="preserve">0/4 fuera del ICr95 %</w:t>
            </w:r>
          </w:p>
        </w:tc>
      </w:tr>
      <w:tr>
        <w:tc>
          <w:tcPr/>
          <w:p>
            <w:pPr>
              <w:pStyle w:val="Compact"/>
              <w:jc w:val="left"/>
            </w:pPr>
            <w:r>
              <w:t xml:space="preserve">Rezago escolar binario</w:t>
            </w:r>
          </w:p>
        </w:tc>
        <w:tc>
          <w:tcPr/>
          <w:p>
            <w:pPr>
              <w:pStyle w:val="Compact"/>
              <w:jc w:val="left"/>
            </w:pPr>
            <w:r>
              <w:t xml:space="preserve">Bernoulli-logit</w:t>
            </w:r>
          </w:p>
        </w:tc>
        <w:tc>
          <w:tcPr/>
          <w:p>
            <w:pPr>
              <w:pStyle w:val="Compact"/>
              <w:jc w:val="right"/>
            </w:pPr>
            <w:r>
              <w:t xml:space="preserve">1,0002</w:t>
            </w:r>
          </w:p>
        </w:tc>
        <w:tc>
          <w:tcPr/>
          <w:p>
            <w:pPr>
              <w:pStyle w:val="Compact"/>
              <w:jc w:val="right"/>
            </w:pPr>
            <w:r>
              <w:t xml:space="preserve">6150</w:t>
            </w:r>
          </w:p>
        </w:tc>
        <w:tc>
          <w:tcPr/>
          <w:p>
            <w:pPr>
              <w:pStyle w:val="Compact"/>
              <w:jc w:val="right"/>
            </w:pPr>
            <w:r>
              <w:t xml:space="preserve">5698</w:t>
            </w:r>
          </w:p>
        </w:tc>
        <w:tc>
          <w:tcPr/>
          <w:p>
            <w:pPr>
              <w:pStyle w:val="Compact"/>
              <w:jc w:val="right"/>
            </w:pPr>
            <w:r>
              <w:t xml:space="preserve">0</w:t>
            </w:r>
          </w:p>
        </w:tc>
        <w:tc>
          <w:tcPr/>
          <w:p>
            <w:pPr>
              <w:pStyle w:val="Compact"/>
              <w:jc w:val="left"/>
            </w:pPr>
            <w:r>
              <w:t xml:space="preserve">4/15; 0</w:t>
            </w:r>
          </w:p>
        </w:tc>
        <w:tc>
          <w:tcPr/>
          <w:p>
            <w:pPr>
              <w:pStyle w:val="Compact"/>
              <w:jc w:val="right"/>
            </w:pPr>
            <w:r>
              <w:t xml:space="preserve">0,961</w:t>
            </w:r>
          </w:p>
        </w:tc>
        <w:tc>
          <w:tcPr/>
          <w:p>
            <w:pPr>
              <w:pStyle w:val="Compact"/>
              <w:jc w:val="left"/>
            </w:pPr>
            <w:r>
              <w:t xml:space="preserve">0/4 fuera del ICr95 %</w:t>
            </w:r>
          </w:p>
        </w:tc>
      </w:tr>
      <w:tr>
        <w:tc>
          <w:tcPr/>
          <w:p>
            <w:pPr>
              <w:pStyle w:val="Compact"/>
              <w:jc w:val="left"/>
            </w:pPr>
            <w:r>
              <w:t xml:space="preserve">Control prenatal adecuado: sí/no</w:t>
            </w:r>
          </w:p>
        </w:tc>
        <w:tc>
          <w:tcPr/>
          <w:p>
            <w:pPr>
              <w:pStyle w:val="Compact"/>
              <w:jc w:val="left"/>
            </w:pPr>
            <w:r>
              <w:t xml:space="preserve">Bernoulli-logit</w:t>
            </w:r>
          </w:p>
        </w:tc>
        <w:tc>
          <w:tcPr/>
          <w:p>
            <w:pPr>
              <w:pStyle w:val="Compact"/>
              <w:jc w:val="right"/>
            </w:pPr>
            <w:r>
              <w:t xml:space="preserve">1,0014</w:t>
            </w:r>
          </w:p>
        </w:tc>
        <w:tc>
          <w:tcPr/>
          <w:p>
            <w:pPr>
              <w:pStyle w:val="Compact"/>
              <w:jc w:val="right"/>
            </w:pPr>
            <w:r>
              <w:t xml:space="preserve">6786</w:t>
            </w:r>
          </w:p>
        </w:tc>
        <w:tc>
          <w:tcPr/>
          <w:p>
            <w:pPr>
              <w:pStyle w:val="Compact"/>
              <w:jc w:val="right"/>
            </w:pPr>
            <w:r>
              <w:t xml:space="preserve">5479</w:t>
            </w:r>
          </w:p>
        </w:tc>
        <w:tc>
          <w:tcPr/>
          <w:p>
            <w:pPr>
              <w:pStyle w:val="Compact"/>
              <w:jc w:val="right"/>
            </w:pPr>
            <w:r>
              <w:t xml:space="preserve">0</w:t>
            </w:r>
          </w:p>
        </w:tc>
        <w:tc>
          <w:tcPr/>
          <w:p>
            <w:pPr>
              <w:pStyle w:val="Compact"/>
              <w:jc w:val="left"/>
            </w:pPr>
            <w:r>
              <w:t xml:space="preserve">4/15; 0</w:t>
            </w:r>
          </w:p>
        </w:tc>
        <w:tc>
          <w:tcPr/>
          <w:p>
            <w:pPr>
              <w:pStyle w:val="Compact"/>
              <w:jc w:val="right"/>
            </w:pPr>
            <w:r>
              <w:t xml:space="preserve">0,948</w:t>
            </w:r>
          </w:p>
        </w:tc>
        <w:tc>
          <w:tcPr/>
          <w:p>
            <w:pPr>
              <w:pStyle w:val="Compact"/>
              <w:jc w:val="left"/>
            </w:pPr>
            <w:r>
              <w:t xml:space="preserve">0/4 fuera del ICr95 %</w:t>
            </w:r>
          </w:p>
        </w:tc>
      </w:tr>
      <w:tr>
        <w:tc>
          <w:tcPr/>
          <w:p>
            <w:pPr>
              <w:pStyle w:val="Compact"/>
              <w:jc w:val="left"/>
            </w:pPr>
            <w:r>
              <w:t xml:space="preserve">Adecuación ordinal del control prenatal</w:t>
            </w:r>
          </w:p>
        </w:tc>
        <w:tc>
          <w:tcPr/>
          <w:p>
            <w:pPr>
              <w:pStyle w:val="Compact"/>
              <w:jc w:val="left"/>
            </w:pPr>
            <w:r>
              <w:t xml:space="preserve">Cumulative-logit</w:t>
            </w:r>
          </w:p>
        </w:tc>
        <w:tc>
          <w:tcPr/>
          <w:p>
            <w:pPr>
              <w:pStyle w:val="Compact"/>
              <w:jc w:val="right"/>
            </w:pPr>
            <w:r>
              <w:t xml:space="preserve">1,0009</w:t>
            </w:r>
          </w:p>
        </w:tc>
        <w:tc>
          <w:tcPr/>
          <w:p>
            <w:pPr>
              <w:pStyle w:val="Compact"/>
              <w:jc w:val="right"/>
            </w:pPr>
            <w:r>
              <w:t xml:space="preserve">4182</w:t>
            </w:r>
          </w:p>
        </w:tc>
        <w:tc>
          <w:tcPr/>
          <w:p>
            <w:pPr>
              <w:pStyle w:val="Compact"/>
              <w:jc w:val="right"/>
            </w:pPr>
            <w:r>
              <w:t xml:space="preserve">5217</w:t>
            </w:r>
          </w:p>
        </w:tc>
        <w:tc>
          <w:tcPr/>
          <w:p>
            <w:pPr>
              <w:pStyle w:val="Compact"/>
              <w:jc w:val="right"/>
            </w:pPr>
            <w:r>
              <w:t xml:space="preserve">0</w:t>
            </w:r>
          </w:p>
        </w:tc>
        <w:tc>
          <w:tcPr/>
          <w:p>
            <w:pPr>
              <w:pStyle w:val="Compact"/>
              <w:jc w:val="left"/>
            </w:pPr>
            <w:r>
              <w:t xml:space="preserve">7/15; 0</w:t>
            </w:r>
          </w:p>
        </w:tc>
        <w:tc>
          <w:tcPr/>
          <w:p>
            <w:pPr>
              <w:pStyle w:val="Compact"/>
              <w:jc w:val="right"/>
            </w:pPr>
            <w:r>
              <w:t xml:space="preserve">0,985</w:t>
            </w:r>
          </w:p>
        </w:tc>
        <w:tc>
          <w:tcPr/>
          <w:p>
            <w:pPr>
              <w:pStyle w:val="Compact"/>
              <w:jc w:val="left"/>
            </w:pPr>
            <w:r>
              <w:t xml:space="preserve">0/4 categorías fuera del ICr95 %</w:t>
            </w:r>
          </w:p>
        </w:tc>
      </w:tr>
      <w:tr>
        <w:tc>
          <w:tcPr/>
          <w:p>
            <w:pPr>
              <w:pStyle w:val="Compact"/>
              <w:jc w:val="left"/>
            </w:pPr>
            <w:r>
              <w:t xml:space="preserve">Gaussiano no ajustado</w:t>
            </w:r>
          </w:p>
        </w:tc>
        <w:tc>
          <w:tcPr/>
          <w:p>
            <w:pPr>
              <w:pStyle w:val="Compact"/>
              <w:jc w:val="left"/>
            </w:pPr>
            <w:r>
              <w:t xml:space="preserve">Gaussiano</w:t>
            </w:r>
          </w:p>
        </w:tc>
        <w:tc>
          <w:tcPr/>
          <w:p>
            <w:pPr>
              <w:pStyle w:val="Compact"/>
              <w:jc w:val="right"/>
            </w:pPr>
            <w:r>
              <w:t xml:space="preserve">1,0010</w:t>
            </w:r>
          </w:p>
        </w:tc>
        <w:tc>
          <w:tcPr/>
          <w:p>
            <w:pPr>
              <w:pStyle w:val="Compact"/>
              <w:jc w:val="right"/>
            </w:pPr>
            <w:r>
              <w:t xml:space="preserve">7722</w:t>
            </w:r>
          </w:p>
        </w:tc>
        <w:tc>
          <w:tcPr/>
          <w:p>
            <w:pPr>
              <w:pStyle w:val="Compact"/>
              <w:jc w:val="right"/>
            </w:pPr>
            <w:r>
              <w:t xml:space="preserve">5320</w:t>
            </w:r>
          </w:p>
        </w:tc>
        <w:tc>
          <w:tcPr/>
          <w:p>
            <w:pPr>
              <w:pStyle w:val="Compact"/>
              <w:jc w:val="right"/>
            </w:pPr>
            <w:r>
              <w:t xml:space="preserve">0</w:t>
            </w:r>
          </w:p>
        </w:tc>
        <w:tc>
          <w:tcPr/>
          <w:p>
            <w:pPr>
              <w:pStyle w:val="Compact"/>
              <w:jc w:val="left"/>
            </w:pPr>
            <w:r>
              <w:t xml:space="preserve">3/12; 0</w:t>
            </w:r>
          </w:p>
        </w:tc>
        <w:tc>
          <w:tcPr/>
          <w:p>
            <w:pPr>
              <w:pStyle w:val="Compact"/>
              <w:jc w:val="right"/>
            </w:pPr>
            <w:r>
              <w:t xml:space="preserve">0,981</w:t>
            </w:r>
          </w:p>
        </w:tc>
        <w:tc>
          <w:tcPr/>
          <w:p>
            <w:pPr>
              <w:pStyle w:val="Compact"/>
              <w:jc w:val="left"/>
            </w:pPr>
            <w:r>
              <w:t xml:space="preserve">12/16 fuera del ICr95 %</w:t>
            </w:r>
          </w:p>
        </w:tc>
      </w:tr>
      <w:tr>
        <w:tc>
          <w:tcPr/>
          <w:p>
            <w:pPr>
              <w:pStyle w:val="Compact"/>
              <w:jc w:val="left"/>
            </w:pPr>
            <w:r>
              <w:t xml:space="preserve">Gaussiano ajustado</w:t>
            </w:r>
          </w:p>
        </w:tc>
        <w:tc>
          <w:tcPr/>
          <w:p>
            <w:pPr>
              <w:pStyle w:val="Compact"/>
              <w:jc w:val="left"/>
            </w:pPr>
            <w:r>
              <w:t xml:space="preserve">Gaussiano</w:t>
            </w:r>
          </w:p>
        </w:tc>
        <w:tc>
          <w:tcPr/>
          <w:p>
            <w:pPr>
              <w:pStyle w:val="Compact"/>
              <w:jc w:val="right"/>
            </w:pPr>
            <w:r>
              <w:t xml:space="preserve">1,0005</w:t>
            </w:r>
          </w:p>
        </w:tc>
        <w:tc>
          <w:tcPr/>
          <w:p>
            <w:pPr>
              <w:pStyle w:val="Compact"/>
              <w:jc w:val="right"/>
            </w:pPr>
            <w:r>
              <w:t xml:space="preserve">9968</w:t>
            </w:r>
          </w:p>
        </w:tc>
        <w:tc>
          <w:tcPr/>
          <w:p>
            <w:pPr>
              <w:pStyle w:val="Compact"/>
              <w:jc w:val="right"/>
            </w:pPr>
            <w:r>
              <w:t xml:space="preserve">5825</w:t>
            </w:r>
          </w:p>
        </w:tc>
        <w:tc>
          <w:tcPr/>
          <w:p>
            <w:pPr>
              <w:pStyle w:val="Compact"/>
              <w:jc w:val="right"/>
            </w:pPr>
            <w:r>
              <w:t xml:space="preserve">0</w:t>
            </w:r>
          </w:p>
        </w:tc>
        <w:tc>
          <w:tcPr/>
          <w:p>
            <w:pPr>
              <w:pStyle w:val="Compact"/>
              <w:jc w:val="left"/>
            </w:pPr>
            <w:r>
              <w:t xml:space="preserve">3/12; 0</w:t>
            </w:r>
          </w:p>
        </w:tc>
        <w:tc>
          <w:tcPr/>
          <w:p>
            <w:pPr>
              <w:pStyle w:val="Compact"/>
              <w:jc w:val="right"/>
            </w:pPr>
            <w:r>
              <w:t xml:space="preserve">1,029</w:t>
            </w:r>
          </w:p>
        </w:tc>
        <w:tc>
          <w:tcPr/>
          <w:p>
            <w:pPr>
              <w:pStyle w:val="Compact"/>
              <w:jc w:val="left"/>
            </w:pPr>
            <w:r>
              <w:t xml:space="preserve">12/16 fuera del ICr95 %</w:t>
            </w:r>
          </w:p>
        </w:tc>
      </w:tr>
      <w:tr>
        <w:tc>
          <w:tcPr/>
          <w:p>
            <w:pPr>
              <w:pStyle w:val="Compact"/>
              <w:jc w:val="left"/>
            </w:pPr>
            <w:r>
              <w:t xml:space="preserve">Poisson no ajustado</w:t>
            </w:r>
          </w:p>
        </w:tc>
        <w:tc>
          <w:tcPr/>
          <w:p>
            <w:pPr>
              <w:pStyle w:val="Compact"/>
              <w:jc w:val="left"/>
            </w:pPr>
            <w:r>
              <w:t xml:space="preserve">Poisson</w:t>
            </w:r>
          </w:p>
        </w:tc>
        <w:tc>
          <w:tcPr/>
          <w:p>
            <w:pPr>
              <w:pStyle w:val="Compact"/>
              <w:jc w:val="right"/>
            </w:pPr>
            <w:r>
              <w:t xml:space="preserve">1,0008</w:t>
            </w:r>
          </w:p>
        </w:tc>
        <w:tc>
          <w:tcPr/>
          <w:p>
            <w:pPr>
              <w:pStyle w:val="Compact"/>
              <w:jc w:val="right"/>
            </w:pPr>
            <w:r>
              <w:t xml:space="preserve">5303</w:t>
            </w:r>
          </w:p>
        </w:tc>
        <w:tc>
          <w:tcPr/>
          <w:p>
            <w:pPr>
              <w:pStyle w:val="Compact"/>
              <w:jc w:val="right"/>
            </w:pPr>
            <w:r>
              <w:t xml:space="preserve">4568</w:t>
            </w:r>
          </w:p>
        </w:tc>
        <w:tc>
          <w:tcPr/>
          <w:p>
            <w:pPr>
              <w:pStyle w:val="Compact"/>
              <w:jc w:val="right"/>
            </w:pPr>
            <w:r>
              <w:t xml:space="preserve">0</w:t>
            </w:r>
          </w:p>
        </w:tc>
        <w:tc>
          <w:tcPr/>
          <w:p>
            <w:pPr>
              <w:pStyle w:val="Compact"/>
              <w:jc w:val="left"/>
            </w:pPr>
            <w:r>
              <w:t xml:space="preserve">3/12; 0</w:t>
            </w:r>
          </w:p>
        </w:tc>
        <w:tc>
          <w:tcPr/>
          <w:p>
            <w:pPr>
              <w:pStyle w:val="Compact"/>
              <w:jc w:val="right"/>
            </w:pPr>
            <w:r>
              <w:t xml:space="preserve">1,019</w:t>
            </w:r>
          </w:p>
        </w:tc>
        <w:tc>
          <w:tcPr/>
          <w:p>
            <w:pPr>
              <w:pStyle w:val="Compact"/>
              <w:jc w:val="left"/>
            </w:pPr>
            <w:r>
              <w:t xml:space="preserve">9/16 fuera del ICr95 %</w:t>
            </w:r>
          </w:p>
        </w:tc>
      </w:tr>
      <w:tr>
        <w:tc>
          <w:tcPr/>
          <w:p>
            <w:pPr>
              <w:pStyle w:val="Compact"/>
              <w:jc w:val="left"/>
            </w:pPr>
            <w:r>
              <w:t xml:space="preserve">Poisson ajustado</w:t>
            </w:r>
          </w:p>
        </w:tc>
        <w:tc>
          <w:tcPr/>
          <w:p>
            <w:pPr>
              <w:pStyle w:val="Compact"/>
              <w:jc w:val="left"/>
            </w:pPr>
            <w:r>
              <w:t xml:space="preserve">Poisson</w:t>
            </w:r>
          </w:p>
        </w:tc>
        <w:tc>
          <w:tcPr/>
          <w:p>
            <w:pPr>
              <w:pStyle w:val="Compact"/>
              <w:jc w:val="right"/>
            </w:pPr>
            <w:r>
              <w:t xml:space="preserve">1,0010</w:t>
            </w:r>
          </w:p>
        </w:tc>
        <w:tc>
          <w:tcPr/>
          <w:p>
            <w:pPr>
              <w:pStyle w:val="Compact"/>
              <w:jc w:val="right"/>
            </w:pPr>
            <w:r>
              <w:t xml:space="preserve">5784</w:t>
            </w:r>
          </w:p>
        </w:tc>
        <w:tc>
          <w:tcPr/>
          <w:p>
            <w:pPr>
              <w:pStyle w:val="Compact"/>
              <w:jc w:val="right"/>
            </w:pPr>
            <w:r>
              <w:t xml:space="preserve">4843</w:t>
            </w:r>
          </w:p>
        </w:tc>
        <w:tc>
          <w:tcPr/>
          <w:p>
            <w:pPr>
              <w:pStyle w:val="Compact"/>
              <w:jc w:val="right"/>
            </w:pPr>
            <w:r>
              <w:t xml:space="preserve">0</w:t>
            </w:r>
          </w:p>
        </w:tc>
        <w:tc>
          <w:tcPr/>
          <w:p>
            <w:pPr>
              <w:pStyle w:val="Compact"/>
              <w:jc w:val="left"/>
            </w:pPr>
            <w:r>
              <w:t xml:space="preserve">3/12; 0</w:t>
            </w:r>
          </w:p>
        </w:tc>
        <w:tc>
          <w:tcPr/>
          <w:p>
            <w:pPr>
              <w:pStyle w:val="Compact"/>
              <w:jc w:val="right"/>
            </w:pPr>
            <w:r>
              <w:t xml:space="preserve">1,005</w:t>
            </w:r>
          </w:p>
        </w:tc>
        <w:tc>
          <w:tcPr/>
          <w:p>
            <w:pPr>
              <w:pStyle w:val="Compact"/>
              <w:jc w:val="left"/>
            </w:pPr>
            <w:r>
              <w:t xml:space="preserve">6/16 fuera del ICr95 %</w:t>
            </w:r>
          </w:p>
        </w:tc>
      </w:tr>
      <w:tr>
        <w:tc>
          <w:tcPr/>
          <w:p>
            <w:pPr>
              <w:pStyle w:val="Compact"/>
              <w:jc w:val="left"/>
            </w:pPr>
            <w:r>
              <w:t xml:space="preserve">Binomial negativa no ajustada</w:t>
            </w:r>
          </w:p>
        </w:tc>
        <w:tc>
          <w:tcPr/>
          <w:p>
            <w:pPr>
              <w:pStyle w:val="Compact"/>
              <w:jc w:val="left"/>
            </w:pPr>
            <w:r>
              <w:t xml:space="preserve">Binomial negativa</w:t>
            </w:r>
          </w:p>
        </w:tc>
        <w:tc>
          <w:tcPr/>
          <w:p>
            <w:pPr>
              <w:pStyle w:val="Compact"/>
              <w:jc w:val="right"/>
            </w:pPr>
            <w:r>
              <w:t xml:space="preserve">1,0014</w:t>
            </w:r>
          </w:p>
        </w:tc>
        <w:tc>
          <w:tcPr/>
          <w:p>
            <w:pPr>
              <w:pStyle w:val="Compact"/>
              <w:jc w:val="right"/>
            </w:pPr>
            <w:r>
              <w:t xml:space="preserve">7626</w:t>
            </w:r>
          </w:p>
        </w:tc>
        <w:tc>
          <w:tcPr/>
          <w:p>
            <w:pPr>
              <w:pStyle w:val="Compact"/>
              <w:jc w:val="right"/>
            </w:pPr>
            <w:r>
              <w:t xml:space="preserve">5168</w:t>
            </w:r>
          </w:p>
        </w:tc>
        <w:tc>
          <w:tcPr/>
          <w:p>
            <w:pPr>
              <w:pStyle w:val="Compact"/>
              <w:jc w:val="right"/>
            </w:pPr>
            <w:r>
              <w:t xml:space="preserve">0</w:t>
            </w:r>
          </w:p>
        </w:tc>
        <w:tc>
          <w:tcPr/>
          <w:p>
            <w:pPr>
              <w:pStyle w:val="Compact"/>
              <w:jc w:val="left"/>
            </w:pPr>
            <w:r>
              <w:t xml:space="preserve">3/12; 0</w:t>
            </w:r>
          </w:p>
        </w:tc>
        <w:tc>
          <w:tcPr/>
          <w:p>
            <w:pPr>
              <w:pStyle w:val="Compact"/>
              <w:jc w:val="right"/>
            </w:pPr>
            <w:r>
              <w:t xml:space="preserve">0,978</w:t>
            </w:r>
          </w:p>
        </w:tc>
        <w:tc>
          <w:tcPr/>
          <w:p>
            <w:pPr>
              <w:pStyle w:val="Compact"/>
              <w:jc w:val="left"/>
            </w:pPr>
            <w:r>
              <w:t xml:space="preserve">6/16 fuera del ICr95 %</w:t>
            </w:r>
          </w:p>
        </w:tc>
      </w:tr>
      <w:tr>
        <w:tc>
          <w:tcPr/>
          <w:p>
            <w:pPr>
              <w:pStyle w:val="Compact"/>
              <w:jc w:val="left"/>
            </w:pPr>
            <w:r>
              <w:t xml:space="preserve">Binomial negativa ajustada</w:t>
            </w:r>
          </w:p>
        </w:tc>
        <w:tc>
          <w:tcPr/>
          <w:p>
            <w:pPr>
              <w:pStyle w:val="Compact"/>
              <w:jc w:val="left"/>
            </w:pPr>
            <w:r>
              <w:t xml:space="preserve">Binomial negativa</w:t>
            </w:r>
          </w:p>
        </w:tc>
        <w:tc>
          <w:tcPr/>
          <w:p>
            <w:pPr>
              <w:pStyle w:val="Compact"/>
              <w:jc w:val="right"/>
            </w:pPr>
            <w:r>
              <w:t xml:space="preserve">1,0006</w:t>
            </w:r>
          </w:p>
        </w:tc>
        <w:tc>
          <w:tcPr/>
          <w:p>
            <w:pPr>
              <w:pStyle w:val="Compact"/>
              <w:jc w:val="right"/>
            </w:pPr>
            <w:r>
              <w:t xml:space="preserve">8310</w:t>
            </w:r>
          </w:p>
        </w:tc>
        <w:tc>
          <w:tcPr/>
          <w:p>
            <w:pPr>
              <w:pStyle w:val="Compact"/>
              <w:jc w:val="right"/>
            </w:pPr>
            <w:r>
              <w:t xml:space="preserve">5240</w:t>
            </w:r>
          </w:p>
        </w:tc>
        <w:tc>
          <w:tcPr/>
          <w:p>
            <w:pPr>
              <w:pStyle w:val="Compact"/>
              <w:jc w:val="right"/>
            </w:pPr>
            <w:r>
              <w:t xml:space="preserve">0</w:t>
            </w:r>
          </w:p>
        </w:tc>
        <w:tc>
          <w:tcPr/>
          <w:p>
            <w:pPr>
              <w:pStyle w:val="Compact"/>
              <w:jc w:val="left"/>
            </w:pPr>
            <w:r>
              <w:t xml:space="preserve">3/12; 0</w:t>
            </w:r>
          </w:p>
        </w:tc>
        <w:tc>
          <w:tcPr/>
          <w:p>
            <w:pPr>
              <w:pStyle w:val="Compact"/>
              <w:jc w:val="right"/>
            </w:pPr>
            <w:r>
              <w:t xml:space="preserve">1,023</w:t>
            </w:r>
          </w:p>
        </w:tc>
        <w:tc>
          <w:tcPr/>
          <w:p>
            <w:pPr>
              <w:pStyle w:val="Compact"/>
              <w:jc w:val="left"/>
            </w:pPr>
            <w:r>
              <w:t xml:space="preserve">6/16 fuera del ICr95 %</w:t>
            </w:r>
          </w:p>
        </w:tc>
      </w:tr>
    </w:tbl>
    <w:p>
      <w:pPr>
        <w:pStyle w:val="BodyText"/>
      </w:pPr>
      <w:r>
        <w:t xml:space="preserve">ESS: tamaño efectivo de muestra; Div.: divergencias. Treedepth muestra la profundidad máxima observada/configurada y el número de iteraciones que alcanzaron el máximo configurado. Los PPC Bernoulli compararon prevalencias globales y por grupo y varianza; el ordinal comparó las cuatro proporciones; los modelos de consultas compararon 16 características distributivas. Estos resultados describen desempeño predictivo, no ajuste perfecto.</w:t>
      </w:r>
    </w:p>
    <w:bookmarkEnd w:id="33"/>
    <w:bookmarkStart w:id="34" w:name="Xfbae34eff119e577b3c8ccb65ca3f0889396c32"/>
    <w:p>
      <w:pPr>
        <w:pStyle w:val="Heading2"/>
      </w:pPr>
      <w:r>
        <w:t xml:space="preserve">Tabla S10. Parámetros posteriores completos de los modelos auditados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Modelo</w:t>
            </w:r>
          </w:p>
        </w:tc>
        <w:tc>
          <w:tcPr/>
          <w:p>
            <w:pPr>
              <w:pStyle w:val="Compact"/>
              <w:jc w:val="left"/>
            </w:pPr>
            <w:r>
              <w:rPr>
                <w:b/>
                <w:bCs/>
              </w:rPr>
              <w:t xml:space="preserve">Parámetro</w:t>
            </w:r>
          </w:p>
        </w:tc>
        <w:tc>
          <w:tcPr/>
          <w:p>
            <w:pPr>
              <w:pStyle w:val="Compact"/>
              <w:jc w:val="left"/>
            </w:pPr>
            <w:r>
              <w:rPr>
                <w:b/>
                <w:bCs/>
              </w:rPr>
              <w:t xml:space="preserve">Estimación (ICr95 %)</w:t>
            </w:r>
          </w:p>
        </w:tc>
        <w:tc>
          <w:tcPr/>
          <w:p>
            <w:pPr>
              <w:pStyle w:val="Compact"/>
              <w:jc w:val="right"/>
            </w:pPr>
            <w:r>
              <w:rPr>
                <w:b/>
                <w:bCs/>
              </w:rPr>
              <w:t xml:space="preserve">R-hat</w:t>
            </w:r>
          </w:p>
        </w:tc>
        <w:tc>
          <w:tcPr/>
          <w:p>
            <w:pPr>
              <w:pStyle w:val="Compact"/>
              <w:jc w:val="right"/>
            </w:pPr>
            <w:r>
              <w:rPr>
                <w:b/>
                <w:bCs/>
              </w:rPr>
              <w:t xml:space="preserve">ESS bulk</w:t>
            </w:r>
          </w:p>
        </w:tc>
        <w:tc>
          <w:tcPr/>
          <w:p>
            <w:pPr>
              <w:pStyle w:val="Compact"/>
              <w:jc w:val="right"/>
            </w:pPr>
            <w:r>
              <w:rPr>
                <w:b/>
                <w:bCs/>
              </w:rPr>
              <w:t xml:space="preserve">ESS tail</w:t>
            </w:r>
          </w:p>
        </w:tc>
      </w:tr>
      <w:tr>
        <w:tc>
          <w:tcPr/>
          <w:p>
            <w:pPr>
              <w:pStyle w:val="Compact"/>
              <w:jc w:val="left"/>
            </w:pPr>
            <w:r>
              <w:t xml:space="preserve">Pareja estable</w:t>
            </w:r>
          </w:p>
        </w:tc>
        <w:tc>
          <w:tcPr/>
          <w:p>
            <w:pPr>
              <w:pStyle w:val="Compact"/>
              <w:jc w:val="left"/>
            </w:pPr>
            <w:r>
              <w:t xml:space="preserve">Intercepto</w:t>
            </w:r>
          </w:p>
        </w:tc>
        <w:tc>
          <w:tcPr/>
          <w:p>
            <w:pPr>
              <w:pStyle w:val="Compact"/>
              <w:jc w:val="left"/>
            </w:pPr>
            <w:r>
              <w:t xml:space="preserve">0,237 (0,188 a 0,285)</w:t>
            </w:r>
          </w:p>
        </w:tc>
        <w:tc>
          <w:tcPr/>
          <w:p>
            <w:pPr>
              <w:pStyle w:val="Compact"/>
              <w:jc w:val="right"/>
            </w:pPr>
            <w:r>
              <w:t xml:space="preserve">1,0004</w:t>
            </w:r>
          </w:p>
        </w:tc>
        <w:tc>
          <w:tcPr/>
          <w:p>
            <w:pPr>
              <w:pStyle w:val="Compact"/>
              <w:jc w:val="right"/>
            </w:pPr>
            <w:r>
              <w:t xml:space="preserve">6903</w:t>
            </w:r>
          </w:p>
        </w:tc>
        <w:tc>
          <w:tcPr/>
          <w:p>
            <w:pPr>
              <w:pStyle w:val="Compact"/>
              <w:jc w:val="right"/>
            </w:pPr>
            <w:r>
              <w:t xml:space="preserve">5201</w:t>
            </w:r>
          </w:p>
        </w:tc>
      </w:tr>
      <w:tr>
        <w:tc>
          <w:tcPr/>
          <w:p>
            <w:pPr>
              <w:pStyle w:val="Compact"/>
              <w:jc w:val="left"/>
            </w:pPr>
            <w:r>
              <w:t xml:space="preserve">Pareja estable</w:t>
            </w:r>
          </w:p>
        </w:tc>
        <w:tc>
          <w:tcPr/>
          <w:p>
            <w:pPr>
              <w:pStyle w:val="Compact"/>
              <w:jc w:val="left"/>
            </w:pPr>
            <w:r>
              <w:t xml:space="preserve">Grupo 10–14</w:t>
            </w:r>
          </w:p>
        </w:tc>
        <w:tc>
          <w:tcPr/>
          <w:p>
            <w:pPr>
              <w:pStyle w:val="Compact"/>
              <w:jc w:val="left"/>
            </w:pPr>
            <w:r>
              <w:t xml:space="preserve">-0,318 (-0,522 a -0,112)</w:t>
            </w:r>
          </w:p>
        </w:tc>
        <w:tc>
          <w:tcPr/>
          <w:p>
            <w:pPr>
              <w:pStyle w:val="Compact"/>
              <w:jc w:val="right"/>
            </w:pPr>
            <w:r>
              <w:t xml:space="preserve">1,0006</w:t>
            </w:r>
          </w:p>
        </w:tc>
        <w:tc>
          <w:tcPr/>
          <w:p>
            <w:pPr>
              <w:pStyle w:val="Compact"/>
              <w:jc w:val="right"/>
            </w:pPr>
            <w:r>
              <w:t xml:space="preserve">6644</w:t>
            </w:r>
          </w:p>
        </w:tc>
        <w:tc>
          <w:tcPr/>
          <w:p>
            <w:pPr>
              <w:pStyle w:val="Compact"/>
              <w:jc w:val="right"/>
            </w:pPr>
            <w:r>
              <w:t xml:space="preserve">5906</w:t>
            </w:r>
          </w:p>
        </w:tc>
      </w:tr>
      <w:tr>
        <w:tc>
          <w:tcPr/>
          <w:p>
            <w:pPr>
              <w:pStyle w:val="Compact"/>
              <w:jc w:val="left"/>
            </w:pPr>
            <w:r>
              <w:t xml:space="preserve">Escolaridad cruda: ninguna o primaria</w:t>
            </w:r>
          </w:p>
        </w:tc>
        <w:tc>
          <w:tcPr/>
          <w:p>
            <w:pPr>
              <w:pStyle w:val="Compact"/>
              <w:jc w:val="left"/>
            </w:pPr>
            <w:r>
              <w:t xml:space="preserve">Intercepto</w:t>
            </w:r>
          </w:p>
        </w:tc>
        <w:tc>
          <w:tcPr/>
          <w:p>
            <w:pPr>
              <w:pStyle w:val="Compact"/>
              <w:jc w:val="left"/>
            </w:pPr>
            <w:r>
              <w:t xml:space="preserve">-1,725 (-1,792 a -1,657)</w:t>
            </w:r>
          </w:p>
        </w:tc>
        <w:tc>
          <w:tcPr/>
          <w:p>
            <w:pPr>
              <w:pStyle w:val="Compact"/>
              <w:jc w:val="right"/>
            </w:pPr>
            <w:r>
              <w:t xml:space="preserve">1,0018</w:t>
            </w:r>
          </w:p>
        </w:tc>
        <w:tc>
          <w:tcPr/>
          <w:p>
            <w:pPr>
              <w:pStyle w:val="Compact"/>
              <w:jc w:val="right"/>
            </w:pPr>
            <w:r>
              <w:t xml:space="preserve">5841</w:t>
            </w:r>
          </w:p>
        </w:tc>
        <w:tc>
          <w:tcPr/>
          <w:p>
            <w:pPr>
              <w:pStyle w:val="Compact"/>
              <w:jc w:val="right"/>
            </w:pPr>
            <w:r>
              <w:t xml:space="preserve">5983</w:t>
            </w:r>
          </w:p>
        </w:tc>
      </w:tr>
      <w:tr>
        <w:tc>
          <w:tcPr/>
          <w:p>
            <w:pPr>
              <w:pStyle w:val="Compact"/>
              <w:jc w:val="left"/>
            </w:pPr>
            <w:r>
              <w:t xml:space="preserve">Escolaridad cruda: ninguna o primaria</w:t>
            </w:r>
          </w:p>
        </w:tc>
        <w:tc>
          <w:tcPr/>
          <w:p>
            <w:pPr>
              <w:pStyle w:val="Compact"/>
              <w:jc w:val="left"/>
            </w:pPr>
            <w:r>
              <w:t xml:space="preserve">Grupo 10–14</w:t>
            </w:r>
          </w:p>
        </w:tc>
        <w:tc>
          <w:tcPr/>
          <w:p>
            <w:pPr>
              <w:pStyle w:val="Compact"/>
              <w:jc w:val="left"/>
            </w:pPr>
            <w:r>
              <w:t xml:space="preserve">2,367 (2,149 a 2,596)</w:t>
            </w:r>
          </w:p>
        </w:tc>
        <w:tc>
          <w:tcPr/>
          <w:p>
            <w:pPr>
              <w:pStyle w:val="Compact"/>
              <w:jc w:val="right"/>
            </w:pPr>
            <w:r>
              <w:t xml:space="preserve">1,0007</w:t>
            </w:r>
          </w:p>
        </w:tc>
        <w:tc>
          <w:tcPr/>
          <w:p>
            <w:pPr>
              <w:pStyle w:val="Compact"/>
              <w:jc w:val="right"/>
            </w:pPr>
            <w:r>
              <w:t xml:space="preserve">6755</w:t>
            </w:r>
          </w:p>
        </w:tc>
        <w:tc>
          <w:tcPr/>
          <w:p>
            <w:pPr>
              <w:pStyle w:val="Compact"/>
              <w:jc w:val="right"/>
            </w:pPr>
            <w:r>
              <w:t xml:space="preserve">5866</w:t>
            </w:r>
          </w:p>
        </w:tc>
      </w:tr>
      <w:tr>
        <w:tc>
          <w:tcPr/>
          <w:p>
            <w:pPr>
              <w:pStyle w:val="Compact"/>
              <w:jc w:val="left"/>
            </w:pPr>
            <w:r>
              <w:t xml:space="preserve">Etnia minoritaria</w:t>
            </w:r>
          </w:p>
        </w:tc>
        <w:tc>
          <w:tcPr/>
          <w:p>
            <w:pPr>
              <w:pStyle w:val="Compact"/>
              <w:jc w:val="left"/>
            </w:pPr>
            <w:r>
              <w:t xml:space="preserve">Intercepto</w:t>
            </w:r>
          </w:p>
        </w:tc>
        <w:tc>
          <w:tcPr/>
          <w:p>
            <w:pPr>
              <w:pStyle w:val="Compact"/>
              <w:jc w:val="left"/>
            </w:pPr>
            <w:r>
              <w:t xml:space="preserve">-2,965 (-3,076 a -2,855)</w:t>
            </w:r>
          </w:p>
        </w:tc>
        <w:tc>
          <w:tcPr/>
          <w:p>
            <w:pPr>
              <w:pStyle w:val="Compact"/>
              <w:jc w:val="right"/>
            </w:pPr>
            <w:r>
              <w:t xml:space="preserve">1,0005</w:t>
            </w:r>
          </w:p>
        </w:tc>
        <w:tc>
          <w:tcPr/>
          <w:p>
            <w:pPr>
              <w:pStyle w:val="Compact"/>
              <w:jc w:val="right"/>
            </w:pPr>
            <w:r>
              <w:t xml:space="preserve">6039</w:t>
            </w:r>
          </w:p>
        </w:tc>
        <w:tc>
          <w:tcPr/>
          <w:p>
            <w:pPr>
              <w:pStyle w:val="Compact"/>
              <w:jc w:val="right"/>
            </w:pPr>
            <w:r>
              <w:t xml:space="preserve">5265</w:t>
            </w:r>
          </w:p>
        </w:tc>
      </w:tr>
      <w:tr>
        <w:tc>
          <w:tcPr/>
          <w:p>
            <w:pPr>
              <w:pStyle w:val="Compact"/>
              <w:jc w:val="left"/>
            </w:pPr>
            <w:r>
              <w:t xml:space="preserve">Etnia minoritaria</w:t>
            </w:r>
          </w:p>
        </w:tc>
        <w:tc>
          <w:tcPr/>
          <w:p>
            <w:pPr>
              <w:pStyle w:val="Compact"/>
              <w:jc w:val="left"/>
            </w:pPr>
            <w:r>
              <w:t xml:space="preserve">Grupo 10–14</w:t>
            </w:r>
          </w:p>
        </w:tc>
        <w:tc>
          <w:tcPr/>
          <w:p>
            <w:pPr>
              <w:pStyle w:val="Compact"/>
              <w:jc w:val="left"/>
            </w:pPr>
            <w:r>
              <w:t xml:space="preserve">0,611 (0,229 a 0,966)</w:t>
            </w:r>
          </w:p>
        </w:tc>
        <w:tc>
          <w:tcPr/>
          <w:p>
            <w:pPr>
              <w:pStyle w:val="Compact"/>
              <w:jc w:val="right"/>
            </w:pPr>
            <w:r>
              <w:t xml:space="preserve">1,0008</w:t>
            </w:r>
          </w:p>
        </w:tc>
        <w:tc>
          <w:tcPr/>
          <w:p>
            <w:pPr>
              <w:pStyle w:val="Compact"/>
              <w:jc w:val="right"/>
            </w:pPr>
            <w:r>
              <w:t xml:space="preserve">6320</w:t>
            </w:r>
          </w:p>
        </w:tc>
        <w:tc>
          <w:tcPr/>
          <w:p>
            <w:pPr>
              <w:pStyle w:val="Compact"/>
              <w:jc w:val="right"/>
            </w:pPr>
            <w:r>
              <w:t xml:space="preserve">5556</w:t>
            </w:r>
          </w:p>
        </w:tc>
      </w:tr>
      <w:tr>
        <w:tc>
          <w:tcPr/>
          <w:p>
            <w:pPr>
              <w:pStyle w:val="Compact"/>
              <w:jc w:val="left"/>
            </w:pPr>
            <w:r>
              <w:t xml:space="preserve">Gestas previas</w:t>
            </w:r>
          </w:p>
        </w:tc>
        <w:tc>
          <w:tcPr/>
          <w:p>
            <w:pPr>
              <w:pStyle w:val="Compact"/>
              <w:jc w:val="left"/>
            </w:pPr>
            <w:r>
              <w:t xml:space="preserve">Intercepto</w:t>
            </w:r>
          </w:p>
        </w:tc>
        <w:tc>
          <w:tcPr/>
          <w:p>
            <w:pPr>
              <w:pStyle w:val="Compact"/>
              <w:jc w:val="left"/>
            </w:pPr>
            <w:r>
              <w:t xml:space="preserve">-1,500 (-1,565 a -1,436)</w:t>
            </w:r>
          </w:p>
        </w:tc>
        <w:tc>
          <w:tcPr/>
          <w:p>
            <w:pPr>
              <w:pStyle w:val="Compact"/>
              <w:jc w:val="right"/>
            </w:pPr>
            <w:r>
              <w:t xml:space="preserve">1,0002</w:t>
            </w:r>
          </w:p>
        </w:tc>
        <w:tc>
          <w:tcPr/>
          <w:p>
            <w:pPr>
              <w:pStyle w:val="Compact"/>
              <w:jc w:val="right"/>
            </w:pPr>
            <w:r>
              <w:t xml:space="preserve">6103</w:t>
            </w:r>
          </w:p>
        </w:tc>
        <w:tc>
          <w:tcPr/>
          <w:p>
            <w:pPr>
              <w:pStyle w:val="Compact"/>
              <w:jc w:val="right"/>
            </w:pPr>
            <w:r>
              <w:t xml:space="preserve">5962</w:t>
            </w:r>
          </w:p>
        </w:tc>
      </w:tr>
      <w:tr>
        <w:tc>
          <w:tcPr/>
          <w:p>
            <w:pPr>
              <w:pStyle w:val="Compact"/>
              <w:jc w:val="left"/>
            </w:pPr>
            <w:r>
              <w:t xml:space="preserve">Gestas previas</w:t>
            </w:r>
          </w:p>
        </w:tc>
        <w:tc>
          <w:tcPr/>
          <w:p>
            <w:pPr>
              <w:pStyle w:val="Compact"/>
              <w:jc w:val="left"/>
            </w:pPr>
            <w:r>
              <w:t xml:space="preserve">Grupo 10–14</w:t>
            </w:r>
          </w:p>
        </w:tc>
        <w:tc>
          <w:tcPr/>
          <w:p>
            <w:pPr>
              <w:pStyle w:val="Compact"/>
              <w:jc w:val="left"/>
            </w:pPr>
            <w:r>
              <w:t xml:space="preserve">-1,972 (-2,596 a -1,458)</w:t>
            </w:r>
          </w:p>
        </w:tc>
        <w:tc>
          <w:tcPr/>
          <w:p>
            <w:pPr>
              <w:pStyle w:val="Compact"/>
              <w:jc w:val="right"/>
            </w:pPr>
            <w:r>
              <w:t xml:space="preserve">1,0007</w:t>
            </w:r>
          </w:p>
        </w:tc>
        <w:tc>
          <w:tcPr/>
          <w:p>
            <w:pPr>
              <w:pStyle w:val="Compact"/>
              <w:jc w:val="right"/>
            </w:pPr>
            <w:r>
              <w:t xml:space="preserve">5569</w:t>
            </w:r>
          </w:p>
        </w:tc>
        <w:tc>
          <w:tcPr/>
          <w:p>
            <w:pPr>
              <w:pStyle w:val="Compact"/>
              <w:jc w:val="right"/>
            </w:pPr>
            <w:r>
              <w:t xml:space="preserve">5502</w:t>
            </w:r>
          </w:p>
        </w:tc>
      </w:tr>
      <w:tr>
        <w:tc>
          <w:tcPr/>
          <w:p>
            <w:pPr>
              <w:pStyle w:val="Compact"/>
              <w:jc w:val="left"/>
            </w:pPr>
            <w:r>
              <w:t xml:space="preserve">Embarazo múltiple</w:t>
            </w:r>
          </w:p>
        </w:tc>
        <w:tc>
          <w:tcPr/>
          <w:p>
            <w:pPr>
              <w:pStyle w:val="Compact"/>
              <w:jc w:val="left"/>
            </w:pPr>
            <w:r>
              <w:t xml:space="preserve">Intercepto</w:t>
            </w:r>
          </w:p>
        </w:tc>
        <w:tc>
          <w:tcPr/>
          <w:p>
            <w:pPr>
              <w:pStyle w:val="Compact"/>
              <w:jc w:val="left"/>
            </w:pPr>
            <w:r>
              <w:t xml:space="preserve">-3,287 (-3,417 a -3,158)</w:t>
            </w:r>
          </w:p>
        </w:tc>
        <w:tc>
          <w:tcPr/>
          <w:p>
            <w:pPr>
              <w:pStyle w:val="Compact"/>
              <w:jc w:val="right"/>
            </w:pPr>
            <w:r>
              <w:t xml:space="preserve">1,0003</w:t>
            </w:r>
          </w:p>
        </w:tc>
        <w:tc>
          <w:tcPr/>
          <w:p>
            <w:pPr>
              <w:pStyle w:val="Compact"/>
              <w:jc w:val="right"/>
            </w:pPr>
            <w:r>
              <w:t xml:space="preserve">6812</w:t>
            </w:r>
          </w:p>
        </w:tc>
        <w:tc>
          <w:tcPr/>
          <w:p>
            <w:pPr>
              <w:pStyle w:val="Compact"/>
              <w:jc w:val="right"/>
            </w:pPr>
            <w:r>
              <w:t xml:space="preserve">5837</w:t>
            </w:r>
          </w:p>
        </w:tc>
      </w:tr>
      <w:tr>
        <w:tc>
          <w:tcPr/>
          <w:p>
            <w:pPr>
              <w:pStyle w:val="Compact"/>
              <w:jc w:val="left"/>
            </w:pPr>
            <w:r>
              <w:t xml:space="preserve">Embarazo múltiple</w:t>
            </w:r>
          </w:p>
        </w:tc>
        <w:tc>
          <w:tcPr/>
          <w:p>
            <w:pPr>
              <w:pStyle w:val="Compact"/>
              <w:jc w:val="left"/>
            </w:pPr>
            <w:r>
              <w:t xml:space="preserve">Grupo 10–14</w:t>
            </w:r>
          </w:p>
        </w:tc>
        <w:tc>
          <w:tcPr/>
          <w:p>
            <w:pPr>
              <w:pStyle w:val="Compact"/>
              <w:jc w:val="left"/>
            </w:pPr>
            <w:r>
              <w:t xml:space="preserve">-1,009 (-1,991 a -0,243)</w:t>
            </w:r>
          </w:p>
        </w:tc>
        <w:tc>
          <w:tcPr/>
          <w:p>
            <w:pPr>
              <w:pStyle w:val="Compact"/>
              <w:jc w:val="right"/>
            </w:pPr>
            <w:r>
              <w:t xml:space="preserve">1,0004</w:t>
            </w:r>
          </w:p>
        </w:tc>
        <w:tc>
          <w:tcPr/>
          <w:p>
            <w:pPr>
              <w:pStyle w:val="Compact"/>
              <w:jc w:val="right"/>
            </w:pPr>
            <w:r>
              <w:t xml:space="preserve">5444</w:t>
            </w:r>
          </w:p>
        </w:tc>
        <w:tc>
          <w:tcPr/>
          <w:p>
            <w:pPr>
              <w:pStyle w:val="Compact"/>
              <w:jc w:val="right"/>
            </w:pPr>
            <w:r>
              <w:t xml:space="preserve">4885</w:t>
            </w:r>
          </w:p>
        </w:tc>
      </w:tr>
      <w:tr>
        <w:tc>
          <w:tcPr/>
          <w:p>
            <w:pPr>
              <w:pStyle w:val="Compact"/>
              <w:jc w:val="left"/>
            </w:pPr>
            <w:r>
              <w:t xml:space="preserve">Embarazo planeado</w:t>
            </w:r>
          </w:p>
        </w:tc>
        <w:tc>
          <w:tcPr/>
          <w:p>
            <w:pPr>
              <w:pStyle w:val="Compact"/>
              <w:jc w:val="left"/>
            </w:pPr>
            <w:r>
              <w:t xml:space="preserve">Intercepto</w:t>
            </w:r>
          </w:p>
        </w:tc>
        <w:tc>
          <w:tcPr/>
          <w:p>
            <w:pPr>
              <w:pStyle w:val="Compact"/>
              <w:jc w:val="left"/>
            </w:pPr>
            <w:r>
              <w:t xml:space="preserve">-1,212 (-1,269 a -1,155)</w:t>
            </w:r>
          </w:p>
        </w:tc>
        <w:tc>
          <w:tcPr/>
          <w:p>
            <w:pPr>
              <w:pStyle w:val="Compact"/>
              <w:jc w:val="right"/>
            </w:pPr>
            <w:r>
              <w:t xml:space="preserve">1,0008</w:t>
            </w:r>
          </w:p>
        </w:tc>
        <w:tc>
          <w:tcPr/>
          <w:p>
            <w:pPr>
              <w:pStyle w:val="Compact"/>
              <w:jc w:val="right"/>
            </w:pPr>
            <w:r>
              <w:t xml:space="preserve">7120</w:t>
            </w:r>
          </w:p>
        </w:tc>
        <w:tc>
          <w:tcPr/>
          <w:p>
            <w:pPr>
              <w:pStyle w:val="Compact"/>
              <w:jc w:val="right"/>
            </w:pPr>
            <w:r>
              <w:t xml:space="preserve">6068</w:t>
            </w:r>
          </w:p>
        </w:tc>
      </w:tr>
      <w:tr>
        <w:tc>
          <w:tcPr/>
          <w:p>
            <w:pPr>
              <w:pStyle w:val="Compact"/>
              <w:jc w:val="left"/>
            </w:pPr>
            <w:r>
              <w:t xml:space="preserve">Embarazo planeado</w:t>
            </w:r>
          </w:p>
        </w:tc>
        <w:tc>
          <w:tcPr/>
          <w:p>
            <w:pPr>
              <w:pStyle w:val="Compact"/>
              <w:jc w:val="left"/>
            </w:pPr>
            <w:r>
              <w:t xml:space="preserve">Grupo 10–14</w:t>
            </w:r>
          </w:p>
        </w:tc>
        <w:tc>
          <w:tcPr/>
          <w:p>
            <w:pPr>
              <w:pStyle w:val="Compact"/>
              <w:jc w:val="left"/>
            </w:pPr>
            <w:r>
              <w:t xml:space="preserve">-0,580 (-0,884 a -0,298)</w:t>
            </w:r>
          </w:p>
        </w:tc>
        <w:tc>
          <w:tcPr/>
          <w:p>
            <w:pPr>
              <w:pStyle w:val="Compact"/>
              <w:jc w:val="right"/>
            </w:pPr>
            <w:r>
              <w:t xml:space="preserve">1,0012</w:t>
            </w:r>
          </w:p>
        </w:tc>
        <w:tc>
          <w:tcPr/>
          <w:p>
            <w:pPr>
              <w:pStyle w:val="Compact"/>
              <w:jc w:val="right"/>
            </w:pPr>
            <w:r>
              <w:t xml:space="preserve">7117</w:t>
            </w:r>
          </w:p>
        </w:tc>
        <w:tc>
          <w:tcPr/>
          <w:p>
            <w:pPr>
              <w:pStyle w:val="Compact"/>
              <w:jc w:val="right"/>
            </w:pPr>
            <w:r>
              <w:t xml:space="preserve">5920</w:t>
            </w:r>
          </w:p>
        </w:tc>
      </w:tr>
      <w:tr>
        <w:tc>
          <w:tcPr/>
          <w:p>
            <w:pPr>
              <w:pStyle w:val="Compact"/>
              <w:jc w:val="left"/>
            </w:pPr>
            <w:r>
              <w:t xml:space="preserve">Falla anticonceptiva</w:t>
            </w:r>
          </w:p>
        </w:tc>
        <w:tc>
          <w:tcPr/>
          <w:p>
            <w:pPr>
              <w:pStyle w:val="Compact"/>
              <w:jc w:val="left"/>
            </w:pPr>
            <w:r>
              <w:t xml:space="preserve">Intercepto</w:t>
            </w:r>
          </w:p>
        </w:tc>
        <w:tc>
          <w:tcPr/>
          <w:p>
            <w:pPr>
              <w:pStyle w:val="Compact"/>
              <w:jc w:val="left"/>
            </w:pPr>
            <w:r>
              <w:t xml:space="preserve">-1,560 (-1,623 a -1,497)</w:t>
            </w:r>
          </w:p>
        </w:tc>
        <w:tc>
          <w:tcPr/>
          <w:p>
            <w:pPr>
              <w:pStyle w:val="Compact"/>
              <w:jc w:val="right"/>
            </w:pPr>
            <w:r>
              <w:t xml:space="preserve">1,0005</w:t>
            </w:r>
          </w:p>
        </w:tc>
        <w:tc>
          <w:tcPr/>
          <w:p>
            <w:pPr>
              <w:pStyle w:val="Compact"/>
              <w:jc w:val="right"/>
            </w:pPr>
            <w:r>
              <w:t xml:space="preserve">6997</w:t>
            </w:r>
          </w:p>
        </w:tc>
        <w:tc>
          <w:tcPr/>
          <w:p>
            <w:pPr>
              <w:pStyle w:val="Compact"/>
              <w:jc w:val="right"/>
            </w:pPr>
            <w:r>
              <w:t xml:space="preserve">5895</w:t>
            </w:r>
          </w:p>
        </w:tc>
      </w:tr>
      <w:tr>
        <w:tc>
          <w:tcPr/>
          <w:p>
            <w:pPr>
              <w:pStyle w:val="Compact"/>
              <w:jc w:val="left"/>
            </w:pPr>
            <w:r>
              <w:t xml:space="preserve">Falla anticonceptiva</w:t>
            </w:r>
          </w:p>
        </w:tc>
        <w:tc>
          <w:tcPr/>
          <w:p>
            <w:pPr>
              <w:pStyle w:val="Compact"/>
              <w:jc w:val="left"/>
            </w:pPr>
            <w:r>
              <w:t xml:space="preserve">Grupo 10–14</w:t>
            </w:r>
          </w:p>
        </w:tc>
        <w:tc>
          <w:tcPr/>
          <w:p>
            <w:pPr>
              <w:pStyle w:val="Compact"/>
              <w:jc w:val="left"/>
            </w:pPr>
            <w:r>
              <w:t xml:space="preserve">-0,984 (-1,402 a -0,620)</w:t>
            </w:r>
          </w:p>
        </w:tc>
        <w:tc>
          <w:tcPr/>
          <w:p>
            <w:pPr>
              <w:pStyle w:val="Compact"/>
              <w:jc w:val="right"/>
            </w:pPr>
            <w:r>
              <w:t xml:space="preserve">1,0003</w:t>
            </w:r>
          </w:p>
        </w:tc>
        <w:tc>
          <w:tcPr/>
          <w:p>
            <w:pPr>
              <w:pStyle w:val="Compact"/>
              <w:jc w:val="right"/>
            </w:pPr>
            <w:r>
              <w:t xml:space="preserve">6116</w:t>
            </w:r>
          </w:p>
        </w:tc>
        <w:tc>
          <w:tcPr/>
          <w:p>
            <w:pPr>
              <w:pStyle w:val="Compact"/>
              <w:jc w:val="right"/>
            </w:pPr>
            <w:r>
              <w:t xml:space="preserve">5976</w:t>
            </w:r>
          </w:p>
        </w:tc>
      </w:tr>
      <w:tr>
        <w:tc>
          <w:tcPr/>
          <w:p>
            <w:pPr>
              <w:pStyle w:val="Compact"/>
              <w:jc w:val="left"/>
            </w:pPr>
            <w:r>
              <w:t xml:space="preserve">Infección urinaria</w:t>
            </w:r>
          </w:p>
        </w:tc>
        <w:tc>
          <w:tcPr/>
          <w:p>
            <w:pPr>
              <w:pStyle w:val="Compact"/>
              <w:jc w:val="left"/>
            </w:pPr>
            <w:r>
              <w:t xml:space="preserve">Intercepto</w:t>
            </w:r>
          </w:p>
        </w:tc>
        <w:tc>
          <w:tcPr/>
          <w:p>
            <w:pPr>
              <w:pStyle w:val="Compact"/>
              <w:jc w:val="left"/>
            </w:pPr>
            <w:r>
              <w:t xml:space="preserve">0,107 (0,058 a 0,156)</w:t>
            </w:r>
          </w:p>
        </w:tc>
        <w:tc>
          <w:tcPr/>
          <w:p>
            <w:pPr>
              <w:pStyle w:val="Compact"/>
              <w:jc w:val="right"/>
            </w:pPr>
            <w:r>
              <w:t xml:space="preserve">1,0008</w:t>
            </w:r>
          </w:p>
        </w:tc>
        <w:tc>
          <w:tcPr/>
          <w:p>
            <w:pPr>
              <w:pStyle w:val="Compact"/>
              <w:jc w:val="right"/>
            </w:pPr>
            <w:r>
              <w:t xml:space="preserve">6605</w:t>
            </w:r>
          </w:p>
        </w:tc>
        <w:tc>
          <w:tcPr/>
          <w:p>
            <w:pPr>
              <w:pStyle w:val="Compact"/>
              <w:jc w:val="right"/>
            </w:pPr>
            <w:r>
              <w:t xml:space="preserve">6267</w:t>
            </w:r>
          </w:p>
        </w:tc>
      </w:tr>
      <w:tr>
        <w:tc>
          <w:tcPr/>
          <w:p>
            <w:pPr>
              <w:pStyle w:val="Compact"/>
              <w:jc w:val="left"/>
            </w:pPr>
            <w:r>
              <w:t xml:space="preserve">Infección urinaria</w:t>
            </w:r>
          </w:p>
        </w:tc>
        <w:tc>
          <w:tcPr/>
          <w:p>
            <w:pPr>
              <w:pStyle w:val="Compact"/>
              <w:jc w:val="left"/>
            </w:pPr>
            <w:r>
              <w:t xml:space="preserve">Grupo 10–14</w:t>
            </w:r>
          </w:p>
        </w:tc>
        <w:tc>
          <w:tcPr/>
          <w:p>
            <w:pPr>
              <w:pStyle w:val="Compact"/>
              <w:jc w:val="left"/>
            </w:pPr>
            <w:r>
              <w:t xml:space="preserve">-0,406 (-0,618 a -0,189)</w:t>
            </w:r>
          </w:p>
        </w:tc>
        <w:tc>
          <w:tcPr/>
          <w:p>
            <w:pPr>
              <w:pStyle w:val="Compact"/>
              <w:jc w:val="right"/>
            </w:pPr>
            <w:r>
              <w:t xml:space="preserve">1,0003</w:t>
            </w:r>
          </w:p>
        </w:tc>
        <w:tc>
          <w:tcPr/>
          <w:p>
            <w:pPr>
              <w:pStyle w:val="Compact"/>
              <w:jc w:val="right"/>
            </w:pPr>
            <w:r>
              <w:t xml:space="preserve">6468</w:t>
            </w:r>
          </w:p>
        </w:tc>
        <w:tc>
          <w:tcPr/>
          <w:p>
            <w:pPr>
              <w:pStyle w:val="Compact"/>
              <w:jc w:val="right"/>
            </w:pPr>
            <w:r>
              <w:t xml:space="preserve">5874</w:t>
            </w:r>
          </w:p>
        </w:tc>
      </w:tr>
      <w:tr>
        <w:tc>
          <w:tcPr/>
          <w:p>
            <w:pPr>
              <w:pStyle w:val="Compact"/>
              <w:jc w:val="left"/>
            </w:pPr>
            <w:r>
              <w:t xml:space="preserve">Compromiso del bienestar fetal</w:t>
            </w:r>
          </w:p>
        </w:tc>
        <w:tc>
          <w:tcPr/>
          <w:p>
            <w:pPr>
              <w:pStyle w:val="Compact"/>
              <w:jc w:val="left"/>
            </w:pPr>
            <w:r>
              <w:t xml:space="preserve">Intercepto</w:t>
            </w:r>
          </w:p>
        </w:tc>
        <w:tc>
          <w:tcPr/>
          <w:p>
            <w:pPr>
              <w:pStyle w:val="Compact"/>
              <w:jc w:val="left"/>
            </w:pPr>
            <w:r>
              <w:t xml:space="preserve">-2,165 (-2,243 a -2,085)</w:t>
            </w:r>
          </w:p>
        </w:tc>
        <w:tc>
          <w:tcPr/>
          <w:p>
            <w:pPr>
              <w:pStyle w:val="Compact"/>
              <w:jc w:val="right"/>
            </w:pPr>
            <w:r>
              <w:t xml:space="preserve">1,0013</w:t>
            </w:r>
          </w:p>
        </w:tc>
        <w:tc>
          <w:tcPr/>
          <w:p>
            <w:pPr>
              <w:pStyle w:val="Compact"/>
              <w:jc w:val="right"/>
            </w:pPr>
            <w:r>
              <w:t xml:space="preserve">6198</w:t>
            </w:r>
          </w:p>
        </w:tc>
        <w:tc>
          <w:tcPr/>
          <w:p>
            <w:pPr>
              <w:pStyle w:val="Compact"/>
              <w:jc w:val="right"/>
            </w:pPr>
            <w:r>
              <w:t xml:space="preserve">5705</w:t>
            </w:r>
          </w:p>
        </w:tc>
      </w:tr>
      <w:tr>
        <w:tc>
          <w:tcPr/>
          <w:p>
            <w:pPr>
              <w:pStyle w:val="Compact"/>
              <w:jc w:val="left"/>
            </w:pPr>
            <w:r>
              <w:t xml:space="preserve">Compromiso del bienestar fetal</w:t>
            </w:r>
          </w:p>
        </w:tc>
        <w:tc>
          <w:tcPr/>
          <w:p>
            <w:pPr>
              <w:pStyle w:val="Compact"/>
              <w:jc w:val="left"/>
            </w:pPr>
            <w:r>
              <w:t xml:space="preserve">Grupo 10–14</w:t>
            </w:r>
          </w:p>
        </w:tc>
        <w:tc>
          <w:tcPr/>
          <w:p>
            <w:pPr>
              <w:pStyle w:val="Compact"/>
              <w:jc w:val="left"/>
            </w:pPr>
            <w:r>
              <w:t xml:space="preserve">-0,596 (-1,034 a -0,200)</w:t>
            </w:r>
          </w:p>
        </w:tc>
        <w:tc>
          <w:tcPr/>
          <w:p>
            <w:pPr>
              <w:pStyle w:val="Compact"/>
              <w:jc w:val="right"/>
            </w:pPr>
            <w:r>
              <w:t xml:space="preserve">1,0013</w:t>
            </w:r>
          </w:p>
        </w:tc>
        <w:tc>
          <w:tcPr/>
          <w:p>
            <w:pPr>
              <w:pStyle w:val="Compact"/>
              <w:jc w:val="right"/>
            </w:pPr>
            <w:r>
              <w:t xml:space="preserve">6047</w:t>
            </w:r>
          </w:p>
        </w:tc>
        <w:tc>
          <w:tcPr/>
          <w:p>
            <w:pPr>
              <w:pStyle w:val="Compact"/>
              <w:jc w:val="right"/>
            </w:pPr>
            <w:r>
              <w:t xml:space="preserve">5900</w:t>
            </w:r>
          </w:p>
        </w:tc>
      </w:tr>
      <w:tr>
        <w:tc>
          <w:tcPr/>
          <w:p>
            <w:pPr>
              <w:pStyle w:val="Compact"/>
              <w:jc w:val="left"/>
            </w:pPr>
            <w:r>
              <w:t xml:space="preserve">Trastorno hipertensivo</w:t>
            </w:r>
          </w:p>
        </w:tc>
        <w:tc>
          <w:tcPr/>
          <w:p>
            <w:pPr>
              <w:pStyle w:val="Compact"/>
              <w:jc w:val="left"/>
            </w:pPr>
            <w:r>
              <w:t xml:space="preserve">Intercepto</w:t>
            </w:r>
          </w:p>
        </w:tc>
        <w:tc>
          <w:tcPr/>
          <w:p>
            <w:pPr>
              <w:pStyle w:val="Compact"/>
              <w:jc w:val="left"/>
            </w:pPr>
            <w:r>
              <w:t xml:space="preserve">-1,497 (-1,560 a -1,435)</w:t>
            </w:r>
          </w:p>
        </w:tc>
        <w:tc>
          <w:tcPr/>
          <w:p>
            <w:pPr>
              <w:pStyle w:val="Compact"/>
              <w:jc w:val="right"/>
            </w:pPr>
            <w:r>
              <w:t xml:space="preserve">1,0004</w:t>
            </w:r>
          </w:p>
        </w:tc>
        <w:tc>
          <w:tcPr/>
          <w:p>
            <w:pPr>
              <w:pStyle w:val="Compact"/>
              <w:jc w:val="right"/>
            </w:pPr>
            <w:r>
              <w:t xml:space="preserve">5263</w:t>
            </w:r>
          </w:p>
        </w:tc>
        <w:tc>
          <w:tcPr/>
          <w:p>
            <w:pPr>
              <w:pStyle w:val="Compact"/>
              <w:jc w:val="right"/>
            </w:pPr>
            <w:r>
              <w:t xml:space="preserve">4996</w:t>
            </w:r>
          </w:p>
        </w:tc>
      </w:tr>
      <w:tr>
        <w:tc>
          <w:tcPr/>
          <w:p>
            <w:pPr>
              <w:pStyle w:val="Compact"/>
              <w:jc w:val="left"/>
            </w:pPr>
            <w:r>
              <w:t xml:space="preserve">Trastorno hipertensivo</w:t>
            </w:r>
          </w:p>
        </w:tc>
        <w:tc>
          <w:tcPr/>
          <w:p>
            <w:pPr>
              <w:pStyle w:val="Compact"/>
              <w:jc w:val="left"/>
            </w:pPr>
            <w:r>
              <w:t xml:space="preserve">Grupo 10–14</w:t>
            </w:r>
          </w:p>
        </w:tc>
        <w:tc>
          <w:tcPr/>
          <w:p>
            <w:pPr>
              <w:pStyle w:val="Compact"/>
              <w:jc w:val="left"/>
            </w:pPr>
            <w:r>
              <w:t xml:space="preserve">-0,297 (-0,598 a -0,005)</w:t>
            </w:r>
          </w:p>
        </w:tc>
        <w:tc>
          <w:tcPr/>
          <w:p>
            <w:pPr>
              <w:pStyle w:val="Compact"/>
              <w:jc w:val="right"/>
            </w:pPr>
            <w:r>
              <w:t xml:space="preserve">1,0006</w:t>
            </w:r>
          </w:p>
        </w:tc>
        <w:tc>
          <w:tcPr/>
          <w:p>
            <w:pPr>
              <w:pStyle w:val="Compact"/>
              <w:jc w:val="right"/>
            </w:pPr>
            <w:r>
              <w:t xml:space="preserve">5858</w:t>
            </w:r>
          </w:p>
        </w:tc>
        <w:tc>
          <w:tcPr/>
          <w:p>
            <w:pPr>
              <w:pStyle w:val="Compact"/>
              <w:jc w:val="right"/>
            </w:pPr>
            <w:r>
              <w:t xml:space="preserve">4945</w:t>
            </w:r>
          </w:p>
        </w:tc>
      </w:tr>
      <w:tr>
        <w:tc>
          <w:tcPr/>
          <w:p>
            <w:pPr>
              <w:pStyle w:val="Compact"/>
              <w:jc w:val="left"/>
            </w:pPr>
            <w:r>
              <w:t xml:space="preserve">Parto vaginal</w:t>
            </w:r>
          </w:p>
        </w:tc>
        <w:tc>
          <w:tcPr/>
          <w:p>
            <w:pPr>
              <w:pStyle w:val="Compact"/>
              <w:jc w:val="left"/>
            </w:pPr>
            <w:r>
              <w:t xml:space="preserve">Intercepto</w:t>
            </w:r>
          </w:p>
        </w:tc>
        <w:tc>
          <w:tcPr/>
          <w:p>
            <w:pPr>
              <w:pStyle w:val="Compact"/>
              <w:jc w:val="left"/>
            </w:pPr>
            <w:r>
              <w:t xml:space="preserve">0,397 (0,349 a 0,446)</w:t>
            </w:r>
          </w:p>
        </w:tc>
        <w:tc>
          <w:tcPr/>
          <w:p>
            <w:pPr>
              <w:pStyle w:val="Compact"/>
              <w:jc w:val="right"/>
            </w:pPr>
            <w:r>
              <w:t xml:space="preserve">1,0001</w:t>
            </w:r>
          </w:p>
        </w:tc>
        <w:tc>
          <w:tcPr/>
          <w:p>
            <w:pPr>
              <w:pStyle w:val="Compact"/>
              <w:jc w:val="right"/>
            </w:pPr>
            <w:r>
              <w:t xml:space="preserve">6477</w:t>
            </w:r>
          </w:p>
        </w:tc>
        <w:tc>
          <w:tcPr/>
          <w:p>
            <w:pPr>
              <w:pStyle w:val="Compact"/>
              <w:jc w:val="right"/>
            </w:pPr>
            <w:r>
              <w:t xml:space="preserve">6001</w:t>
            </w:r>
          </w:p>
        </w:tc>
      </w:tr>
      <w:tr>
        <w:tc>
          <w:tcPr/>
          <w:p>
            <w:pPr>
              <w:pStyle w:val="Compact"/>
              <w:jc w:val="left"/>
            </w:pPr>
            <w:r>
              <w:t xml:space="preserve">Parto vaginal</w:t>
            </w:r>
          </w:p>
        </w:tc>
        <w:tc>
          <w:tcPr/>
          <w:p>
            <w:pPr>
              <w:pStyle w:val="Compact"/>
              <w:jc w:val="left"/>
            </w:pPr>
            <w:r>
              <w:t xml:space="preserve">Grupo 10–14</w:t>
            </w:r>
          </w:p>
        </w:tc>
        <w:tc>
          <w:tcPr/>
          <w:p>
            <w:pPr>
              <w:pStyle w:val="Compact"/>
              <w:jc w:val="left"/>
            </w:pPr>
            <w:r>
              <w:t xml:space="preserve">0,449 (0,223 a 0,674)</w:t>
            </w:r>
          </w:p>
        </w:tc>
        <w:tc>
          <w:tcPr/>
          <w:p>
            <w:pPr>
              <w:pStyle w:val="Compact"/>
              <w:jc w:val="right"/>
            </w:pPr>
            <w:r>
              <w:t xml:space="preserve">1,0001</w:t>
            </w:r>
          </w:p>
        </w:tc>
        <w:tc>
          <w:tcPr/>
          <w:p>
            <w:pPr>
              <w:pStyle w:val="Compact"/>
              <w:jc w:val="right"/>
            </w:pPr>
            <w:r>
              <w:t xml:space="preserve">6138</w:t>
            </w:r>
          </w:p>
        </w:tc>
        <w:tc>
          <w:tcPr/>
          <w:p>
            <w:pPr>
              <w:pStyle w:val="Compact"/>
              <w:jc w:val="right"/>
            </w:pPr>
            <w:r>
              <w:t xml:space="preserve">5944</w:t>
            </w:r>
          </w:p>
        </w:tc>
      </w:tr>
      <w:tr>
        <w:tc>
          <w:tcPr/>
          <w:p>
            <w:pPr>
              <w:pStyle w:val="Compact"/>
              <w:jc w:val="left"/>
            </w:pPr>
            <w:r>
              <w:t xml:space="preserve">Rezago escolar binario</w:t>
            </w:r>
          </w:p>
        </w:tc>
        <w:tc>
          <w:tcPr/>
          <w:p>
            <w:pPr>
              <w:pStyle w:val="Compact"/>
              <w:jc w:val="left"/>
            </w:pPr>
            <w:r>
              <w:t xml:space="preserve">Intercepto</w:t>
            </w:r>
          </w:p>
        </w:tc>
        <w:tc>
          <w:tcPr/>
          <w:p>
            <w:pPr>
              <w:pStyle w:val="Compact"/>
              <w:jc w:val="left"/>
            </w:pPr>
            <w:r>
              <w:t xml:space="preserve">-1,617 (-1,682 a -1,552)</w:t>
            </w:r>
          </w:p>
        </w:tc>
        <w:tc>
          <w:tcPr/>
          <w:p>
            <w:pPr>
              <w:pStyle w:val="Compact"/>
              <w:jc w:val="right"/>
            </w:pPr>
            <w:r>
              <w:t xml:space="preserve">1,0002</w:t>
            </w:r>
          </w:p>
        </w:tc>
        <w:tc>
          <w:tcPr/>
          <w:p>
            <w:pPr>
              <w:pStyle w:val="Compact"/>
              <w:jc w:val="right"/>
            </w:pPr>
            <w:r>
              <w:t xml:space="preserve">6150</w:t>
            </w:r>
          </w:p>
        </w:tc>
        <w:tc>
          <w:tcPr/>
          <w:p>
            <w:pPr>
              <w:pStyle w:val="Compact"/>
              <w:jc w:val="right"/>
            </w:pPr>
            <w:r>
              <w:t xml:space="preserve">5698</w:t>
            </w:r>
          </w:p>
        </w:tc>
      </w:tr>
      <w:tr>
        <w:tc>
          <w:tcPr/>
          <w:p>
            <w:pPr>
              <w:pStyle w:val="Compact"/>
              <w:jc w:val="left"/>
            </w:pPr>
            <w:r>
              <w:t xml:space="preserve">Rezago escolar binario</w:t>
            </w:r>
          </w:p>
        </w:tc>
        <w:tc>
          <w:tcPr/>
          <w:p>
            <w:pPr>
              <w:pStyle w:val="Compact"/>
              <w:jc w:val="left"/>
            </w:pPr>
            <w:r>
              <w:t xml:space="preserve">Grupo 10–14</w:t>
            </w:r>
          </w:p>
        </w:tc>
        <w:tc>
          <w:tcPr/>
          <w:p>
            <w:pPr>
              <w:pStyle w:val="Compact"/>
              <w:jc w:val="left"/>
            </w:pPr>
            <w:r>
              <w:t xml:space="preserve">0,970 (0,747 a 1,196)</w:t>
            </w:r>
          </w:p>
        </w:tc>
        <w:tc>
          <w:tcPr/>
          <w:p>
            <w:pPr>
              <w:pStyle w:val="Compact"/>
              <w:jc w:val="right"/>
            </w:pPr>
            <w:r>
              <w:t xml:space="preserve">1,0002</w:t>
            </w:r>
          </w:p>
        </w:tc>
        <w:tc>
          <w:tcPr/>
          <w:p>
            <w:pPr>
              <w:pStyle w:val="Compact"/>
              <w:jc w:val="right"/>
            </w:pPr>
            <w:r>
              <w:t xml:space="preserve">6869</w:t>
            </w:r>
          </w:p>
        </w:tc>
        <w:tc>
          <w:tcPr/>
          <w:p>
            <w:pPr>
              <w:pStyle w:val="Compact"/>
              <w:jc w:val="right"/>
            </w:pPr>
            <w:r>
              <w:t xml:space="preserve">6187</w:t>
            </w:r>
          </w:p>
        </w:tc>
      </w:tr>
      <w:tr>
        <w:tc>
          <w:tcPr/>
          <w:p>
            <w:pPr>
              <w:pStyle w:val="Compact"/>
              <w:jc w:val="left"/>
            </w:pPr>
            <w:r>
              <w:t xml:space="preserve">Control prenatal adecuado: sí/no</w:t>
            </w:r>
          </w:p>
        </w:tc>
        <w:tc>
          <w:tcPr/>
          <w:p>
            <w:pPr>
              <w:pStyle w:val="Compact"/>
              <w:jc w:val="left"/>
            </w:pPr>
            <w:r>
              <w:t xml:space="preserve">Intercepto</w:t>
            </w:r>
          </w:p>
        </w:tc>
        <w:tc>
          <w:tcPr/>
          <w:p>
            <w:pPr>
              <w:pStyle w:val="Compact"/>
              <w:jc w:val="left"/>
            </w:pPr>
            <w:r>
              <w:t xml:space="preserve">0,475 (0,424 a 0,525)</w:t>
            </w:r>
          </w:p>
        </w:tc>
        <w:tc>
          <w:tcPr/>
          <w:p>
            <w:pPr>
              <w:pStyle w:val="Compact"/>
              <w:jc w:val="right"/>
            </w:pPr>
            <w:r>
              <w:t xml:space="preserve">1,0001</w:t>
            </w:r>
          </w:p>
        </w:tc>
        <w:tc>
          <w:tcPr/>
          <w:p>
            <w:pPr>
              <w:pStyle w:val="Compact"/>
              <w:jc w:val="right"/>
            </w:pPr>
            <w:r>
              <w:t xml:space="preserve">6786</w:t>
            </w:r>
          </w:p>
        </w:tc>
        <w:tc>
          <w:tcPr/>
          <w:p>
            <w:pPr>
              <w:pStyle w:val="Compact"/>
              <w:jc w:val="right"/>
            </w:pPr>
            <w:r>
              <w:t xml:space="preserve">5479</w:t>
            </w:r>
          </w:p>
        </w:tc>
      </w:tr>
      <w:tr>
        <w:tc>
          <w:tcPr/>
          <w:p>
            <w:pPr>
              <w:pStyle w:val="Compact"/>
              <w:jc w:val="left"/>
            </w:pPr>
            <w:r>
              <w:t xml:space="preserve">Control prenatal adecuado: sí/no</w:t>
            </w:r>
          </w:p>
        </w:tc>
        <w:tc>
          <w:tcPr/>
          <w:p>
            <w:pPr>
              <w:pStyle w:val="Compact"/>
              <w:jc w:val="left"/>
            </w:pPr>
            <w:r>
              <w:t xml:space="preserve">Grupo 10–14</w:t>
            </w:r>
          </w:p>
        </w:tc>
        <w:tc>
          <w:tcPr/>
          <w:p>
            <w:pPr>
              <w:pStyle w:val="Compact"/>
              <w:jc w:val="left"/>
            </w:pPr>
            <w:r>
              <w:t xml:space="preserve">-0,337 (-0,544 a -0,126)</w:t>
            </w:r>
          </w:p>
        </w:tc>
        <w:tc>
          <w:tcPr/>
          <w:p>
            <w:pPr>
              <w:pStyle w:val="Compact"/>
              <w:jc w:val="right"/>
            </w:pPr>
            <w:r>
              <w:t xml:space="preserve">1,0014</w:t>
            </w:r>
          </w:p>
        </w:tc>
        <w:tc>
          <w:tcPr/>
          <w:p>
            <w:pPr>
              <w:pStyle w:val="Compact"/>
              <w:jc w:val="right"/>
            </w:pPr>
            <w:r>
              <w:t xml:space="preserve">7148</w:t>
            </w:r>
          </w:p>
        </w:tc>
        <w:tc>
          <w:tcPr/>
          <w:p>
            <w:pPr>
              <w:pStyle w:val="Compact"/>
              <w:jc w:val="right"/>
            </w:pPr>
            <w:r>
              <w:t xml:space="preserve">6049</w:t>
            </w:r>
          </w:p>
        </w:tc>
      </w:tr>
      <w:tr>
        <w:tc>
          <w:tcPr/>
          <w:p>
            <w:pPr>
              <w:pStyle w:val="Compact"/>
              <w:jc w:val="left"/>
            </w:pPr>
            <w:r>
              <w:t xml:space="preserve">Adecuación ordinal del control prenatal</w:t>
            </w:r>
          </w:p>
        </w:tc>
        <w:tc>
          <w:tcPr/>
          <w:p>
            <w:pPr>
              <w:pStyle w:val="Compact"/>
              <w:jc w:val="left"/>
            </w:pPr>
            <w:r>
              <w:t xml:space="preserve">Grupo 10–14</w:t>
            </w:r>
          </w:p>
        </w:tc>
        <w:tc>
          <w:tcPr/>
          <w:p>
            <w:pPr>
              <w:pStyle w:val="Compact"/>
              <w:jc w:val="left"/>
            </w:pPr>
            <w:r>
              <w:t xml:space="preserve">-0,376 (-0,578 a -0,176)</w:t>
            </w:r>
          </w:p>
        </w:tc>
        <w:tc>
          <w:tcPr/>
          <w:p>
            <w:pPr>
              <w:pStyle w:val="Compact"/>
              <w:jc w:val="right"/>
            </w:pPr>
            <w:r>
              <w:t xml:space="preserve">1,0003</w:t>
            </w:r>
          </w:p>
        </w:tc>
        <w:tc>
          <w:tcPr/>
          <w:p>
            <w:pPr>
              <w:pStyle w:val="Compact"/>
              <w:jc w:val="right"/>
            </w:pPr>
            <w:r>
              <w:t xml:space="preserve">7078</w:t>
            </w:r>
          </w:p>
        </w:tc>
        <w:tc>
          <w:tcPr/>
          <w:p>
            <w:pPr>
              <w:pStyle w:val="Compact"/>
              <w:jc w:val="right"/>
            </w:pPr>
            <w:r>
              <w:t xml:space="preserve">6503</w:t>
            </w:r>
          </w:p>
        </w:tc>
      </w:tr>
      <w:tr>
        <w:tc>
          <w:tcPr/>
          <w:p>
            <w:pPr>
              <w:pStyle w:val="Compact"/>
              <w:jc w:val="left"/>
            </w:pPr>
            <w:r>
              <w:t xml:space="preserve">Adecuación ordinal del control prenatal</w:t>
            </w:r>
          </w:p>
        </w:tc>
        <w:tc>
          <w:tcPr/>
          <w:p>
            <w:pPr>
              <w:pStyle w:val="Compact"/>
              <w:jc w:val="left"/>
            </w:pPr>
            <w:r>
              <w:t xml:space="preserve">Threshold 1</w:t>
            </w:r>
          </w:p>
        </w:tc>
        <w:tc>
          <w:tcPr/>
          <w:p>
            <w:pPr>
              <w:pStyle w:val="Compact"/>
              <w:jc w:val="left"/>
            </w:pPr>
            <w:r>
              <w:t xml:space="preserve">-3,606 (-3,755 a -3,462)</w:t>
            </w:r>
          </w:p>
        </w:tc>
        <w:tc>
          <w:tcPr/>
          <w:p>
            <w:pPr>
              <w:pStyle w:val="Compact"/>
              <w:jc w:val="right"/>
            </w:pPr>
            <w:r>
              <w:t xml:space="preserve">1,0009</w:t>
            </w:r>
          </w:p>
        </w:tc>
        <w:tc>
          <w:tcPr/>
          <w:p>
            <w:pPr>
              <w:pStyle w:val="Compact"/>
              <w:jc w:val="right"/>
            </w:pPr>
            <w:r>
              <w:t xml:space="preserve">4182</w:t>
            </w:r>
          </w:p>
        </w:tc>
        <w:tc>
          <w:tcPr/>
          <w:p>
            <w:pPr>
              <w:pStyle w:val="Compact"/>
              <w:jc w:val="right"/>
            </w:pPr>
            <w:r>
              <w:t xml:space="preserve">5217</w:t>
            </w:r>
          </w:p>
        </w:tc>
      </w:tr>
      <w:tr>
        <w:tc>
          <w:tcPr/>
          <w:p>
            <w:pPr>
              <w:pStyle w:val="Compact"/>
              <w:jc w:val="left"/>
            </w:pPr>
            <w:r>
              <w:t xml:space="preserve">Adecuación ordinal del control prenatal</w:t>
            </w:r>
          </w:p>
        </w:tc>
        <w:tc>
          <w:tcPr/>
          <w:p>
            <w:pPr>
              <w:pStyle w:val="Compact"/>
              <w:jc w:val="left"/>
            </w:pPr>
            <w:r>
              <w:t xml:space="preserve">Threshold 2</w:t>
            </w:r>
          </w:p>
        </w:tc>
        <w:tc>
          <w:tcPr/>
          <w:p>
            <w:pPr>
              <w:pStyle w:val="Compact"/>
              <w:jc w:val="left"/>
            </w:pPr>
            <w:r>
              <w:t xml:space="preserve">-1,851 (-1,920 a -1,783)</w:t>
            </w:r>
          </w:p>
        </w:tc>
        <w:tc>
          <w:tcPr/>
          <w:p>
            <w:pPr>
              <w:pStyle w:val="Compact"/>
              <w:jc w:val="right"/>
            </w:pPr>
            <w:r>
              <w:t xml:space="preserve">1,0000</w:t>
            </w:r>
          </w:p>
        </w:tc>
        <w:tc>
          <w:tcPr/>
          <w:p>
            <w:pPr>
              <w:pStyle w:val="Compact"/>
              <w:jc w:val="right"/>
            </w:pPr>
            <w:r>
              <w:t xml:space="preserve">7491</w:t>
            </w:r>
          </w:p>
        </w:tc>
        <w:tc>
          <w:tcPr/>
          <w:p>
            <w:pPr>
              <w:pStyle w:val="Compact"/>
              <w:jc w:val="right"/>
            </w:pPr>
            <w:r>
              <w:t xml:space="preserve">8221</w:t>
            </w:r>
          </w:p>
        </w:tc>
      </w:tr>
      <w:tr>
        <w:tc>
          <w:tcPr/>
          <w:p>
            <w:pPr>
              <w:pStyle w:val="Compact"/>
              <w:jc w:val="left"/>
            </w:pPr>
            <w:r>
              <w:t xml:space="preserve">Adecuación ordinal del control prenatal</w:t>
            </w:r>
          </w:p>
        </w:tc>
        <w:tc>
          <w:tcPr/>
          <w:p>
            <w:pPr>
              <w:pStyle w:val="Compact"/>
              <w:jc w:val="left"/>
            </w:pPr>
            <w:r>
              <w:t xml:space="preserve">Threshold 3</w:t>
            </w:r>
          </w:p>
        </w:tc>
        <w:tc>
          <w:tcPr/>
          <w:p>
            <w:pPr>
              <w:pStyle w:val="Compact"/>
              <w:jc w:val="left"/>
            </w:pPr>
            <w:r>
              <w:t xml:space="preserve">-0,476 (-0,525 a -0,426)</w:t>
            </w:r>
          </w:p>
        </w:tc>
        <w:tc>
          <w:tcPr/>
          <w:p>
            <w:pPr>
              <w:pStyle w:val="Compact"/>
              <w:jc w:val="right"/>
            </w:pPr>
            <w:r>
              <w:t xml:space="preserve">1,0004</w:t>
            </w:r>
          </w:p>
        </w:tc>
        <w:tc>
          <w:tcPr/>
          <w:p>
            <w:pPr>
              <w:pStyle w:val="Compact"/>
              <w:jc w:val="right"/>
            </w:pPr>
            <w:r>
              <w:t xml:space="preserve">13153</w:t>
            </w:r>
          </w:p>
        </w:tc>
        <w:tc>
          <w:tcPr/>
          <w:p>
            <w:pPr>
              <w:pStyle w:val="Compact"/>
              <w:jc w:val="right"/>
            </w:pPr>
            <w:r>
              <w:t xml:space="preserve">8617</w:t>
            </w:r>
          </w:p>
        </w:tc>
      </w:tr>
      <w:tr>
        <w:tc>
          <w:tcPr/>
          <w:p>
            <w:pPr>
              <w:pStyle w:val="Compact"/>
              <w:jc w:val="left"/>
            </w:pPr>
            <w:r>
              <w:t xml:space="preserve">Gaussiano no ajustado</w:t>
            </w:r>
          </w:p>
        </w:tc>
        <w:tc>
          <w:tcPr/>
          <w:p>
            <w:pPr>
              <w:pStyle w:val="Compact"/>
              <w:jc w:val="left"/>
            </w:pPr>
            <w:r>
              <w:t xml:space="preserve">Intercepto</w:t>
            </w:r>
          </w:p>
        </w:tc>
        <w:tc>
          <w:tcPr/>
          <w:p>
            <w:pPr>
              <w:pStyle w:val="Compact"/>
              <w:jc w:val="left"/>
            </w:pPr>
            <w:r>
              <w:t xml:space="preserve">5,743 (5,678 a 5,811)</w:t>
            </w:r>
          </w:p>
        </w:tc>
        <w:tc>
          <w:tcPr/>
          <w:p>
            <w:pPr>
              <w:pStyle w:val="Compact"/>
              <w:jc w:val="right"/>
            </w:pPr>
            <w:r>
              <w:t xml:space="preserve">1,0003</w:t>
            </w:r>
          </w:p>
        </w:tc>
        <w:tc>
          <w:tcPr/>
          <w:p>
            <w:pPr>
              <w:pStyle w:val="Compact"/>
              <w:jc w:val="right"/>
            </w:pPr>
            <w:r>
              <w:t xml:space="preserve">7759</w:t>
            </w:r>
          </w:p>
        </w:tc>
        <w:tc>
          <w:tcPr/>
          <w:p>
            <w:pPr>
              <w:pStyle w:val="Compact"/>
              <w:jc w:val="right"/>
            </w:pPr>
            <w:r>
              <w:t xml:space="preserve">5320</w:t>
            </w:r>
          </w:p>
        </w:tc>
      </w:tr>
      <w:tr>
        <w:tc>
          <w:tcPr/>
          <w:p>
            <w:pPr>
              <w:pStyle w:val="Compact"/>
              <w:jc w:val="left"/>
            </w:pPr>
            <w:r>
              <w:t xml:space="preserve">Gaussiano no ajustado</w:t>
            </w:r>
          </w:p>
        </w:tc>
        <w:tc>
          <w:tcPr/>
          <w:p>
            <w:pPr>
              <w:pStyle w:val="Compact"/>
              <w:jc w:val="left"/>
            </w:pPr>
            <w:r>
              <w:t xml:space="preserve">Grupo 10–14</w:t>
            </w:r>
          </w:p>
        </w:tc>
        <w:tc>
          <w:tcPr/>
          <w:p>
            <w:pPr>
              <w:pStyle w:val="Compact"/>
              <w:jc w:val="left"/>
            </w:pPr>
            <w:r>
              <w:t xml:space="preserve">-0,560 (-0,848 a -0,269)</w:t>
            </w:r>
          </w:p>
        </w:tc>
        <w:tc>
          <w:tcPr/>
          <w:p>
            <w:pPr>
              <w:pStyle w:val="Compact"/>
              <w:jc w:val="right"/>
            </w:pPr>
            <w:r>
              <w:t xml:space="preserve">1,0010</w:t>
            </w:r>
          </w:p>
        </w:tc>
        <w:tc>
          <w:tcPr/>
          <w:p>
            <w:pPr>
              <w:pStyle w:val="Compact"/>
              <w:jc w:val="right"/>
            </w:pPr>
            <w:r>
              <w:t xml:space="preserve">8349</w:t>
            </w:r>
          </w:p>
        </w:tc>
        <w:tc>
          <w:tcPr/>
          <w:p>
            <w:pPr>
              <w:pStyle w:val="Compact"/>
              <w:jc w:val="right"/>
            </w:pPr>
            <w:r>
              <w:t xml:space="preserve">5514</w:t>
            </w:r>
          </w:p>
        </w:tc>
      </w:tr>
      <w:tr>
        <w:tc>
          <w:tcPr/>
          <w:p>
            <w:pPr>
              <w:pStyle w:val="Compact"/>
              <w:jc w:val="left"/>
            </w:pPr>
            <w:r>
              <w:t xml:space="preserve">Gaussiano no ajustado</w:t>
            </w:r>
          </w:p>
        </w:tc>
        <w:tc>
          <w:tcPr/>
          <w:p>
            <w:pPr>
              <w:pStyle w:val="Compact"/>
              <w:jc w:val="left"/>
            </w:pPr>
            <w:r>
              <w:t xml:space="preserve">Sigma</w:t>
            </w:r>
          </w:p>
        </w:tc>
        <w:tc>
          <w:tcPr/>
          <w:p>
            <w:pPr>
              <w:pStyle w:val="Compact"/>
              <w:jc w:val="left"/>
            </w:pPr>
            <w:r>
              <w:t xml:space="preserve">2,766 (2,719 a 2,814)</w:t>
            </w:r>
          </w:p>
        </w:tc>
        <w:tc>
          <w:tcPr/>
          <w:p>
            <w:pPr>
              <w:pStyle w:val="Compact"/>
              <w:jc w:val="right"/>
            </w:pPr>
            <w:r>
              <w:t xml:space="preserve">1,0007</w:t>
            </w:r>
          </w:p>
        </w:tc>
        <w:tc>
          <w:tcPr/>
          <w:p>
            <w:pPr>
              <w:pStyle w:val="Compact"/>
              <w:jc w:val="right"/>
            </w:pPr>
            <w:r>
              <w:t xml:space="preserve">7722</w:t>
            </w:r>
          </w:p>
        </w:tc>
        <w:tc>
          <w:tcPr/>
          <w:p>
            <w:pPr>
              <w:pStyle w:val="Compact"/>
              <w:jc w:val="right"/>
            </w:pPr>
            <w:r>
              <w:t xml:space="preserve">5356</w:t>
            </w:r>
          </w:p>
        </w:tc>
      </w:tr>
      <w:tr>
        <w:tc>
          <w:tcPr/>
          <w:p>
            <w:pPr>
              <w:pStyle w:val="Compact"/>
              <w:jc w:val="left"/>
            </w:pPr>
            <w:r>
              <w:t xml:space="preserve">Gaussiano ajustado</w:t>
            </w:r>
          </w:p>
        </w:tc>
        <w:tc>
          <w:tcPr/>
          <w:p>
            <w:pPr>
              <w:pStyle w:val="Compact"/>
              <w:jc w:val="left"/>
            </w:pPr>
            <w:r>
              <w:t xml:space="preserve">Intercepto</w:t>
            </w:r>
          </w:p>
        </w:tc>
        <w:tc>
          <w:tcPr/>
          <w:p>
            <w:pPr>
              <w:pStyle w:val="Compact"/>
              <w:jc w:val="left"/>
            </w:pPr>
            <w:r>
              <w:t xml:space="preserve">-3,439 (-4,251 a -2,650)</w:t>
            </w:r>
          </w:p>
        </w:tc>
        <w:tc>
          <w:tcPr/>
          <w:p>
            <w:pPr>
              <w:pStyle w:val="Compact"/>
              <w:jc w:val="right"/>
            </w:pPr>
            <w:r>
              <w:t xml:space="preserve">1,0002</w:t>
            </w:r>
          </w:p>
        </w:tc>
        <w:tc>
          <w:tcPr/>
          <w:p>
            <w:pPr>
              <w:pStyle w:val="Compact"/>
              <w:jc w:val="right"/>
            </w:pPr>
            <w:r>
              <w:t xml:space="preserve">10788</w:t>
            </w:r>
          </w:p>
        </w:tc>
        <w:tc>
          <w:tcPr/>
          <w:p>
            <w:pPr>
              <w:pStyle w:val="Compact"/>
              <w:jc w:val="right"/>
            </w:pPr>
            <w:r>
              <w:t xml:space="preserve">5825</w:t>
            </w:r>
          </w:p>
        </w:tc>
      </w:tr>
      <w:tr>
        <w:tc>
          <w:tcPr/>
          <w:p>
            <w:pPr>
              <w:pStyle w:val="Compact"/>
              <w:jc w:val="left"/>
            </w:pPr>
            <w:r>
              <w:t xml:space="preserve">Gaussiano ajustado</w:t>
            </w:r>
          </w:p>
        </w:tc>
        <w:tc>
          <w:tcPr/>
          <w:p>
            <w:pPr>
              <w:pStyle w:val="Compact"/>
              <w:jc w:val="left"/>
            </w:pPr>
            <w:r>
              <w:t xml:space="preserve">Grupo 10–14</w:t>
            </w:r>
          </w:p>
        </w:tc>
        <w:tc>
          <w:tcPr/>
          <w:p>
            <w:pPr>
              <w:pStyle w:val="Compact"/>
              <w:jc w:val="left"/>
            </w:pPr>
            <w:r>
              <w:t xml:space="preserve">-0,545 (-0,821 a -0,273)</w:t>
            </w:r>
          </w:p>
        </w:tc>
        <w:tc>
          <w:tcPr/>
          <w:p>
            <w:pPr>
              <w:pStyle w:val="Compact"/>
              <w:jc w:val="right"/>
            </w:pPr>
            <w:r>
              <w:t xml:space="preserve">1,0003</w:t>
            </w:r>
          </w:p>
        </w:tc>
        <w:tc>
          <w:tcPr/>
          <w:p>
            <w:pPr>
              <w:pStyle w:val="Compact"/>
              <w:jc w:val="right"/>
            </w:pPr>
            <w:r>
              <w:t xml:space="preserve">10464</w:t>
            </w:r>
          </w:p>
        </w:tc>
        <w:tc>
          <w:tcPr/>
          <w:p>
            <w:pPr>
              <w:pStyle w:val="Compact"/>
              <w:jc w:val="right"/>
            </w:pPr>
            <w:r>
              <w:t xml:space="preserve">5965</w:t>
            </w:r>
          </w:p>
        </w:tc>
      </w:tr>
      <w:tr>
        <w:tc>
          <w:tcPr/>
          <w:p>
            <w:pPr>
              <w:pStyle w:val="Compact"/>
              <w:jc w:val="left"/>
            </w:pPr>
            <w:r>
              <w:t xml:space="preserve">Gaussiano ajustado</w:t>
            </w:r>
          </w:p>
        </w:tc>
        <w:tc>
          <w:tcPr/>
          <w:p>
            <w:pPr>
              <w:pStyle w:val="Compact"/>
              <w:jc w:val="left"/>
            </w:pPr>
            <w:r>
              <w:t xml:space="preserve">Edad gestacional</w:t>
            </w:r>
          </w:p>
        </w:tc>
        <w:tc>
          <w:tcPr/>
          <w:p>
            <w:pPr>
              <w:pStyle w:val="Compact"/>
              <w:jc w:val="left"/>
            </w:pPr>
            <w:r>
              <w:t xml:space="preserve">0,248 (0,226 a 0,270)</w:t>
            </w:r>
          </w:p>
        </w:tc>
        <w:tc>
          <w:tcPr/>
          <w:p>
            <w:pPr>
              <w:pStyle w:val="Compact"/>
              <w:jc w:val="right"/>
            </w:pPr>
            <w:r>
              <w:t xml:space="preserve">1,0001</w:t>
            </w:r>
          </w:p>
        </w:tc>
        <w:tc>
          <w:tcPr/>
          <w:p>
            <w:pPr>
              <w:pStyle w:val="Compact"/>
              <w:jc w:val="right"/>
            </w:pPr>
            <w:r>
              <w:t xml:space="preserve">10730</w:t>
            </w:r>
          </w:p>
        </w:tc>
        <w:tc>
          <w:tcPr/>
          <w:p>
            <w:pPr>
              <w:pStyle w:val="Compact"/>
              <w:jc w:val="right"/>
            </w:pPr>
            <w:r>
              <w:t xml:space="preserve">6009</w:t>
            </w:r>
          </w:p>
        </w:tc>
      </w:tr>
      <w:tr>
        <w:tc>
          <w:tcPr/>
          <w:p>
            <w:pPr>
              <w:pStyle w:val="Compact"/>
              <w:jc w:val="left"/>
            </w:pPr>
            <w:r>
              <w:t xml:space="preserve">Gaussiano ajustado</w:t>
            </w:r>
          </w:p>
        </w:tc>
        <w:tc>
          <w:tcPr/>
          <w:p>
            <w:pPr>
              <w:pStyle w:val="Compact"/>
              <w:jc w:val="left"/>
            </w:pPr>
            <w:r>
              <w:t xml:space="preserve">Sigma</w:t>
            </w:r>
          </w:p>
        </w:tc>
        <w:tc>
          <w:tcPr/>
          <w:p>
            <w:pPr>
              <w:pStyle w:val="Compact"/>
              <w:jc w:val="left"/>
            </w:pPr>
            <w:r>
              <w:t xml:space="preserve">2,669 (2,625 a 2,714)</w:t>
            </w:r>
          </w:p>
        </w:tc>
        <w:tc>
          <w:tcPr/>
          <w:p>
            <w:pPr>
              <w:pStyle w:val="Compact"/>
              <w:jc w:val="right"/>
            </w:pPr>
            <w:r>
              <w:t xml:space="preserve">1,0005</w:t>
            </w:r>
          </w:p>
        </w:tc>
        <w:tc>
          <w:tcPr/>
          <w:p>
            <w:pPr>
              <w:pStyle w:val="Compact"/>
              <w:jc w:val="right"/>
            </w:pPr>
            <w:r>
              <w:t xml:space="preserve">9968</w:t>
            </w:r>
          </w:p>
        </w:tc>
        <w:tc>
          <w:tcPr/>
          <w:p>
            <w:pPr>
              <w:pStyle w:val="Compact"/>
              <w:jc w:val="right"/>
            </w:pPr>
            <w:r>
              <w:t xml:space="preserve">5932</w:t>
            </w:r>
          </w:p>
        </w:tc>
      </w:tr>
      <w:tr>
        <w:tc>
          <w:tcPr/>
          <w:p>
            <w:pPr>
              <w:pStyle w:val="Compact"/>
              <w:jc w:val="left"/>
            </w:pPr>
            <w:r>
              <w:t xml:space="preserve">Poisson no ajustado</w:t>
            </w:r>
          </w:p>
        </w:tc>
        <w:tc>
          <w:tcPr/>
          <w:p>
            <w:pPr>
              <w:pStyle w:val="Compact"/>
              <w:jc w:val="left"/>
            </w:pPr>
            <w:r>
              <w:t xml:space="preserve">Intercepto</w:t>
            </w:r>
          </w:p>
        </w:tc>
        <w:tc>
          <w:tcPr/>
          <w:p>
            <w:pPr>
              <w:pStyle w:val="Compact"/>
              <w:jc w:val="left"/>
            </w:pPr>
            <w:r>
              <w:t xml:space="preserve">1,748 (1,738 a 1,758)</w:t>
            </w:r>
          </w:p>
        </w:tc>
        <w:tc>
          <w:tcPr/>
          <w:p>
            <w:pPr>
              <w:pStyle w:val="Compact"/>
              <w:jc w:val="right"/>
            </w:pPr>
            <w:r>
              <w:t xml:space="preserve">1,0008</w:t>
            </w:r>
          </w:p>
        </w:tc>
        <w:tc>
          <w:tcPr/>
          <w:p>
            <w:pPr>
              <w:pStyle w:val="Compact"/>
              <w:jc w:val="right"/>
            </w:pPr>
            <w:r>
              <w:t xml:space="preserve">5303</w:t>
            </w:r>
          </w:p>
        </w:tc>
        <w:tc>
          <w:tcPr/>
          <w:p>
            <w:pPr>
              <w:pStyle w:val="Compact"/>
              <w:jc w:val="right"/>
            </w:pPr>
            <w:r>
              <w:t xml:space="preserve">4932</w:t>
            </w:r>
          </w:p>
        </w:tc>
      </w:tr>
      <w:tr>
        <w:tc>
          <w:tcPr/>
          <w:p>
            <w:pPr>
              <w:pStyle w:val="Compact"/>
              <w:jc w:val="left"/>
            </w:pPr>
            <w:r>
              <w:t xml:space="preserve">Poisson no ajustado</w:t>
            </w:r>
          </w:p>
        </w:tc>
        <w:tc>
          <w:tcPr/>
          <w:p>
            <w:pPr>
              <w:pStyle w:val="Compact"/>
              <w:jc w:val="left"/>
            </w:pPr>
            <w:r>
              <w:t xml:space="preserve">Grupo 10–14</w:t>
            </w:r>
          </w:p>
        </w:tc>
        <w:tc>
          <w:tcPr/>
          <w:p>
            <w:pPr>
              <w:pStyle w:val="Compact"/>
              <w:jc w:val="left"/>
            </w:pPr>
            <w:r>
              <w:t xml:space="preserve">-0,103 (-0,149 a -0,058)</w:t>
            </w:r>
          </w:p>
        </w:tc>
        <w:tc>
          <w:tcPr/>
          <w:p>
            <w:pPr>
              <w:pStyle w:val="Compact"/>
              <w:jc w:val="right"/>
            </w:pPr>
            <w:r>
              <w:t xml:space="preserve">1,0005</w:t>
            </w:r>
          </w:p>
        </w:tc>
        <w:tc>
          <w:tcPr/>
          <w:p>
            <w:pPr>
              <w:pStyle w:val="Compact"/>
              <w:jc w:val="right"/>
            </w:pPr>
            <w:r>
              <w:t xml:space="preserve">5340</w:t>
            </w:r>
          </w:p>
        </w:tc>
        <w:tc>
          <w:tcPr/>
          <w:p>
            <w:pPr>
              <w:pStyle w:val="Compact"/>
              <w:jc w:val="right"/>
            </w:pPr>
            <w:r>
              <w:t xml:space="preserve">4568</w:t>
            </w:r>
          </w:p>
        </w:tc>
      </w:tr>
      <w:tr>
        <w:tc>
          <w:tcPr/>
          <w:p>
            <w:pPr>
              <w:pStyle w:val="Compact"/>
              <w:jc w:val="left"/>
            </w:pPr>
            <w:r>
              <w:t xml:space="preserve">Poisson ajustado</w:t>
            </w:r>
          </w:p>
        </w:tc>
        <w:tc>
          <w:tcPr/>
          <w:p>
            <w:pPr>
              <w:pStyle w:val="Compact"/>
              <w:jc w:val="left"/>
            </w:pPr>
            <w:r>
              <w:t xml:space="preserve">Intercepto</w:t>
            </w:r>
          </w:p>
        </w:tc>
        <w:tc>
          <w:tcPr/>
          <w:p>
            <w:pPr>
              <w:pStyle w:val="Compact"/>
              <w:jc w:val="left"/>
            </w:pPr>
            <w:r>
              <w:t xml:space="preserve">-0,027 (-0,160 a 0,108)</w:t>
            </w:r>
          </w:p>
        </w:tc>
        <w:tc>
          <w:tcPr/>
          <w:p>
            <w:pPr>
              <w:pStyle w:val="Compact"/>
              <w:jc w:val="right"/>
            </w:pPr>
            <w:r>
              <w:t xml:space="preserve">1,0006</w:t>
            </w:r>
          </w:p>
        </w:tc>
        <w:tc>
          <w:tcPr/>
          <w:p>
            <w:pPr>
              <w:pStyle w:val="Compact"/>
              <w:jc w:val="right"/>
            </w:pPr>
            <w:r>
              <w:t xml:space="preserve">8036</w:t>
            </w:r>
          </w:p>
        </w:tc>
        <w:tc>
          <w:tcPr/>
          <w:p>
            <w:pPr>
              <w:pStyle w:val="Compact"/>
              <w:jc w:val="right"/>
            </w:pPr>
            <w:r>
              <w:t xml:space="preserve">5713</w:t>
            </w:r>
          </w:p>
        </w:tc>
      </w:tr>
      <w:tr>
        <w:tc>
          <w:tcPr/>
          <w:p>
            <w:pPr>
              <w:pStyle w:val="Compact"/>
              <w:jc w:val="left"/>
            </w:pPr>
            <w:r>
              <w:t xml:space="preserve">Poisson ajustado</w:t>
            </w:r>
          </w:p>
        </w:tc>
        <w:tc>
          <w:tcPr/>
          <w:p>
            <w:pPr>
              <w:pStyle w:val="Compact"/>
              <w:jc w:val="left"/>
            </w:pPr>
            <w:r>
              <w:t xml:space="preserve">Grupo 10–14</w:t>
            </w:r>
          </w:p>
        </w:tc>
        <w:tc>
          <w:tcPr/>
          <w:p>
            <w:pPr>
              <w:pStyle w:val="Compact"/>
              <w:jc w:val="left"/>
            </w:pPr>
            <w:r>
              <w:t xml:space="preserve">-0,102 (-0,148 a -0,057)</w:t>
            </w:r>
          </w:p>
        </w:tc>
        <w:tc>
          <w:tcPr/>
          <w:p>
            <w:pPr>
              <w:pStyle w:val="Compact"/>
              <w:jc w:val="right"/>
            </w:pPr>
            <w:r>
              <w:t xml:space="preserve">1,0010</w:t>
            </w:r>
          </w:p>
        </w:tc>
        <w:tc>
          <w:tcPr/>
          <w:p>
            <w:pPr>
              <w:pStyle w:val="Compact"/>
              <w:jc w:val="right"/>
            </w:pPr>
            <w:r>
              <w:t xml:space="preserve">5784</w:t>
            </w:r>
          </w:p>
        </w:tc>
        <w:tc>
          <w:tcPr/>
          <w:p>
            <w:pPr>
              <w:pStyle w:val="Compact"/>
              <w:jc w:val="right"/>
            </w:pPr>
            <w:r>
              <w:t xml:space="preserve">4843</w:t>
            </w:r>
          </w:p>
        </w:tc>
      </w:tr>
      <w:tr>
        <w:tc>
          <w:tcPr/>
          <w:p>
            <w:pPr>
              <w:pStyle w:val="Compact"/>
              <w:jc w:val="left"/>
            </w:pPr>
            <w:r>
              <w:t xml:space="preserve">Poisson ajustado</w:t>
            </w:r>
          </w:p>
        </w:tc>
        <w:tc>
          <w:tcPr/>
          <w:p>
            <w:pPr>
              <w:pStyle w:val="Compact"/>
              <w:jc w:val="left"/>
            </w:pPr>
            <w:r>
              <w:t xml:space="preserve">Edad gestacional</w:t>
            </w:r>
          </w:p>
        </w:tc>
        <w:tc>
          <w:tcPr/>
          <w:p>
            <w:pPr>
              <w:pStyle w:val="Compact"/>
              <w:jc w:val="left"/>
            </w:pPr>
            <w:r>
              <w:t xml:space="preserve">0,048 (0,044 a 0,051)</w:t>
            </w:r>
          </w:p>
        </w:tc>
        <w:tc>
          <w:tcPr/>
          <w:p>
            <w:pPr>
              <w:pStyle w:val="Compact"/>
              <w:jc w:val="right"/>
            </w:pPr>
            <w:r>
              <w:t xml:space="preserve">1,0007</w:t>
            </w:r>
          </w:p>
        </w:tc>
        <w:tc>
          <w:tcPr/>
          <w:p>
            <w:pPr>
              <w:pStyle w:val="Compact"/>
              <w:jc w:val="right"/>
            </w:pPr>
            <w:r>
              <w:t xml:space="preserve">8084</w:t>
            </w:r>
          </w:p>
        </w:tc>
        <w:tc>
          <w:tcPr/>
          <w:p>
            <w:pPr>
              <w:pStyle w:val="Compact"/>
              <w:jc w:val="right"/>
            </w:pPr>
            <w:r>
              <w:t xml:space="preserve">5839</w:t>
            </w:r>
          </w:p>
        </w:tc>
      </w:tr>
      <w:tr>
        <w:tc>
          <w:tcPr/>
          <w:p>
            <w:pPr>
              <w:pStyle w:val="Compact"/>
              <w:jc w:val="left"/>
            </w:pPr>
            <w:r>
              <w:t xml:space="preserve">Binomial negativa no ajustada</w:t>
            </w:r>
          </w:p>
        </w:tc>
        <w:tc>
          <w:tcPr/>
          <w:p>
            <w:pPr>
              <w:pStyle w:val="Compact"/>
              <w:jc w:val="left"/>
            </w:pPr>
            <w:r>
              <w:t xml:space="preserve">Intercepto</w:t>
            </w:r>
          </w:p>
        </w:tc>
        <w:tc>
          <w:tcPr/>
          <w:p>
            <w:pPr>
              <w:pStyle w:val="Compact"/>
              <w:jc w:val="left"/>
            </w:pPr>
            <w:r>
              <w:t xml:space="preserve">1,748 (1,736 a 1,760)</w:t>
            </w:r>
          </w:p>
        </w:tc>
        <w:tc>
          <w:tcPr/>
          <w:p>
            <w:pPr>
              <w:pStyle w:val="Compact"/>
              <w:jc w:val="right"/>
            </w:pPr>
            <w:r>
              <w:t xml:space="preserve">1,0009</w:t>
            </w:r>
          </w:p>
        </w:tc>
        <w:tc>
          <w:tcPr/>
          <w:p>
            <w:pPr>
              <w:pStyle w:val="Compact"/>
              <w:jc w:val="right"/>
            </w:pPr>
            <w:r>
              <w:t xml:space="preserve">8535</w:t>
            </w:r>
          </w:p>
        </w:tc>
        <w:tc>
          <w:tcPr/>
          <w:p>
            <w:pPr>
              <w:pStyle w:val="Compact"/>
              <w:jc w:val="right"/>
            </w:pPr>
            <w:r>
              <w:t xml:space="preserve">5838</w:t>
            </w:r>
          </w:p>
        </w:tc>
      </w:tr>
      <w:tr>
        <w:tc>
          <w:tcPr/>
          <w:p>
            <w:pPr>
              <w:pStyle w:val="Compact"/>
              <w:jc w:val="left"/>
            </w:pPr>
            <w:r>
              <w:t xml:space="preserve">Binomial negativa no ajustada</w:t>
            </w:r>
          </w:p>
        </w:tc>
        <w:tc>
          <w:tcPr/>
          <w:p>
            <w:pPr>
              <w:pStyle w:val="Compact"/>
              <w:jc w:val="left"/>
            </w:pPr>
            <w:r>
              <w:t xml:space="preserve">Grupo 10–14</w:t>
            </w:r>
          </w:p>
        </w:tc>
        <w:tc>
          <w:tcPr/>
          <w:p>
            <w:pPr>
              <w:pStyle w:val="Compact"/>
              <w:jc w:val="left"/>
            </w:pPr>
            <w:r>
              <w:t xml:space="preserve">-0,103 (-0,156 a -0,050)</w:t>
            </w:r>
          </w:p>
        </w:tc>
        <w:tc>
          <w:tcPr/>
          <w:p>
            <w:pPr>
              <w:pStyle w:val="Compact"/>
              <w:jc w:val="right"/>
            </w:pPr>
            <w:r>
              <w:t xml:space="preserve">1,0004</w:t>
            </w:r>
          </w:p>
        </w:tc>
        <w:tc>
          <w:tcPr/>
          <w:p>
            <w:pPr>
              <w:pStyle w:val="Compact"/>
              <w:jc w:val="right"/>
            </w:pPr>
            <w:r>
              <w:t xml:space="preserve">7626</w:t>
            </w:r>
          </w:p>
        </w:tc>
        <w:tc>
          <w:tcPr/>
          <w:p>
            <w:pPr>
              <w:pStyle w:val="Compact"/>
              <w:jc w:val="right"/>
            </w:pPr>
            <w:r>
              <w:t xml:space="preserve">5381</w:t>
            </w:r>
          </w:p>
        </w:tc>
      </w:tr>
      <w:tr>
        <w:tc>
          <w:tcPr/>
          <w:p>
            <w:pPr>
              <w:pStyle w:val="Compact"/>
              <w:jc w:val="left"/>
            </w:pPr>
            <w:r>
              <w:t xml:space="preserve">Binomial negativa no ajustada</w:t>
            </w:r>
          </w:p>
        </w:tc>
        <w:tc>
          <w:tcPr/>
          <w:p>
            <w:pPr>
              <w:pStyle w:val="Compact"/>
              <w:jc w:val="left"/>
            </w:pPr>
            <w:r>
              <w:t xml:space="preserve">Shape</w:t>
            </w:r>
          </w:p>
        </w:tc>
        <w:tc>
          <w:tcPr/>
          <w:p>
            <w:pPr>
              <w:pStyle w:val="Compact"/>
              <w:jc w:val="left"/>
            </w:pPr>
            <w:r>
              <w:t xml:space="preserve">14,691 (13,021 a 16,638)</w:t>
            </w:r>
          </w:p>
        </w:tc>
        <w:tc>
          <w:tcPr/>
          <w:p>
            <w:pPr>
              <w:pStyle w:val="Compact"/>
              <w:jc w:val="right"/>
            </w:pPr>
            <w:r>
              <w:t xml:space="preserve">1,0014</w:t>
            </w:r>
          </w:p>
        </w:tc>
        <w:tc>
          <w:tcPr/>
          <w:p>
            <w:pPr>
              <w:pStyle w:val="Compact"/>
              <w:jc w:val="right"/>
            </w:pPr>
            <w:r>
              <w:t xml:space="preserve">7907</w:t>
            </w:r>
          </w:p>
        </w:tc>
        <w:tc>
          <w:tcPr/>
          <w:p>
            <w:pPr>
              <w:pStyle w:val="Compact"/>
              <w:jc w:val="right"/>
            </w:pPr>
            <w:r>
              <w:t xml:space="preserve">5168</w:t>
            </w:r>
          </w:p>
        </w:tc>
      </w:tr>
      <w:tr>
        <w:tc>
          <w:tcPr/>
          <w:p>
            <w:pPr>
              <w:pStyle w:val="Compact"/>
              <w:jc w:val="left"/>
            </w:pPr>
            <w:r>
              <w:t xml:space="preserve">Binomial negativa ajustada</w:t>
            </w:r>
          </w:p>
        </w:tc>
        <w:tc>
          <w:tcPr/>
          <w:p>
            <w:pPr>
              <w:pStyle w:val="Compact"/>
              <w:jc w:val="left"/>
            </w:pPr>
            <w:r>
              <w:t xml:space="preserve">Intercepto</w:t>
            </w:r>
          </w:p>
        </w:tc>
        <w:tc>
          <w:tcPr/>
          <w:p>
            <w:pPr>
              <w:pStyle w:val="Compact"/>
              <w:jc w:val="left"/>
            </w:pPr>
            <w:r>
              <w:t xml:space="preserve">-0,042 (-0,194 a 0,115)</w:t>
            </w:r>
          </w:p>
        </w:tc>
        <w:tc>
          <w:tcPr/>
          <w:p>
            <w:pPr>
              <w:pStyle w:val="Compact"/>
              <w:jc w:val="right"/>
            </w:pPr>
            <w:r>
              <w:t xml:space="preserve">0,9999</w:t>
            </w:r>
          </w:p>
        </w:tc>
        <w:tc>
          <w:tcPr/>
          <w:p>
            <w:pPr>
              <w:pStyle w:val="Compact"/>
              <w:jc w:val="right"/>
            </w:pPr>
            <w:r>
              <w:t xml:space="preserve">11342</w:t>
            </w:r>
          </w:p>
        </w:tc>
        <w:tc>
          <w:tcPr/>
          <w:p>
            <w:pPr>
              <w:pStyle w:val="Compact"/>
              <w:jc w:val="right"/>
            </w:pPr>
            <w:r>
              <w:t xml:space="preserve">6410</w:t>
            </w:r>
          </w:p>
        </w:tc>
      </w:tr>
      <w:tr>
        <w:tc>
          <w:tcPr/>
          <w:p>
            <w:pPr>
              <w:pStyle w:val="Compact"/>
              <w:jc w:val="left"/>
            </w:pPr>
            <w:r>
              <w:t xml:space="preserve">Binomial negativa ajustada</w:t>
            </w:r>
          </w:p>
        </w:tc>
        <w:tc>
          <w:tcPr/>
          <w:p>
            <w:pPr>
              <w:pStyle w:val="Compact"/>
              <w:jc w:val="left"/>
            </w:pPr>
            <w:r>
              <w:t xml:space="preserve">Grupo 10–14</w:t>
            </w:r>
          </w:p>
        </w:tc>
        <w:tc>
          <w:tcPr/>
          <w:p>
            <w:pPr>
              <w:pStyle w:val="Compact"/>
              <w:jc w:val="left"/>
            </w:pPr>
            <w:r>
              <w:t xml:space="preserve">-0,102 (-0,154 a -0,051)</w:t>
            </w:r>
          </w:p>
        </w:tc>
        <w:tc>
          <w:tcPr/>
          <w:p>
            <w:pPr>
              <w:pStyle w:val="Compact"/>
              <w:jc w:val="right"/>
            </w:pPr>
            <w:r>
              <w:t xml:space="preserve">1,0006</w:t>
            </w:r>
          </w:p>
        </w:tc>
        <w:tc>
          <w:tcPr/>
          <w:p>
            <w:pPr>
              <w:pStyle w:val="Compact"/>
              <w:jc w:val="right"/>
            </w:pPr>
            <w:r>
              <w:t xml:space="preserve">8379</w:t>
            </w:r>
          </w:p>
        </w:tc>
        <w:tc>
          <w:tcPr/>
          <w:p>
            <w:pPr>
              <w:pStyle w:val="Compact"/>
              <w:jc w:val="right"/>
            </w:pPr>
            <w:r>
              <w:t xml:space="preserve">5240</w:t>
            </w:r>
          </w:p>
        </w:tc>
      </w:tr>
      <w:tr>
        <w:tc>
          <w:tcPr/>
          <w:p>
            <w:pPr>
              <w:pStyle w:val="Compact"/>
              <w:jc w:val="left"/>
            </w:pPr>
            <w:r>
              <w:t xml:space="preserve">Binomial negativa ajustada</w:t>
            </w:r>
          </w:p>
        </w:tc>
        <w:tc>
          <w:tcPr/>
          <w:p>
            <w:pPr>
              <w:pStyle w:val="Compact"/>
              <w:jc w:val="left"/>
            </w:pPr>
            <w:r>
              <w:t xml:space="preserve">Edad gestacional</w:t>
            </w:r>
          </w:p>
        </w:tc>
        <w:tc>
          <w:tcPr/>
          <w:p>
            <w:pPr>
              <w:pStyle w:val="Compact"/>
              <w:jc w:val="left"/>
            </w:pPr>
            <w:r>
              <w:t xml:space="preserve">0,048 (0,044 a 0,052)</w:t>
            </w:r>
          </w:p>
        </w:tc>
        <w:tc>
          <w:tcPr/>
          <w:p>
            <w:pPr>
              <w:pStyle w:val="Compact"/>
              <w:jc w:val="right"/>
            </w:pPr>
            <w:r>
              <w:t xml:space="preserve">0,9999</w:t>
            </w:r>
          </w:p>
        </w:tc>
        <w:tc>
          <w:tcPr/>
          <w:p>
            <w:pPr>
              <w:pStyle w:val="Compact"/>
              <w:jc w:val="right"/>
            </w:pPr>
            <w:r>
              <w:t xml:space="preserve">11437</w:t>
            </w:r>
          </w:p>
        </w:tc>
        <w:tc>
          <w:tcPr/>
          <w:p>
            <w:pPr>
              <w:pStyle w:val="Compact"/>
              <w:jc w:val="right"/>
            </w:pPr>
            <w:r>
              <w:t xml:space="preserve">6303</w:t>
            </w:r>
          </w:p>
        </w:tc>
      </w:tr>
      <w:tr>
        <w:tc>
          <w:tcPr/>
          <w:p>
            <w:pPr>
              <w:pStyle w:val="Compact"/>
              <w:jc w:val="left"/>
            </w:pPr>
            <w:r>
              <w:t xml:space="preserve">Binomial negativa ajustada</w:t>
            </w:r>
          </w:p>
        </w:tc>
        <w:tc>
          <w:tcPr/>
          <w:p>
            <w:pPr>
              <w:pStyle w:val="Compact"/>
              <w:jc w:val="left"/>
            </w:pPr>
            <w:r>
              <w:t xml:space="preserve">Shape</w:t>
            </w:r>
          </w:p>
        </w:tc>
        <w:tc>
          <w:tcPr/>
          <w:p>
            <w:pPr>
              <w:pStyle w:val="Compact"/>
              <w:jc w:val="left"/>
            </w:pPr>
            <w:r>
              <w:t xml:space="preserve">19,353 (16,856 a 22,501)</w:t>
            </w:r>
          </w:p>
        </w:tc>
        <w:tc>
          <w:tcPr/>
          <w:p>
            <w:pPr>
              <w:pStyle w:val="Compact"/>
              <w:jc w:val="right"/>
            </w:pPr>
            <w:r>
              <w:t xml:space="preserve">1,0001</w:t>
            </w:r>
          </w:p>
        </w:tc>
        <w:tc>
          <w:tcPr/>
          <w:p>
            <w:pPr>
              <w:pStyle w:val="Compact"/>
              <w:jc w:val="right"/>
            </w:pPr>
            <w:r>
              <w:t xml:space="preserve">8310</w:t>
            </w:r>
          </w:p>
        </w:tc>
        <w:tc>
          <w:tcPr/>
          <w:p>
            <w:pPr>
              <w:pStyle w:val="Compact"/>
              <w:jc w:val="right"/>
            </w:pPr>
            <w:r>
              <w:t xml:space="preserve">5400</w:t>
            </w:r>
          </w:p>
        </w:tc>
      </w:tr>
    </w:tbl>
    <w:p>
      <w:pPr>
        <w:pStyle w:val="BodyText"/>
      </w:pPr>
      <w:r>
        <w:t xml:space="preserve">Los interceptos, coeficientes y parámetros auxiliares se presentan en la escala del predictor lineal de cada familia. ICr: intervalo de credibilidad; ESS: tamaño efectivo de muestra.</w:t>
      </w:r>
    </w:p>
    <w:bookmarkEnd w:id="34"/>
    <w:bookmarkStart w:id="35" w:name="X7108c76d484c28e4f0e35ab3be0ece31995c664"/>
    <w:p>
      <w:pPr>
        <w:pStyle w:val="Heading2"/>
      </w:pPr>
      <w:r>
        <w:t xml:space="preserve">Tabla S11. Sensibilidad de los coeficientes principales a priors alternativos</w:t>
      </w:r>
    </w:p>
    <w:tbl>
      <w:tblPr>
        <w:tblStyle w:val="Table"/>
        <w:tblW w:type="pct" w:w="5000"/>
        <w:tblLayout w:type="fixed"/>
        <w:tblLook w:firstRow="1" w:lastRow="0" w:firstColumn="0" w:lastColumn="0" w:noHBand="0" w:noVBand="0" w:val="0020"/>
      </w:tblPr>
      <w:tblGrid>
        <w:gridCol w:w="1827"/>
        <w:gridCol w:w="1827"/>
        <w:gridCol w:w="1827"/>
        <w:gridCol w:w="2436"/>
      </w:tblGrid>
      <w:tr>
        <w:trPr>
          <w:tblHeader w:val="on"/>
        </w:trPr>
        <w:tc>
          <w:tcPr/>
          <w:p>
            <w:pPr>
              <w:pStyle w:val="Compact"/>
              <w:jc w:val="left"/>
            </w:pPr>
            <w:r>
              <w:rPr>
                <w:b/>
                <w:bCs/>
              </w:rPr>
              <w:t xml:space="preserve">Modelo</w:t>
            </w:r>
          </w:p>
        </w:tc>
        <w:tc>
          <w:tcPr/>
          <w:p>
            <w:pPr>
              <w:pStyle w:val="Compact"/>
              <w:jc w:val="left"/>
            </w:pPr>
            <w:r>
              <w:rPr>
                <w:b/>
                <w:bCs/>
              </w:rPr>
              <w:t xml:space="preserve">Prior principal: estimación (ICr95 %)</w:t>
            </w:r>
          </w:p>
        </w:tc>
        <w:tc>
          <w:tcPr/>
          <w:p>
            <w:pPr>
              <w:pStyle w:val="Compact"/>
              <w:jc w:val="left"/>
            </w:pPr>
            <w:r>
              <w:rPr>
                <w:b/>
                <w:bCs/>
              </w:rPr>
              <w:t xml:space="preserve">Prior alternativo: estimación (ICr95 %)</w:t>
            </w:r>
          </w:p>
        </w:tc>
        <w:tc>
          <w:tcPr/>
          <w:p>
            <w:pPr>
              <w:pStyle w:val="Compact"/>
              <w:jc w:val="center"/>
            </w:pPr>
            <w:r>
              <w:rPr>
                <w:b/>
                <w:bCs/>
              </w:rPr>
              <w:t xml:space="preserve">Cambio de dirección</w:t>
            </w:r>
          </w:p>
        </w:tc>
      </w:tr>
      <w:tr>
        <w:tc>
          <w:tcPr/>
          <w:p>
            <w:pPr>
              <w:pStyle w:val="Compact"/>
              <w:jc w:val="left"/>
            </w:pPr>
            <w:r>
              <w:t xml:space="preserve">Pareja estable</w:t>
            </w:r>
          </w:p>
        </w:tc>
        <w:tc>
          <w:tcPr/>
          <w:p>
            <w:pPr>
              <w:pStyle w:val="Compact"/>
              <w:jc w:val="left"/>
            </w:pPr>
            <w:r>
              <w:t xml:space="preserve">-0,318 (-0,522 a -0,112)</w:t>
            </w:r>
          </w:p>
        </w:tc>
        <w:tc>
          <w:tcPr/>
          <w:p>
            <w:pPr>
              <w:pStyle w:val="Compact"/>
              <w:jc w:val="left"/>
            </w:pPr>
            <w:r>
              <w:t xml:space="preserve">-0,315 (-0,519 a -0,116)</w:t>
            </w:r>
          </w:p>
        </w:tc>
        <w:tc>
          <w:tcPr/>
          <w:p>
            <w:pPr>
              <w:pStyle w:val="Compact"/>
              <w:jc w:val="center"/>
            </w:pPr>
            <w:r>
              <w:t xml:space="preserve">No</w:t>
            </w:r>
          </w:p>
        </w:tc>
      </w:tr>
      <w:tr>
        <w:tc>
          <w:tcPr/>
          <w:p>
            <w:pPr>
              <w:pStyle w:val="Compact"/>
              <w:jc w:val="left"/>
            </w:pPr>
            <w:r>
              <w:t xml:space="preserve">Escolaridad cruda: ninguna o primaria</w:t>
            </w:r>
          </w:p>
        </w:tc>
        <w:tc>
          <w:tcPr/>
          <w:p>
            <w:pPr>
              <w:pStyle w:val="Compact"/>
              <w:jc w:val="left"/>
            </w:pPr>
            <w:r>
              <w:t xml:space="preserve">2,367 (2,149 a 2,596)</w:t>
            </w:r>
          </w:p>
        </w:tc>
        <w:tc>
          <w:tcPr/>
          <w:p>
            <w:pPr>
              <w:pStyle w:val="Compact"/>
              <w:jc w:val="left"/>
            </w:pPr>
            <w:r>
              <w:t xml:space="preserve">2,364 (2,147 a 2,585)</w:t>
            </w:r>
          </w:p>
        </w:tc>
        <w:tc>
          <w:tcPr/>
          <w:p>
            <w:pPr>
              <w:pStyle w:val="Compact"/>
              <w:jc w:val="center"/>
            </w:pPr>
            <w:r>
              <w:t xml:space="preserve">No</w:t>
            </w:r>
          </w:p>
        </w:tc>
      </w:tr>
      <w:tr>
        <w:tc>
          <w:tcPr/>
          <w:p>
            <w:pPr>
              <w:pStyle w:val="Compact"/>
              <w:jc w:val="left"/>
            </w:pPr>
            <w:r>
              <w:t xml:space="preserve">Etnia minoritaria</w:t>
            </w:r>
          </w:p>
        </w:tc>
        <w:tc>
          <w:tcPr/>
          <w:p>
            <w:pPr>
              <w:pStyle w:val="Compact"/>
              <w:jc w:val="left"/>
            </w:pPr>
            <w:r>
              <w:t xml:space="preserve">0,611 (0,229 a 0,966)</w:t>
            </w:r>
          </w:p>
        </w:tc>
        <w:tc>
          <w:tcPr/>
          <w:p>
            <w:pPr>
              <w:pStyle w:val="Compact"/>
              <w:jc w:val="left"/>
            </w:pPr>
            <w:r>
              <w:t xml:space="preserve">0,609 (0,227 a 0,962)</w:t>
            </w:r>
          </w:p>
        </w:tc>
        <w:tc>
          <w:tcPr/>
          <w:p>
            <w:pPr>
              <w:pStyle w:val="Compact"/>
              <w:jc w:val="center"/>
            </w:pPr>
            <w:r>
              <w:t xml:space="preserve">No</w:t>
            </w:r>
          </w:p>
        </w:tc>
      </w:tr>
      <w:tr>
        <w:tc>
          <w:tcPr/>
          <w:p>
            <w:pPr>
              <w:pStyle w:val="Compact"/>
              <w:jc w:val="left"/>
            </w:pPr>
            <w:r>
              <w:t xml:space="preserve">Gestas previas</w:t>
            </w:r>
          </w:p>
        </w:tc>
        <w:tc>
          <w:tcPr/>
          <w:p>
            <w:pPr>
              <w:pStyle w:val="Compact"/>
              <w:jc w:val="left"/>
            </w:pPr>
            <w:r>
              <w:t xml:space="preserve">-1,972 (-2,596 a -1,458)</w:t>
            </w:r>
          </w:p>
        </w:tc>
        <w:tc>
          <w:tcPr/>
          <w:p>
            <w:pPr>
              <w:pStyle w:val="Compact"/>
              <w:jc w:val="left"/>
            </w:pPr>
            <w:r>
              <w:t xml:space="preserve">-1,983 (-2,609 a -1,444)</w:t>
            </w:r>
          </w:p>
        </w:tc>
        <w:tc>
          <w:tcPr/>
          <w:p>
            <w:pPr>
              <w:pStyle w:val="Compact"/>
              <w:jc w:val="center"/>
            </w:pPr>
            <w:r>
              <w:t xml:space="preserve">No</w:t>
            </w:r>
          </w:p>
        </w:tc>
      </w:tr>
      <w:tr>
        <w:tc>
          <w:tcPr/>
          <w:p>
            <w:pPr>
              <w:pStyle w:val="Compact"/>
              <w:jc w:val="left"/>
            </w:pPr>
            <w:r>
              <w:t xml:space="preserve">Embarazo múltiple</w:t>
            </w:r>
          </w:p>
        </w:tc>
        <w:tc>
          <w:tcPr/>
          <w:p>
            <w:pPr>
              <w:pStyle w:val="Compact"/>
              <w:jc w:val="left"/>
            </w:pPr>
            <w:r>
              <w:t xml:space="preserve">-1,009 (-1,991 a -0,243)</w:t>
            </w:r>
          </w:p>
        </w:tc>
        <w:tc>
          <w:tcPr/>
          <w:p>
            <w:pPr>
              <w:pStyle w:val="Compact"/>
              <w:jc w:val="left"/>
            </w:pPr>
            <w:r>
              <w:t xml:space="preserve">-1,005 (-1,925 a -0,284)</w:t>
            </w:r>
          </w:p>
        </w:tc>
        <w:tc>
          <w:tcPr/>
          <w:p>
            <w:pPr>
              <w:pStyle w:val="Compact"/>
              <w:jc w:val="center"/>
            </w:pPr>
            <w:r>
              <w:t xml:space="preserve">No</w:t>
            </w:r>
          </w:p>
        </w:tc>
      </w:tr>
      <w:tr>
        <w:tc>
          <w:tcPr/>
          <w:p>
            <w:pPr>
              <w:pStyle w:val="Compact"/>
              <w:jc w:val="left"/>
            </w:pPr>
            <w:r>
              <w:t xml:space="preserve">Embarazo planeado</w:t>
            </w:r>
          </w:p>
        </w:tc>
        <w:tc>
          <w:tcPr/>
          <w:p>
            <w:pPr>
              <w:pStyle w:val="Compact"/>
              <w:jc w:val="left"/>
            </w:pPr>
            <w:r>
              <w:t xml:space="preserve">-0,580 (-0,884 a -0,298)</w:t>
            </w:r>
          </w:p>
        </w:tc>
        <w:tc>
          <w:tcPr/>
          <w:p>
            <w:pPr>
              <w:pStyle w:val="Compact"/>
              <w:jc w:val="left"/>
            </w:pPr>
            <w:r>
              <w:t xml:space="preserve">-0,585 (-0,882 a -0,314)</w:t>
            </w:r>
          </w:p>
        </w:tc>
        <w:tc>
          <w:tcPr/>
          <w:p>
            <w:pPr>
              <w:pStyle w:val="Compact"/>
              <w:jc w:val="center"/>
            </w:pPr>
            <w:r>
              <w:t xml:space="preserve">No</w:t>
            </w:r>
          </w:p>
        </w:tc>
      </w:tr>
      <w:tr>
        <w:tc>
          <w:tcPr/>
          <w:p>
            <w:pPr>
              <w:pStyle w:val="Compact"/>
              <w:jc w:val="left"/>
            </w:pPr>
            <w:r>
              <w:t xml:space="preserve">Falla anticonceptiva</w:t>
            </w:r>
          </w:p>
        </w:tc>
        <w:tc>
          <w:tcPr/>
          <w:p>
            <w:pPr>
              <w:pStyle w:val="Compact"/>
              <w:jc w:val="left"/>
            </w:pPr>
            <w:r>
              <w:t xml:space="preserve">-0,984 (-1,402 a -0,620)</w:t>
            </w:r>
          </w:p>
        </w:tc>
        <w:tc>
          <w:tcPr/>
          <w:p>
            <w:pPr>
              <w:pStyle w:val="Compact"/>
              <w:jc w:val="left"/>
            </w:pPr>
            <w:r>
              <w:t xml:space="preserve">-0,988 (-1,414 a -0,612)</w:t>
            </w:r>
          </w:p>
        </w:tc>
        <w:tc>
          <w:tcPr/>
          <w:p>
            <w:pPr>
              <w:pStyle w:val="Compact"/>
              <w:jc w:val="center"/>
            </w:pPr>
            <w:r>
              <w:t xml:space="preserve">No</w:t>
            </w:r>
          </w:p>
        </w:tc>
      </w:tr>
      <w:tr>
        <w:tc>
          <w:tcPr/>
          <w:p>
            <w:pPr>
              <w:pStyle w:val="Compact"/>
              <w:jc w:val="left"/>
            </w:pPr>
            <w:r>
              <w:t xml:space="preserve">Infección urinaria</w:t>
            </w:r>
          </w:p>
        </w:tc>
        <w:tc>
          <w:tcPr/>
          <w:p>
            <w:pPr>
              <w:pStyle w:val="Compact"/>
              <w:jc w:val="left"/>
            </w:pPr>
            <w:r>
              <w:t xml:space="preserve">-0,406 (-0,618 a -0,189)</w:t>
            </w:r>
          </w:p>
        </w:tc>
        <w:tc>
          <w:tcPr/>
          <w:p>
            <w:pPr>
              <w:pStyle w:val="Compact"/>
              <w:jc w:val="left"/>
            </w:pPr>
            <w:r>
              <w:t xml:space="preserve">-0,406 (-0,614 a -0,199)</w:t>
            </w:r>
          </w:p>
        </w:tc>
        <w:tc>
          <w:tcPr/>
          <w:p>
            <w:pPr>
              <w:pStyle w:val="Compact"/>
              <w:jc w:val="center"/>
            </w:pPr>
            <w:r>
              <w:t xml:space="preserve">No</w:t>
            </w:r>
          </w:p>
        </w:tc>
      </w:tr>
      <w:tr>
        <w:tc>
          <w:tcPr/>
          <w:p>
            <w:pPr>
              <w:pStyle w:val="Compact"/>
              <w:jc w:val="left"/>
            </w:pPr>
            <w:r>
              <w:t xml:space="preserve">Compromiso del bienestar fetal</w:t>
            </w:r>
          </w:p>
        </w:tc>
        <w:tc>
          <w:tcPr/>
          <w:p>
            <w:pPr>
              <w:pStyle w:val="Compact"/>
              <w:jc w:val="left"/>
            </w:pPr>
            <w:r>
              <w:t xml:space="preserve">-0,596 (-1,034 a -0,200)</w:t>
            </w:r>
          </w:p>
        </w:tc>
        <w:tc>
          <w:tcPr/>
          <w:p>
            <w:pPr>
              <w:pStyle w:val="Compact"/>
              <w:jc w:val="left"/>
            </w:pPr>
            <w:r>
              <w:t xml:space="preserve">-0,592 (-1,036 a -0,202)</w:t>
            </w:r>
          </w:p>
        </w:tc>
        <w:tc>
          <w:tcPr/>
          <w:p>
            <w:pPr>
              <w:pStyle w:val="Compact"/>
              <w:jc w:val="center"/>
            </w:pPr>
            <w:r>
              <w:t xml:space="preserve">No</w:t>
            </w:r>
          </w:p>
        </w:tc>
      </w:tr>
      <w:tr>
        <w:tc>
          <w:tcPr/>
          <w:p>
            <w:pPr>
              <w:pStyle w:val="Compact"/>
              <w:jc w:val="left"/>
            </w:pPr>
            <w:r>
              <w:t xml:space="preserve">Trastorno hipertensivo</w:t>
            </w:r>
          </w:p>
        </w:tc>
        <w:tc>
          <w:tcPr/>
          <w:p>
            <w:pPr>
              <w:pStyle w:val="Compact"/>
              <w:jc w:val="left"/>
            </w:pPr>
            <w:r>
              <w:t xml:space="preserve">-0,297 (-0,598 a -0,005)</w:t>
            </w:r>
          </w:p>
        </w:tc>
        <w:tc>
          <w:tcPr/>
          <w:p>
            <w:pPr>
              <w:pStyle w:val="Compact"/>
              <w:jc w:val="left"/>
            </w:pPr>
            <w:r>
              <w:t xml:space="preserve">-0,302 (-0,596 a -0,021)</w:t>
            </w:r>
          </w:p>
        </w:tc>
        <w:tc>
          <w:tcPr/>
          <w:p>
            <w:pPr>
              <w:pStyle w:val="Compact"/>
              <w:jc w:val="center"/>
            </w:pPr>
            <w:r>
              <w:t xml:space="preserve">No</w:t>
            </w:r>
          </w:p>
        </w:tc>
      </w:tr>
      <w:tr>
        <w:tc>
          <w:tcPr/>
          <w:p>
            <w:pPr>
              <w:pStyle w:val="Compact"/>
              <w:jc w:val="left"/>
            </w:pPr>
            <w:r>
              <w:t xml:space="preserve">Parto vaginal</w:t>
            </w:r>
          </w:p>
        </w:tc>
        <w:tc>
          <w:tcPr/>
          <w:p>
            <w:pPr>
              <w:pStyle w:val="Compact"/>
              <w:jc w:val="left"/>
            </w:pPr>
            <w:r>
              <w:t xml:space="preserve">0,449 (0,223 a 0,674)</w:t>
            </w:r>
          </w:p>
        </w:tc>
        <w:tc>
          <w:tcPr/>
          <w:p>
            <w:pPr>
              <w:pStyle w:val="Compact"/>
              <w:jc w:val="left"/>
            </w:pPr>
            <w:r>
              <w:t xml:space="preserve">0,448 (0,224 a 0,672)</w:t>
            </w:r>
          </w:p>
        </w:tc>
        <w:tc>
          <w:tcPr/>
          <w:p>
            <w:pPr>
              <w:pStyle w:val="Compact"/>
              <w:jc w:val="center"/>
            </w:pPr>
            <w:r>
              <w:t xml:space="preserve">No</w:t>
            </w:r>
          </w:p>
        </w:tc>
      </w:tr>
      <w:tr>
        <w:tc>
          <w:tcPr/>
          <w:p>
            <w:pPr>
              <w:pStyle w:val="Compact"/>
              <w:jc w:val="left"/>
            </w:pPr>
            <w:r>
              <w:t xml:space="preserve">Rezago escolar binario</w:t>
            </w:r>
          </w:p>
        </w:tc>
        <w:tc>
          <w:tcPr/>
          <w:p>
            <w:pPr>
              <w:pStyle w:val="Compact"/>
              <w:jc w:val="left"/>
            </w:pPr>
            <w:r>
              <w:t xml:space="preserve">0,970 (0,747 a 1,196)</w:t>
            </w:r>
          </w:p>
        </w:tc>
        <w:tc>
          <w:tcPr/>
          <w:p>
            <w:pPr>
              <w:pStyle w:val="Compact"/>
              <w:jc w:val="left"/>
            </w:pPr>
            <w:r>
              <w:t xml:space="preserve">0,972 (0,753 a 1,182)</w:t>
            </w:r>
          </w:p>
        </w:tc>
        <w:tc>
          <w:tcPr/>
          <w:p>
            <w:pPr>
              <w:pStyle w:val="Compact"/>
              <w:jc w:val="center"/>
            </w:pPr>
            <w:r>
              <w:t xml:space="preserve">No</w:t>
            </w:r>
          </w:p>
        </w:tc>
      </w:tr>
      <w:tr>
        <w:tc>
          <w:tcPr/>
          <w:p>
            <w:pPr>
              <w:pStyle w:val="Compact"/>
              <w:jc w:val="left"/>
            </w:pPr>
            <w:r>
              <w:t xml:space="preserve">Control prenatal adecuado: sí/no</w:t>
            </w:r>
          </w:p>
        </w:tc>
        <w:tc>
          <w:tcPr/>
          <w:p>
            <w:pPr>
              <w:pStyle w:val="Compact"/>
              <w:jc w:val="left"/>
            </w:pPr>
            <w:r>
              <w:t xml:space="preserve">-0,337 (-0,544 a -0,126)</w:t>
            </w:r>
          </w:p>
        </w:tc>
        <w:tc>
          <w:tcPr/>
          <w:p>
            <w:pPr>
              <w:pStyle w:val="Compact"/>
              <w:jc w:val="left"/>
            </w:pPr>
            <w:r>
              <w:t xml:space="preserve">-0,338 (-0,554 a -0,122)</w:t>
            </w:r>
          </w:p>
        </w:tc>
        <w:tc>
          <w:tcPr/>
          <w:p>
            <w:pPr>
              <w:pStyle w:val="Compact"/>
              <w:jc w:val="center"/>
            </w:pPr>
            <w:r>
              <w:t xml:space="preserve">No</w:t>
            </w:r>
          </w:p>
        </w:tc>
      </w:tr>
      <w:tr>
        <w:tc>
          <w:tcPr/>
          <w:p>
            <w:pPr>
              <w:pStyle w:val="Compact"/>
              <w:jc w:val="left"/>
            </w:pPr>
            <w:r>
              <w:t xml:space="preserve">Adecuación ordinal del control prenatal</w:t>
            </w:r>
          </w:p>
        </w:tc>
        <w:tc>
          <w:tcPr/>
          <w:p>
            <w:pPr>
              <w:pStyle w:val="Compact"/>
              <w:jc w:val="left"/>
            </w:pPr>
            <w:r>
              <w:t xml:space="preserve">-0,376 (-0,578 a -0,176)</w:t>
            </w:r>
          </w:p>
        </w:tc>
        <w:tc>
          <w:tcPr/>
          <w:p>
            <w:pPr>
              <w:pStyle w:val="Compact"/>
              <w:jc w:val="left"/>
            </w:pPr>
            <w:r>
              <w:t xml:space="preserve">-0,379 (-0,579 a -0,181)</w:t>
            </w:r>
          </w:p>
        </w:tc>
        <w:tc>
          <w:tcPr/>
          <w:p>
            <w:pPr>
              <w:pStyle w:val="Compact"/>
              <w:jc w:val="center"/>
            </w:pPr>
            <w:r>
              <w:t xml:space="preserve">No</w:t>
            </w:r>
          </w:p>
        </w:tc>
      </w:tr>
      <w:tr>
        <w:tc>
          <w:tcPr/>
          <w:p>
            <w:pPr>
              <w:pStyle w:val="Compact"/>
              <w:jc w:val="left"/>
            </w:pPr>
            <w:r>
              <w:t xml:space="preserve">Gaussiano no ajustado</w:t>
            </w:r>
          </w:p>
        </w:tc>
        <w:tc>
          <w:tcPr/>
          <w:p>
            <w:pPr>
              <w:pStyle w:val="Compact"/>
              <w:jc w:val="left"/>
            </w:pPr>
            <w:r>
              <w:t xml:space="preserve">-0,560 (-0,848 a -0,269)</w:t>
            </w:r>
          </w:p>
        </w:tc>
        <w:tc>
          <w:tcPr/>
          <w:p>
            <w:pPr>
              <w:pStyle w:val="Compact"/>
              <w:jc w:val="left"/>
            </w:pPr>
            <w:r>
              <w:t xml:space="preserve">-0,558 (-0,843 a -0,278)</w:t>
            </w:r>
          </w:p>
        </w:tc>
        <w:tc>
          <w:tcPr/>
          <w:p>
            <w:pPr>
              <w:pStyle w:val="Compact"/>
              <w:jc w:val="center"/>
            </w:pPr>
            <w:r>
              <w:t xml:space="preserve">No</w:t>
            </w:r>
          </w:p>
        </w:tc>
      </w:tr>
      <w:tr>
        <w:tc>
          <w:tcPr/>
          <w:p>
            <w:pPr>
              <w:pStyle w:val="Compact"/>
              <w:jc w:val="left"/>
            </w:pPr>
            <w:r>
              <w:t xml:space="preserve">Gaussiano ajustado</w:t>
            </w:r>
          </w:p>
        </w:tc>
        <w:tc>
          <w:tcPr/>
          <w:p>
            <w:pPr>
              <w:pStyle w:val="Compact"/>
              <w:jc w:val="left"/>
            </w:pPr>
            <w:r>
              <w:t xml:space="preserve">-0,545 (-0,821 a -0,273)</w:t>
            </w:r>
          </w:p>
        </w:tc>
        <w:tc>
          <w:tcPr/>
          <w:p>
            <w:pPr>
              <w:pStyle w:val="Compact"/>
              <w:jc w:val="left"/>
            </w:pPr>
            <w:r>
              <w:t xml:space="preserve">-0,544 (-0,817 a -0,273)</w:t>
            </w:r>
          </w:p>
        </w:tc>
        <w:tc>
          <w:tcPr/>
          <w:p>
            <w:pPr>
              <w:pStyle w:val="Compact"/>
              <w:jc w:val="center"/>
            </w:pPr>
            <w:r>
              <w:t xml:space="preserve">No</w:t>
            </w:r>
          </w:p>
        </w:tc>
      </w:tr>
      <w:tr>
        <w:tc>
          <w:tcPr/>
          <w:p>
            <w:pPr>
              <w:pStyle w:val="Compact"/>
              <w:jc w:val="left"/>
            </w:pPr>
            <w:r>
              <w:t xml:space="preserve">Poisson no ajustado</w:t>
            </w:r>
          </w:p>
        </w:tc>
        <w:tc>
          <w:tcPr/>
          <w:p>
            <w:pPr>
              <w:pStyle w:val="Compact"/>
              <w:jc w:val="left"/>
            </w:pPr>
            <w:r>
              <w:t xml:space="preserve">-0,103 (-0,149 a -0,058)</w:t>
            </w:r>
          </w:p>
        </w:tc>
        <w:tc>
          <w:tcPr/>
          <w:p>
            <w:pPr>
              <w:pStyle w:val="Compact"/>
              <w:jc w:val="left"/>
            </w:pPr>
            <w:r>
              <w:t xml:space="preserve">-0,103 (-0,149 a -0,058)</w:t>
            </w:r>
          </w:p>
        </w:tc>
        <w:tc>
          <w:tcPr/>
          <w:p>
            <w:pPr>
              <w:pStyle w:val="Compact"/>
              <w:jc w:val="center"/>
            </w:pPr>
            <w:r>
              <w:t xml:space="preserve">No</w:t>
            </w:r>
          </w:p>
        </w:tc>
      </w:tr>
      <w:tr>
        <w:tc>
          <w:tcPr/>
          <w:p>
            <w:pPr>
              <w:pStyle w:val="Compact"/>
              <w:jc w:val="left"/>
            </w:pPr>
            <w:r>
              <w:t xml:space="preserve">Poisson ajustado</w:t>
            </w:r>
          </w:p>
        </w:tc>
        <w:tc>
          <w:tcPr/>
          <w:p>
            <w:pPr>
              <w:pStyle w:val="Compact"/>
              <w:jc w:val="left"/>
            </w:pPr>
            <w:r>
              <w:t xml:space="preserve">-0,102 (-0,148 a -0,057)</w:t>
            </w:r>
          </w:p>
        </w:tc>
        <w:tc>
          <w:tcPr/>
          <w:p>
            <w:pPr>
              <w:pStyle w:val="Compact"/>
              <w:jc w:val="left"/>
            </w:pPr>
            <w:r>
              <w:t xml:space="preserve">-0,102 (-0,146 a -0,058)</w:t>
            </w:r>
          </w:p>
        </w:tc>
        <w:tc>
          <w:tcPr/>
          <w:p>
            <w:pPr>
              <w:pStyle w:val="Compact"/>
              <w:jc w:val="center"/>
            </w:pPr>
            <w:r>
              <w:t xml:space="preserve">No</w:t>
            </w:r>
          </w:p>
        </w:tc>
      </w:tr>
      <w:tr>
        <w:tc>
          <w:tcPr/>
          <w:p>
            <w:pPr>
              <w:pStyle w:val="Compact"/>
              <w:jc w:val="left"/>
            </w:pPr>
            <w:r>
              <w:t xml:space="preserve">Binomial negativa no ajustada</w:t>
            </w:r>
          </w:p>
        </w:tc>
        <w:tc>
          <w:tcPr/>
          <w:p>
            <w:pPr>
              <w:pStyle w:val="Compact"/>
              <w:jc w:val="left"/>
            </w:pPr>
            <w:r>
              <w:t xml:space="preserve">-0,103 (-0,156 a -0,050)</w:t>
            </w:r>
          </w:p>
        </w:tc>
        <w:tc>
          <w:tcPr/>
          <w:p>
            <w:pPr>
              <w:pStyle w:val="Compact"/>
              <w:jc w:val="left"/>
            </w:pPr>
            <w:r>
              <w:t xml:space="preserve">-0,103 (-0,157 a -0,050)</w:t>
            </w:r>
          </w:p>
        </w:tc>
        <w:tc>
          <w:tcPr/>
          <w:p>
            <w:pPr>
              <w:pStyle w:val="Compact"/>
              <w:jc w:val="center"/>
            </w:pPr>
            <w:r>
              <w:t xml:space="preserve">No</w:t>
            </w:r>
          </w:p>
        </w:tc>
      </w:tr>
      <w:tr>
        <w:tc>
          <w:tcPr/>
          <w:p>
            <w:pPr>
              <w:pStyle w:val="Compact"/>
              <w:jc w:val="left"/>
            </w:pPr>
            <w:r>
              <w:t xml:space="preserve">Binomial negativa ajustada</w:t>
            </w:r>
          </w:p>
        </w:tc>
        <w:tc>
          <w:tcPr/>
          <w:p>
            <w:pPr>
              <w:pStyle w:val="Compact"/>
              <w:jc w:val="left"/>
            </w:pPr>
            <w:r>
              <w:t xml:space="preserve">-0,102 (-0,154 a -0,051)</w:t>
            </w:r>
          </w:p>
        </w:tc>
        <w:tc>
          <w:tcPr/>
          <w:p>
            <w:pPr>
              <w:pStyle w:val="Compact"/>
              <w:jc w:val="left"/>
            </w:pPr>
            <w:r>
              <w:t xml:space="preserve">-0,102 (-0,154 a -0,051)</w:t>
            </w:r>
          </w:p>
        </w:tc>
        <w:tc>
          <w:tcPr/>
          <w:p>
            <w:pPr>
              <w:pStyle w:val="Compact"/>
              <w:jc w:val="center"/>
            </w:pPr>
            <w:r>
              <w:t xml:space="preserve">No</w:t>
            </w:r>
          </w:p>
        </w:tc>
      </w:tr>
    </w:tbl>
    <w:p>
      <w:pPr>
        <w:pStyle w:val="BodyText"/>
      </w:pPr>
      <w:r>
        <w:t xml:space="preserve">Se muestran las medianas posteriores del coeficiente del grupo de 10–14 años en la escala del predictor lineal. Los priors alternativos fueron moderadamente más amplios y específicos de cada familia, según se describe en Métodos. La máxima diferencia absoluta fue 0,0113 y no hubo cambios de dirección.</w:t>
      </w:r>
    </w:p>
    <w:bookmarkEnd w:id="35"/>
    <w:bookmarkStart w:id="36" w:name="tabla-s12.-heterogeneidad-temporal"/>
    <w:p>
      <w:pPr>
        <w:pStyle w:val="Heading2"/>
      </w:pPr>
      <w:r>
        <w:t xml:space="preserve">Tabla S12. Heterogeneidad temporal de pareja estable, etnia minoritaria y control prenatal adecuado</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rPr>
                <w:b/>
                <w:bCs/>
              </w:rPr>
              <w:t xml:space="preserve">Variable</w:t>
            </w:r>
          </w:p>
        </w:tc>
        <w:tc>
          <w:tcPr/>
          <w:p>
            <w:pPr>
              <w:pStyle w:val="Compact"/>
              <w:jc w:val="left"/>
            </w:pPr>
            <w:r>
              <w:rPr>
                <w:b/>
                <w:bCs/>
              </w:rPr>
              <w:t xml:space="preserve">Período</w:t>
            </w:r>
          </w:p>
        </w:tc>
        <w:tc>
          <w:tcPr/>
          <w:p>
            <w:pPr>
              <w:pStyle w:val="Compact"/>
              <w:jc w:val="right"/>
            </w:pPr>
            <w:r>
              <w:rPr>
                <w:b/>
                <w:bCs/>
              </w:rPr>
              <w:t xml:space="preserve">Prevalencia 10–14</w:t>
            </w:r>
          </w:p>
        </w:tc>
        <w:tc>
          <w:tcPr/>
          <w:p>
            <w:pPr>
              <w:pStyle w:val="Compact"/>
              <w:jc w:val="right"/>
            </w:pPr>
            <w:r>
              <w:rPr>
                <w:b/>
                <w:bCs/>
              </w:rPr>
              <w:t xml:space="preserve">Prevalencia 15–19</w:t>
            </w:r>
          </w:p>
        </w:tc>
        <w:tc>
          <w:tcPr/>
          <w:p>
            <w:pPr>
              <w:pStyle w:val="Compact"/>
              <w:jc w:val="left"/>
            </w:pPr>
            <w:r>
              <w:rPr>
                <w:b/>
                <w:bCs/>
              </w:rPr>
              <w:t xml:space="preserve">DP (ICr95 %)</w:t>
            </w:r>
          </w:p>
        </w:tc>
        <w:tc>
          <w:tcPr/>
          <w:p>
            <w:pPr>
              <w:pStyle w:val="Compact"/>
              <w:jc w:val="left"/>
            </w:pPr>
            <w:r>
              <w:rPr>
                <w:b/>
                <w:bCs/>
              </w:rPr>
              <w:t xml:space="preserve">RP (ICr95 %)</w:t>
            </w:r>
          </w:p>
        </w:tc>
        <w:tc>
          <w:tcPr/>
          <w:p>
            <w:pPr>
              <w:pStyle w:val="Compact"/>
              <w:jc w:val="left"/>
            </w:pPr>
            <w:r>
              <w:rPr>
                <w:b/>
                <w:bCs/>
              </w:rPr>
              <w:t xml:space="preserve">Razón de OR de interacción (ICr95 %)</w:t>
            </w:r>
          </w:p>
        </w:tc>
        <w:tc>
          <w:tcPr/>
          <w:p>
            <w:pPr>
              <w:pStyle w:val="Compact"/>
              <w:jc w:val="left"/>
            </w:pPr>
            <w:r>
              <w:rPr>
                <w:b/>
                <w:bCs/>
              </w:rPr>
              <w:t xml:space="preserve">ΔELPD (EE), interacción vs. aditivo</w:t>
            </w:r>
          </w:p>
        </w:tc>
      </w:tr>
      <w:tr>
        <w:tc>
          <w:tcPr/>
          <w:p>
            <w:pPr>
              <w:pStyle w:val="Compact"/>
              <w:jc w:val="left"/>
            </w:pPr>
            <w:r>
              <w:t xml:space="preserve">Pareja estable</w:t>
            </w:r>
          </w:p>
        </w:tc>
        <w:tc>
          <w:tcPr/>
          <w:p>
            <w:pPr>
              <w:pStyle w:val="Compact"/>
              <w:jc w:val="left"/>
            </w:pPr>
            <w:r>
              <w:t xml:space="preserve">2009–2014</w:t>
            </w:r>
          </w:p>
        </w:tc>
        <w:tc>
          <w:tcPr/>
          <w:p>
            <w:pPr>
              <w:pStyle w:val="Compact"/>
              <w:jc w:val="right"/>
            </w:pPr>
            <w:r>
              <w:t xml:space="preserve">0,51</w:t>
            </w:r>
          </w:p>
        </w:tc>
        <w:tc>
          <w:tcPr/>
          <w:p>
            <w:pPr>
              <w:pStyle w:val="Compact"/>
              <w:jc w:val="right"/>
            </w:pPr>
            <w:r>
              <w:t xml:space="preserve">0,61</w:t>
            </w:r>
          </w:p>
        </w:tc>
        <w:tc>
          <w:tcPr/>
          <w:p>
            <w:pPr>
              <w:pStyle w:val="Compact"/>
              <w:jc w:val="left"/>
            </w:pPr>
            <w:r>
              <w:t xml:space="preserve">-0,10 (-0,18 a -0,02)</w:t>
            </w:r>
          </w:p>
        </w:tc>
        <w:tc>
          <w:tcPr/>
          <w:p>
            <w:pPr>
              <w:pStyle w:val="Compact"/>
              <w:jc w:val="left"/>
            </w:pPr>
            <w:r>
              <w:t xml:space="preserve">0,84 (0,71–0,97)</w:t>
            </w:r>
          </w:p>
        </w:tc>
        <w:tc>
          <w:tcPr/>
          <w:p>
            <w:pPr>
              <w:pStyle w:val="Compact"/>
              <w:jc w:val="left"/>
            </w:pPr>
            <w:r>
              <w:t xml:space="preserve">Referencia</w:t>
            </w:r>
          </w:p>
        </w:tc>
        <w:tc>
          <w:tcPr/>
          <w:p>
            <w:pPr>
              <w:pStyle w:val="Compact"/>
              <w:jc w:val="left"/>
            </w:pPr>
            <w:r>
              <w:t xml:space="preserve">3,46 (3,25)</w:t>
            </w:r>
          </w:p>
        </w:tc>
      </w:tr>
      <w:tr>
        <w:tc>
          <w:tcPr/>
          <w:p>
            <w:pPr>
              <w:pStyle w:val="Compact"/>
              <w:jc w:val="left"/>
            </w:pPr>
            <w:r>
              <w:t xml:space="preserve">Pareja estable</w:t>
            </w:r>
          </w:p>
        </w:tc>
        <w:tc>
          <w:tcPr/>
          <w:p>
            <w:pPr>
              <w:pStyle w:val="Compact"/>
              <w:jc w:val="left"/>
            </w:pPr>
            <w:r>
              <w:t xml:space="preserve">2015–2019</w:t>
            </w:r>
          </w:p>
        </w:tc>
        <w:tc>
          <w:tcPr/>
          <w:p>
            <w:pPr>
              <w:pStyle w:val="Compact"/>
              <w:jc w:val="right"/>
            </w:pPr>
            <w:r>
              <w:t xml:space="preserve">0,31</w:t>
            </w:r>
          </w:p>
        </w:tc>
        <w:tc>
          <w:tcPr/>
          <w:p>
            <w:pPr>
              <w:pStyle w:val="Compact"/>
              <w:jc w:val="right"/>
            </w:pPr>
            <w:r>
              <w:t xml:space="preserve">0,47</w:t>
            </w:r>
          </w:p>
        </w:tc>
        <w:tc>
          <w:tcPr/>
          <w:p>
            <w:pPr>
              <w:pStyle w:val="Compact"/>
              <w:jc w:val="left"/>
            </w:pPr>
            <w:r>
              <w:t xml:space="preserve">-0,16 (-0,24 a -0,07)</w:t>
            </w:r>
          </w:p>
        </w:tc>
        <w:tc>
          <w:tcPr/>
          <w:p>
            <w:pPr>
              <w:pStyle w:val="Compact"/>
              <w:jc w:val="left"/>
            </w:pPr>
            <w:r>
              <w:t xml:space="preserve">0,66 (0,50–0,84)</w:t>
            </w:r>
          </w:p>
        </w:tc>
        <w:tc>
          <w:tcPr/>
          <w:p>
            <w:pPr>
              <w:pStyle w:val="Compact"/>
              <w:jc w:val="left"/>
            </w:pPr>
            <w:r>
              <w:t xml:space="preserve">0,76 (0,46–1,25)</w:t>
            </w:r>
          </w:p>
        </w:tc>
        <w:tc>
          <w:tcPr/>
          <w:p>
            <w:pPr>
              <w:pStyle w:val="Compact"/>
              <w:jc w:val="left"/>
            </w:pPr>
            <w:r>
              <w:t xml:space="preserve">3,46 (3,25)</w:t>
            </w:r>
          </w:p>
        </w:tc>
      </w:tr>
      <w:tr>
        <w:tc>
          <w:tcPr/>
          <w:p>
            <w:pPr>
              <w:pStyle w:val="Compact"/>
              <w:jc w:val="left"/>
            </w:pPr>
            <w:r>
              <w:t xml:space="preserve">Pareja estable</w:t>
            </w:r>
          </w:p>
        </w:tc>
        <w:tc>
          <w:tcPr/>
          <w:p>
            <w:pPr>
              <w:pStyle w:val="Compact"/>
              <w:jc w:val="left"/>
            </w:pPr>
            <w:r>
              <w:t xml:space="preserve">2020–junio 2024</w:t>
            </w:r>
          </w:p>
        </w:tc>
        <w:tc>
          <w:tcPr/>
          <w:p>
            <w:pPr>
              <w:pStyle w:val="Compact"/>
              <w:jc w:val="right"/>
            </w:pPr>
            <w:r>
              <w:t xml:space="preserve">0,63</w:t>
            </w:r>
          </w:p>
        </w:tc>
        <w:tc>
          <w:tcPr/>
          <w:p>
            <w:pPr>
              <w:pStyle w:val="Compact"/>
              <w:jc w:val="right"/>
            </w:pPr>
            <w:r>
              <w:t xml:space="preserve">0,58</w:t>
            </w:r>
          </w:p>
        </w:tc>
        <w:tc>
          <w:tcPr/>
          <w:p>
            <w:pPr>
              <w:pStyle w:val="Compact"/>
              <w:jc w:val="left"/>
            </w:pPr>
            <w:r>
              <w:t xml:space="preserve">0,05 (-0,04 a 0,15)</w:t>
            </w:r>
          </w:p>
        </w:tc>
        <w:tc>
          <w:tcPr/>
          <w:p>
            <w:pPr>
              <w:pStyle w:val="Compact"/>
              <w:jc w:val="left"/>
            </w:pPr>
            <w:r>
              <w:t xml:space="preserve">1,10 (0,93–1,26)</w:t>
            </w:r>
          </w:p>
        </w:tc>
        <w:tc>
          <w:tcPr/>
          <w:p>
            <w:pPr>
              <w:pStyle w:val="Compact"/>
              <w:jc w:val="left"/>
            </w:pPr>
            <w:r>
              <w:t xml:space="preserve">1,88 (1,13–3,17)</w:t>
            </w:r>
          </w:p>
        </w:tc>
        <w:tc>
          <w:tcPr/>
          <w:p>
            <w:pPr>
              <w:pStyle w:val="Compact"/>
              <w:jc w:val="left"/>
            </w:pPr>
            <w:r>
              <w:t xml:space="preserve">3,46 (3,25)</w:t>
            </w:r>
          </w:p>
        </w:tc>
      </w:tr>
      <w:tr>
        <w:tc>
          <w:tcPr/>
          <w:p>
            <w:pPr>
              <w:pStyle w:val="Compact"/>
              <w:jc w:val="left"/>
            </w:pPr>
            <w:r>
              <w:t xml:space="preserve">Etnia minoritaria</w:t>
            </w:r>
          </w:p>
        </w:tc>
        <w:tc>
          <w:tcPr/>
          <w:p>
            <w:pPr>
              <w:pStyle w:val="Compact"/>
              <w:jc w:val="left"/>
            </w:pPr>
            <w:r>
              <w:t xml:space="preserve">2009–2014</w:t>
            </w:r>
          </w:p>
        </w:tc>
        <w:tc>
          <w:tcPr/>
          <w:p>
            <w:pPr>
              <w:pStyle w:val="Compact"/>
              <w:jc w:val="right"/>
            </w:pPr>
            <w:r>
              <w:t xml:space="preserve">0,05</w:t>
            </w:r>
          </w:p>
        </w:tc>
        <w:tc>
          <w:tcPr/>
          <w:p>
            <w:pPr>
              <w:pStyle w:val="Compact"/>
              <w:jc w:val="right"/>
            </w:pPr>
            <w:r>
              <w:t xml:space="preserve">0,03</w:t>
            </w:r>
          </w:p>
        </w:tc>
        <w:tc>
          <w:tcPr/>
          <w:p>
            <w:pPr>
              <w:pStyle w:val="Compact"/>
              <w:jc w:val="left"/>
            </w:pPr>
            <w:r>
              <w:t xml:space="preserve">0,02 (-0,01 a 0,06)</w:t>
            </w:r>
          </w:p>
        </w:tc>
        <w:tc>
          <w:tcPr/>
          <w:p>
            <w:pPr>
              <w:pStyle w:val="Compact"/>
              <w:jc w:val="left"/>
            </w:pPr>
            <w:r>
              <w:t xml:space="preserve">1,62 (0,79–3,02)</w:t>
            </w:r>
          </w:p>
        </w:tc>
        <w:tc>
          <w:tcPr/>
          <w:p>
            <w:pPr>
              <w:pStyle w:val="Compact"/>
              <w:jc w:val="left"/>
            </w:pPr>
            <w:r>
              <w:t xml:space="preserve">Referencia</w:t>
            </w:r>
          </w:p>
        </w:tc>
        <w:tc>
          <w:tcPr/>
          <w:p>
            <w:pPr>
              <w:pStyle w:val="Compact"/>
              <w:jc w:val="left"/>
            </w:pPr>
            <w:r>
              <w:t xml:space="preserve">-0,51 (1,65)</w:t>
            </w:r>
          </w:p>
        </w:tc>
      </w:tr>
      <w:tr>
        <w:tc>
          <w:tcPr/>
          <w:p>
            <w:pPr>
              <w:pStyle w:val="Compact"/>
              <w:jc w:val="left"/>
            </w:pPr>
            <w:r>
              <w:t xml:space="preserve">Etnia minoritaria</w:t>
            </w:r>
          </w:p>
        </w:tc>
        <w:tc>
          <w:tcPr/>
          <w:p>
            <w:pPr>
              <w:pStyle w:val="Compact"/>
              <w:jc w:val="left"/>
            </w:pPr>
            <w:r>
              <w:t xml:space="preserve">2015–2019</w:t>
            </w:r>
          </w:p>
        </w:tc>
        <w:tc>
          <w:tcPr/>
          <w:p>
            <w:pPr>
              <w:pStyle w:val="Compact"/>
              <w:jc w:val="right"/>
            </w:pPr>
            <w:r>
              <w:t xml:space="preserve">0,12</w:t>
            </w:r>
          </w:p>
        </w:tc>
        <w:tc>
          <w:tcPr/>
          <w:p>
            <w:pPr>
              <w:pStyle w:val="Compact"/>
              <w:jc w:val="right"/>
            </w:pPr>
            <w:r>
              <w:t xml:space="preserve">0,06</w:t>
            </w:r>
          </w:p>
        </w:tc>
        <w:tc>
          <w:tcPr/>
          <w:p>
            <w:pPr>
              <w:pStyle w:val="Compact"/>
              <w:jc w:val="left"/>
            </w:pPr>
            <w:r>
              <w:t xml:space="preserve">0,06 (0,01 a 0,13)</w:t>
            </w:r>
          </w:p>
        </w:tc>
        <w:tc>
          <w:tcPr/>
          <w:p>
            <w:pPr>
              <w:pStyle w:val="Compact"/>
              <w:jc w:val="left"/>
            </w:pPr>
            <w:r>
              <w:t xml:space="preserve">2,01 (1,19–3,18)</w:t>
            </w:r>
          </w:p>
        </w:tc>
        <w:tc>
          <w:tcPr/>
          <w:p>
            <w:pPr>
              <w:pStyle w:val="Compact"/>
              <w:jc w:val="left"/>
            </w:pPr>
            <w:r>
              <w:t xml:space="preserve">1,31 (0,54–3,17)</w:t>
            </w:r>
          </w:p>
        </w:tc>
        <w:tc>
          <w:tcPr/>
          <w:p>
            <w:pPr>
              <w:pStyle w:val="Compact"/>
              <w:jc w:val="left"/>
            </w:pPr>
            <w:r>
              <w:t xml:space="preserve">-0,51 (1,65)</w:t>
            </w:r>
          </w:p>
        </w:tc>
      </w:tr>
      <w:tr>
        <w:tc>
          <w:tcPr/>
          <w:p>
            <w:pPr>
              <w:pStyle w:val="Compact"/>
              <w:jc w:val="left"/>
            </w:pPr>
            <w:r>
              <w:t xml:space="preserve">Etnia minoritaria</w:t>
            </w:r>
          </w:p>
        </w:tc>
        <w:tc>
          <w:tcPr/>
          <w:p>
            <w:pPr>
              <w:pStyle w:val="Compact"/>
              <w:jc w:val="left"/>
            </w:pPr>
            <w:r>
              <w:t xml:space="preserve">2020–junio 2024</w:t>
            </w:r>
          </w:p>
        </w:tc>
        <w:tc>
          <w:tcPr/>
          <w:p>
            <w:pPr>
              <w:pStyle w:val="Compact"/>
              <w:jc w:val="right"/>
            </w:pPr>
            <w:r>
              <w:t xml:space="preserve">0,09</w:t>
            </w:r>
          </w:p>
        </w:tc>
        <w:tc>
          <w:tcPr/>
          <w:p>
            <w:pPr>
              <w:pStyle w:val="Compact"/>
              <w:jc w:val="right"/>
            </w:pPr>
            <w:r>
              <w:t xml:space="preserve">0,09</w:t>
            </w:r>
          </w:p>
        </w:tc>
        <w:tc>
          <w:tcPr/>
          <w:p>
            <w:pPr>
              <w:pStyle w:val="Compact"/>
              <w:jc w:val="left"/>
            </w:pPr>
            <w:r>
              <w:t xml:space="preserve">0,00 (-0,04 a 0,07)</w:t>
            </w:r>
          </w:p>
        </w:tc>
        <w:tc>
          <w:tcPr/>
          <w:p>
            <w:pPr>
              <w:pStyle w:val="Compact"/>
              <w:jc w:val="left"/>
            </w:pPr>
            <w:r>
              <w:t xml:space="preserve">1,04 (0,53–1,82)</w:t>
            </w:r>
          </w:p>
        </w:tc>
        <w:tc>
          <w:tcPr/>
          <w:p>
            <w:pPr>
              <w:pStyle w:val="Compact"/>
              <w:jc w:val="left"/>
            </w:pPr>
            <w:r>
              <w:t xml:space="preserve">0,64 (0,25–1,63)</w:t>
            </w:r>
          </w:p>
        </w:tc>
        <w:tc>
          <w:tcPr/>
          <w:p>
            <w:pPr>
              <w:pStyle w:val="Compact"/>
              <w:jc w:val="left"/>
            </w:pPr>
            <w:r>
              <w:t xml:space="preserve">-0,51 (1,65)</w:t>
            </w:r>
          </w:p>
        </w:tc>
      </w:tr>
      <w:tr>
        <w:tc>
          <w:tcPr/>
          <w:p>
            <w:pPr>
              <w:pStyle w:val="Compact"/>
              <w:jc w:val="left"/>
            </w:pPr>
            <w:r>
              <w:t xml:space="preserve">Control prenatal adecuado: sí/no</w:t>
            </w:r>
          </w:p>
        </w:tc>
        <w:tc>
          <w:tcPr/>
          <w:p>
            <w:pPr>
              <w:pStyle w:val="Compact"/>
              <w:jc w:val="left"/>
            </w:pPr>
            <w:r>
              <w:t xml:space="preserve">2009–2014</w:t>
            </w:r>
          </w:p>
        </w:tc>
        <w:tc>
          <w:tcPr/>
          <w:p>
            <w:pPr>
              <w:pStyle w:val="Compact"/>
              <w:jc w:val="right"/>
            </w:pPr>
            <w:r>
              <w:t xml:space="preserve">0,47</w:t>
            </w:r>
          </w:p>
        </w:tc>
        <w:tc>
          <w:tcPr/>
          <w:p>
            <w:pPr>
              <w:pStyle w:val="Compact"/>
              <w:jc w:val="right"/>
            </w:pPr>
            <w:r>
              <w:t xml:space="preserve">0,60</w:t>
            </w:r>
          </w:p>
        </w:tc>
        <w:tc>
          <w:tcPr/>
          <w:p>
            <w:pPr>
              <w:pStyle w:val="Compact"/>
              <w:jc w:val="left"/>
            </w:pPr>
            <w:r>
              <w:t xml:space="preserve">-0,13 (-0,21 a -0,05)</w:t>
            </w:r>
          </w:p>
        </w:tc>
        <w:tc>
          <w:tcPr/>
          <w:p>
            <w:pPr>
              <w:pStyle w:val="Compact"/>
              <w:jc w:val="left"/>
            </w:pPr>
            <w:r>
              <w:t xml:space="preserve">0,79 (0,65–0,92)</w:t>
            </w:r>
          </w:p>
        </w:tc>
        <w:tc>
          <w:tcPr/>
          <w:p>
            <w:pPr>
              <w:pStyle w:val="Compact"/>
              <w:jc w:val="left"/>
            </w:pPr>
            <w:r>
              <w:t xml:space="preserve">Referencia</w:t>
            </w:r>
          </w:p>
        </w:tc>
        <w:tc>
          <w:tcPr/>
          <w:p>
            <w:pPr>
              <w:pStyle w:val="Compact"/>
              <w:jc w:val="left"/>
            </w:pPr>
            <w:r>
              <w:t xml:space="preserve">-0,19 (1,76)</w:t>
            </w:r>
          </w:p>
        </w:tc>
      </w:tr>
      <w:tr>
        <w:tc>
          <w:tcPr/>
          <w:p>
            <w:pPr>
              <w:pStyle w:val="Compact"/>
              <w:jc w:val="left"/>
            </w:pPr>
            <w:r>
              <w:t xml:space="preserve">Control prenatal adecuado: sí/no</w:t>
            </w:r>
          </w:p>
        </w:tc>
        <w:tc>
          <w:tcPr/>
          <w:p>
            <w:pPr>
              <w:pStyle w:val="Compact"/>
              <w:jc w:val="left"/>
            </w:pPr>
            <w:r>
              <w:t xml:space="preserve">2015–2019</w:t>
            </w:r>
          </w:p>
        </w:tc>
        <w:tc>
          <w:tcPr/>
          <w:p>
            <w:pPr>
              <w:pStyle w:val="Compact"/>
              <w:jc w:val="right"/>
            </w:pPr>
            <w:r>
              <w:t xml:space="preserve">0,59</w:t>
            </w:r>
          </w:p>
        </w:tc>
        <w:tc>
          <w:tcPr/>
          <w:p>
            <w:pPr>
              <w:pStyle w:val="Compact"/>
              <w:jc w:val="right"/>
            </w:pPr>
            <w:r>
              <w:t xml:space="preserve">0,66</w:t>
            </w:r>
          </w:p>
        </w:tc>
        <w:tc>
          <w:tcPr/>
          <w:p>
            <w:pPr>
              <w:pStyle w:val="Compact"/>
              <w:jc w:val="left"/>
            </w:pPr>
            <w:r>
              <w:t xml:space="preserve">-0,06 (-0,16 a 0,02)</w:t>
            </w:r>
          </w:p>
        </w:tc>
        <w:tc>
          <w:tcPr/>
          <w:p>
            <w:pPr>
              <w:pStyle w:val="Compact"/>
              <w:jc w:val="left"/>
            </w:pPr>
            <w:r>
              <w:t xml:space="preserve">0,90 (0,77–1,03)</w:t>
            </w:r>
          </w:p>
        </w:tc>
        <w:tc>
          <w:tcPr/>
          <w:p>
            <w:pPr>
              <w:pStyle w:val="Compact"/>
              <w:jc w:val="left"/>
            </w:pPr>
            <w:r>
              <w:t xml:space="preserve">1,28 (0,78–2,10)</w:t>
            </w:r>
          </w:p>
        </w:tc>
        <w:tc>
          <w:tcPr/>
          <w:p>
            <w:pPr>
              <w:pStyle w:val="Compact"/>
              <w:jc w:val="left"/>
            </w:pPr>
            <w:r>
              <w:t xml:space="preserve">-0,19 (1,76)</w:t>
            </w:r>
          </w:p>
        </w:tc>
      </w:tr>
      <w:tr>
        <w:tc>
          <w:tcPr/>
          <w:p>
            <w:pPr>
              <w:pStyle w:val="Compact"/>
              <w:jc w:val="left"/>
            </w:pPr>
            <w:r>
              <w:t xml:space="preserve">Control prenatal adecuado: sí/no</w:t>
            </w:r>
          </w:p>
        </w:tc>
        <w:tc>
          <w:tcPr/>
          <w:p>
            <w:pPr>
              <w:pStyle w:val="Compact"/>
              <w:jc w:val="left"/>
            </w:pPr>
            <w:r>
              <w:t xml:space="preserve">2020–junio 2024</w:t>
            </w:r>
          </w:p>
        </w:tc>
        <w:tc>
          <w:tcPr/>
          <w:p>
            <w:pPr>
              <w:pStyle w:val="Compact"/>
              <w:jc w:val="right"/>
            </w:pPr>
            <w:r>
              <w:t xml:space="preserve">0,55</w:t>
            </w:r>
          </w:p>
        </w:tc>
        <w:tc>
          <w:tcPr/>
          <w:p>
            <w:pPr>
              <w:pStyle w:val="Compact"/>
              <w:jc w:val="right"/>
            </w:pPr>
            <w:r>
              <w:t xml:space="preserve">0,57</w:t>
            </w:r>
          </w:p>
        </w:tc>
        <w:tc>
          <w:tcPr/>
          <w:p>
            <w:pPr>
              <w:pStyle w:val="Compact"/>
              <w:jc w:val="left"/>
            </w:pPr>
            <w:r>
              <w:t xml:space="preserve">-0,02 (-0,12 a 0,08)</w:t>
            </w:r>
          </w:p>
        </w:tc>
        <w:tc>
          <w:tcPr/>
          <w:p>
            <w:pPr>
              <w:pStyle w:val="Compact"/>
              <w:jc w:val="left"/>
            </w:pPr>
            <w:r>
              <w:t xml:space="preserve">0,97 (0,80–1,14)</w:t>
            </w:r>
          </w:p>
        </w:tc>
        <w:tc>
          <w:tcPr/>
          <w:p>
            <w:pPr>
              <w:pStyle w:val="Compact"/>
              <w:jc w:val="left"/>
            </w:pPr>
            <w:r>
              <w:t xml:space="preserve">1,59 (0,95–2,63)</w:t>
            </w:r>
          </w:p>
        </w:tc>
        <w:tc>
          <w:tcPr/>
          <w:p>
            <w:pPr>
              <w:pStyle w:val="Compact"/>
              <w:jc w:val="left"/>
            </w:pPr>
            <w:r>
              <w:t xml:space="preserve">-0,19 (1,76)</w:t>
            </w:r>
          </w:p>
        </w:tc>
      </w:tr>
    </w:tbl>
    <w:p>
      <w:pPr>
        <w:pStyle w:val="BodyText"/>
      </w:pPr>
      <w:r>
        <w:t xml:space="preserve">Prevalencias marginales posteriores y contrastes de adolescentes de 10–14 frente a 15–19 años obtenidos del modelo conjunto con interacción; pueden diferir mínimamente de los modelos independientes por subperíodo de la Tabla S2. DP: diferencia marginal de prevalencias; RP: razón marginal de prevalencias; razón de OR: exponencial del término grupo × período respecto de 2009–2014; ELPD: densidad predictiva esperada estimada mediante LOO; EE: error estándar de la diferencia. Para pareja estable, la ventaja predictiva del modelo con interacción fue pequeña e incierta; para etnia minoritaria y control prenatal adecuado, la interacción no mejoró la predicción. La sensibilidad ordinal de adecuación prenatal produjo OR de 0,57, 0,76 y 0,86 en los tres períodos y ΔELPD=-0,31 (EE=1,79).</w:t>
      </w:r>
    </w:p>
    <w:bookmarkEnd w:id="36"/>
    <w:bookmarkStart w:id="37" w:name="tabla-s14.-sensibilidad-rezago-escolar"/>
    <w:p>
      <w:pPr>
        <w:pStyle w:val="Heading2"/>
      </w:pPr>
      <w:r>
        <w:rPr>
          <w:highlight w:val="yellow"/>
        </w:rPr>
        <w:t xml:space="preserve">Tabla S14. Regla de años esperados y sensibilidad del indicador de rezago escolar</w:t>
      </w:r>
    </w:p>
    <w:p>
      <w:pPr>
        <w:pStyle w:val="FirstParagraph"/>
      </w:pPr>
      <w:r>
        <w:rPr>
          <w:b/>
          <w:bCs/>
          <w:highlight w:val="yellow"/>
        </w:rPr>
        <w:t xml:space="preserve">Panel A. Años esperados según edad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right"/>
            </w:pPr>
            <w:r>
              <w:rPr>
                <w:b/>
                <w:bCs/>
                <w:highlight w:val="yellow"/>
              </w:rPr>
              <w:t xml:space="preserve">Edad (años)</w:t>
            </w:r>
          </w:p>
        </w:tc>
        <w:tc>
          <w:tcPr/>
          <w:p>
            <w:pPr>
              <w:pStyle w:val="Compact"/>
              <w:jc w:val="right"/>
            </w:pPr>
            <w:r>
              <w:rPr>
                <w:b/>
                <w:bCs/>
                <w:highlight w:val="yellow"/>
              </w:rPr>
              <w:t xml:space="preserve">Regla principal: edad − 6, tope 12</w:t>
            </w:r>
          </w:p>
        </w:tc>
        <w:tc>
          <w:tcPr/>
          <w:p>
            <w:pPr>
              <w:pStyle w:val="Compact"/>
              <w:jc w:val="right"/>
            </w:pPr>
            <w:r>
              <w:rPr>
                <w:b/>
                <w:bCs/>
                <w:highlight w:val="yellow"/>
              </w:rPr>
              <w:t xml:space="preserve">Regla alternativa: edad − 5, tope 12</w:t>
            </w:r>
          </w:p>
        </w:tc>
      </w:tr>
      <w:tr>
        <w:tc>
          <w:tcPr/>
          <w:p>
            <w:pPr>
              <w:pStyle w:val="Compact"/>
              <w:jc w:val="right"/>
            </w:pPr>
            <w:r>
              <w:rPr>
                <w:highlight w:val="yellow"/>
              </w:rPr>
              <w:t xml:space="preserve">10</w:t>
            </w:r>
          </w:p>
        </w:tc>
        <w:tc>
          <w:tcPr/>
          <w:p>
            <w:pPr>
              <w:pStyle w:val="Compact"/>
              <w:jc w:val="right"/>
            </w:pPr>
            <w:r>
              <w:rPr>
                <w:highlight w:val="yellow"/>
              </w:rPr>
              <w:t xml:space="preserve">4</w:t>
            </w:r>
          </w:p>
        </w:tc>
        <w:tc>
          <w:tcPr/>
          <w:p>
            <w:pPr>
              <w:pStyle w:val="Compact"/>
              <w:jc w:val="right"/>
            </w:pPr>
            <w:r>
              <w:rPr>
                <w:highlight w:val="yellow"/>
              </w:rPr>
              <w:t xml:space="preserve">5</w:t>
            </w:r>
          </w:p>
        </w:tc>
      </w:tr>
      <w:tr>
        <w:tc>
          <w:tcPr/>
          <w:p>
            <w:pPr>
              <w:pStyle w:val="Compact"/>
              <w:jc w:val="right"/>
            </w:pPr>
            <w:r>
              <w:rPr>
                <w:highlight w:val="yellow"/>
              </w:rPr>
              <w:t xml:space="preserve">11</w:t>
            </w:r>
          </w:p>
        </w:tc>
        <w:tc>
          <w:tcPr/>
          <w:p>
            <w:pPr>
              <w:pStyle w:val="Compact"/>
              <w:jc w:val="right"/>
            </w:pPr>
            <w:r>
              <w:rPr>
                <w:highlight w:val="yellow"/>
              </w:rPr>
              <w:t xml:space="preserve">5</w:t>
            </w:r>
          </w:p>
        </w:tc>
        <w:tc>
          <w:tcPr/>
          <w:p>
            <w:pPr>
              <w:pStyle w:val="Compact"/>
              <w:jc w:val="right"/>
            </w:pPr>
            <w:r>
              <w:rPr>
                <w:highlight w:val="yellow"/>
              </w:rPr>
              <w:t xml:space="preserve">6</w:t>
            </w:r>
          </w:p>
        </w:tc>
      </w:tr>
      <w:tr>
        <w:tc>
          <w:tcPr/>
          <w:p>
            <w:pPr>
              <w:pStyle w:val="Compact"/>
              <w:jc w:val="right"/>
            </w:pPr>
            <w:r>
              <w:rPr>
                <w:highlight w:val="yellow"/>
              </w:rPr>
              <w:t xml:space="preserve">12</w:t>
            </w:r>
          </w:p>
        </w:tc>
        <w:tc>
          <w:tcPr/>
          <w:p>
            <w:pPr>
              <w:pStyle w:val="Compact"/>
              <w:jc w:val="right"/>
            </w:pPr>
            <w:r>
              <w:rPr>
                <w:highlight w:val="yellow"/>
              </w:rPr>
              <w:t xml:space="preserve">6</w:t>
            </w:r>
          </w:p>
        </w:tc>
        <w:tc>
          <w:tcPr/>
          <w:p>
            <w:pPr>
              <w:pStyle w:val="Compact"/>
              <w:jc w:val="right"/>
            </w:pPr>
            <w:r>
              <w:rPr>
                <w:highlight w:val="yellow"/>
              </w:rPr>
              <w:t xml:space="preserve">7</w:t>
            </w:r>
          </w:p>
        </w:tc>
      </w:tr>
      <w:tr>
        <w:tc>
          <w:tcPr/>
          <w:p>
            <w:pPr>
              <w:pStyle w:val="Compact"/>
              <w:jc w:val="right"/>
            </w:pPr>
            <w:r>
              <w:rPr>
                <w:highlight w:val="yellow"/>
              </w:rPr>
              <w:t xml:space="preserve">13</w:t>
            </w:r>
          </w:p>
        </w:tc>
        <w:tc>
          <w:tcPr/>
          <w:p>
            <w:pPr>
              <w:pStyle w:val="Compact"/>
              <w:jc w:val="right"/>
            </w:pPr>
            <w:r>
              <w:rPr>
                <w:highlight w:val="yellow"/>
              </w:rPr>
              <w:t xml:space="preserve">7</w:t>
            </w:r>
          </w:p>
        </w:tc>
        <w:tc>
          <w:tcPr/>
          <w:p>
            <w:pPr>
              <w:pStyle w:val="Compact"/>
              <w:jc w:val="right"/>
            </w:pPr>
            <w:r>
              <w:rPr>
                <w:highlight w:val="yellow"/>
              </w:rPr>
              <w:t xml:space="preserve">8</w:t>
            </w:r>
          </w:p>
        </w:tc>
      </w:tr>
      <w:tr>
        <w:tc>
          <w:tcPr/>
          <w:p>
            <w:pPr>
              <w:pStyle w:val="Compact"/>
              <w:jc w:val="right"/>
            </w:pPr>
            <w:r>
              <w:rPr>
                <w:highlight w:val="yellow"/>
              </w:rPr>
              <w:t xml:space="preserve">14</w:t>
            </w:r>
          </w:p>
        </w:tc>
        <w:tc>
          <w:tcPr/>
          <w:p>
            <w:pPr>
              <w:pStyle w:val="Compact"/>
              <w:jc w:val="right"/>
            </w:pPr>
            <w:r>
              <w:rPr>
                <w:highlight w:val="yellow"/>
              </w:rPr>
              <w:t xml:space="preserve">8</w:t>
            </w:r>
          </w:p>
        </w:tc>
        <w:tc>
          <w:tcPr/>
          <w:p>
            <w:pPr>
              <w:pStyle w:val="Compact"/>
              <w:jc w:val="right"/>
            </w:pPr>
            <w:r>
              <w:rPr>
                <w:highlight w:val="yellow"/>
              </w:rPr>
              <w:t xml:space="preserve">9</w:t>
            </w:r>
          </w:p>
        </w:tc>
      </w:tr>
      <w:tr>
        <w:tc>
          <w:tcPr/>
          <w:p>
            <w:pPr>
              <w:pStyle w:val="Compact"/>
              <w:jc w:val="right"/>
            </w:pPr>
            <w:r>
              <w:rPr>
                <w:highlight w:val="yellow"/>
              </w:rPr>
              <w:t xml:space="preserve">15</w:t>
            </w:r>
          </w:p>
        </w:tc>
        <w:tc>
          <w:tcPr/>
          <w:p>
            <w:pPr>
              <w:pStyle w:val="Compact"/>
              <w:jc w:val="right"/>
            </w:pPr>
            <w:r>
              <w:rPr>
                <w:highlight w:val="yellow"/>
              </w:rPr>
              <w:t xml:space="preserve">9</w:t>
            </w:r>
          </w:p>
        </w:tc>
        <w:tc>
          <w:tcPr/>
          <w:p>
            <w:pPr>
              <w:pStyle w:val="Compact"/>
              <w:jc w:val="right"/>
            </w:pPr>
            <w:r>
              <w:rPr>
                <w:highlight w:val="yellow"/>
              </w:rPr>
              <w:t xml:space="preserve">10</w:t>
            </w:r>
          </w:p>
        </w:tc>
      </w:tr>
      <w:tr>
        <w:tc>
          <w:tcPr/>
          <w:p>
            <w:pPr>
              <w:pStyle w:val="Compact"/>
              <w:jc w:val="right"/>
            </w:pPr>
            <w:r>
              <w:rPr>
                <w:highlight w:val="yellow"/>
              </w:rPr>
              <w:t xml:space="preserve">16</w:t>
            </w:r>
          </w:p>
        </w:tc>
        <w:tc>
          <w:tcPr/>
          <w:p>
            <w:pPr>
              <w:pStyle w:val="Compact"/>
              <w:jc w:val="right"/>
            </w:pPr>
            <w:r>
              <w:rPr>
                <w:highlight w:val="yellow"/>
              </w:rPr>
              <w:t xml:space="preserve">10</w:t>
            </w:r>
          </w:p>
        </w:tc>
        <w:tc>
          <w:tcPr/>
          <w:p>
            <w:pPr>
              <w:pStyle w:val="Compact"/>
              <w:jc w:val="right"/>
            </w:pPr>
            <w:r>
              <w:rPr>
                <w:highlight w:val="yellow"/>
              </w:rPr>
              <w:t xml:space="preserve">11</w:t>
            </w:r>
          </w:p>
        </w:tc>
      </w:tr>
      <w:tr>
        <w:tc>
          <w:tcPr/>
          <w:p>
            <w:pPr>
              <w:pStyle w:val="Compact"/>
              <w:jc w:val="right"/>
            </w:pPr>
            <w:r>
              <w:rPr>
                <w:highlight w:val="yellow"/>
              </w:rPr>
              <w:t xml:space="preserve">17</w:t>
            </w:r>
          </w:p>
        </w:tc>
        <w:tc>
          <w:tcPr/>
          <w:p>
            <w:pPr>
              <w:pStyle w:val="Compact"/>
              <w:jc w:val="right"/>
            </w:pPr>
            <w:r>
              <w:rPr>
                <w:highlight w:val="yellow"/>
              </w:rPr>
              <w:t xml:space="preserve">11</w:t>
            </w:r>
          </w:p>
        </w:tc>
        <w:tc>
          <w:tcPr/>
          <w:p>
            <w:pPr>
              <w:pStyle w:val="Compact"/>
              <w:jc w:val="right"/>
            </w:pPr>
            <w:r>
              <w:rPr>
                <w:highlight w:val="yellow"/>
              </w:rPr>
              <w:t xml:space="preserve">12</w:t>
            </w:r>
          </w:p>
        </w:tc>
      </w:tr>
      <w:tr>
        <w:tc>
          <w:tcPr/>
          <w:p>
            <w:pPr>
              <w:pStyle w:val="Compact"/>
              <w:jc w:val="right"/>
            </w:pPr>
            <w:r>
              <w:rPr>
                <w:highlight w:val="yellow"/>
              </w:rPr>
              <w:t xml:space="preserve">18</w:t>
            </w:r>
          </w:p>
        </w:tc>
        <w:tc>
          <w:tcPr/>
          <w:p>
            <w:pPr>
              <w:pStyle w:val="Compact"/>
              <w:jc w:val="right"/>
            </w:pPr>
            <w:r>
              <w:rPr>
                <w:highlight w:val="yellow"/>
              </w:rPr>
              <w:t xml:space="preserve">12</w:t>
            </w:r>
          </w:p>
        </w:tc>
        <w:tc>
          <w:tcPr/>
          <w:p>
            <w:pPr>
              <w:pStyle w:val="Compact"/>
              <w:jc w:val="right"/>
            </w:pPr>
            <w:r>
              <w:rPr>
                <w:highlight w:val="yellow"/>
              </w:rPr>
              <w:t xml:space="preserve">12</w:t>
            </w:r>
          </w:p>
        </w:tc>
      </w:tr>
      <w:tr>
        <w:tc>
          <w:tcPr/>
          <w:p>
            <w:pPr>
              <w:pStyle w:val="Compact"/>
              <w:jc w:val="right"/>
            </w:pPr>
            <w:r>
              <w:rPr>
                <w:highlight w:val="yellow"/>
              </w:rPr>
              <w:t xml:space="preserve">19</w:t>
            </w:r>
          </w:p>
        </w:tc>
        <w:tc>
          <w:tcPr/>
          <w:p>
            <w:pPr>
              <w:pStyle w:val="Compact"/>
              <w:jc w:val="right"/>
            </w:pPr>
            <w:r>
              <w:rPr>
                <w:highlight w:val="yellow"/>
              </w:rPr>
              <w:t xml:space="preserve">12</w:t>
            </w:r>
          </w:p>
        </w:tc>
        <w:tc>
          <w:tcPr/>
          <w:p>
            <w:pPr>
              <w:pStyle w:val="Compact"/>
              <w:jc w:val="right"/>
            </w:pPr>
            <w:r>
              <w:rPr>
                <w:highlight w:val="yellow"/>
              </w:rPr>
              <w:t xml:space="preserve">12</w:t>
            </w:r>
          </w:p>
        </w:tc>
      </w:tr>
    </w:tbl>
    <w:p>
      <w:pPr>
        <w:pStyle w:val="BodyText"/>
      </w:pPr>
      <w:r>
        <w:rPr>
          <w:b/>
          <w:bCs/>
          <w:highlight w:val="yellow"/>
        </w:rPr>
        <w:t xml:space="preserve">Panel B. Comparación del indicador binario de rezago ≥2 años</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left"/>
            </w:pPr>
            <w:r>
              <w:rPr>
                <w:b/>
                <w:bCs/>
                <w:highlight w:val="yellow"/>
              </w:rPr>
              <w:t xml:space="preserve">Regla</w:t>
            </w:r>
          </w:p>
        </w:tc>
        <w:tc>
          <w:tcPr/>
          <w:p>
            <w:pPr>
              <w:pStyle w:val="Compact"/>
              <w:jc w:val="right"/>
            </w:pPr>
            <w:r>
              <w:rPr>
                <w:b/>
                <w:bCs/>
                <w:highlight w:val="yellow"/>
              </w:rPr>
              <w:t xml:space="preserve">n total</w:t>
            </w:r>
          </w:p>
        </w:tc>
        <w:tc>
          <w:tcPr/>
          <w:p>
            <w:pPr>
              <w:pStyle w:val="Compact"/>
              <w:jc w:val="right"/>
            </w:pPr>
            <w:r>
              <w:rPr>
                <w:b/>
                <w:bCs/>
                <w:highlight w:val="yellow"/>
              </w:rPr>
              <w:t xml:space="preserve">Prevalencia 10–14</w:t>
            </w:r>
          </w:p>
        </w:tc>
        <w:tc>
          <w:tcPr/>
          <w:p>
            <w:pPr>
              <w:pStyle w:val="Compact"/>
              <w:jc w:val="right"/>
            </w:pPr>
            <w:r>
              <w:rPr>
                <w:b/>
                <w:bCs/>
                <w:highlight w:val="yellow"/>
              </w:rPr>
              <w:t xml:space="preserve">Prevalencia 15–19</w:t>
            </w:r>
          </w:p>
        </w:tc>
        <w:tc>
          <w:tcPr/>
          <w:p>
            <w:pPr>
              <w:pStyle w:val="Compact"/>
              <w:jc w:val="left"/>
            </w:pPr>
            <w:r>
              <w:rPr>
                <w:b/>
                <w:bCs/>
                <w:highlight w:val="yellow"/>
              </w:rPr>
              <w:t xml:space="preserve">RP (ICr95 %)</w:t>
            </w:r>
          </w:p>
        </w:tc>
        <w:tc>
          <w:tcPr/>
          <w:p>
            <w:pPr>
              <w:pStyle w:val="Compact"/>
              <w:jc w:val="right"/>
            </w:pPr>
            <w:r>
              <w:rPr>
                <w:b/>
                <w:bCs/>
                <w:highlight w:val="yellow"/>
              </w:rPr>
              <w:t xml:space="preserve">R-hat máx.</w:t>
            </w:r>
          </w:p>
        </w:tc>
        <w:tc>
          <w:tcPr/>
          <w:p>
            <w:pPr>
              <w:pStyle w:val="Compact"/>
              <w:jc w:val="right"/>
            </w:pPr>
            <w:r>
              <w:rPr>
                <w:b/>
                <w:bCs/>
                <w:highlight w:val="yellow"/>
              </w:rPr>
              <w:t xml:space="preserve">ESS bulk mín.</w:t>
            </w:r>
          </w:p>
        </w:tc>
        <w:tc>
          <w:tcPr/>
          <w:p>
            <w:pPr>
              <w:pStyle w:val="Compact"/>
              <w:jc w:val="right"/>
            </w:pPr>
            <w:r>
              <w:rPr>
                <w:b/>
                <w:bCs/>
                <w:highlight w:val="yellow"/>
              </w:rPr>
              <w:t xml:space="preserve">ESS tail mín.</w:t>
            </w:r>
          </w:p>
        </w:tc>
        <w:tc>
          <w:tcPr/>
          <w:p>
            <w:pPr>
              <w:pStyle w:val="Compact"/>
              <w:jc w:val="right"/>
            </w:pPr>
            <w:r>
              <w:rPr>
                <w:b/>
                <w:bCs/>
                <w:highlight w:val="yellow"/>
              </w:rPr>
              <w:t xml:space="preserve">Divergencias</w:t>
            </w:r>
          </w:p>
        </w:tc>
        <w:tc>
          <w:tcPr/>
          <w:p>
            <w:pPr>
              <w:pStyle w:val="Compact"/>
              <w:jc w:val="right"/>
            </w:pPr>
            <w:r>
              <w:rPr>
                <w:b/>
                <w:bCs/>
                <w:highlight w:val="yellow"/>
              </w:rPr>
              <w:t xml:space="preserve">E-BFMI mín.</w:t>
            </w:r>
          </w:p>
        </w:tc>
        <w:tc>
          <w:tcPr/>
          <w:p>
            <w:pPr>
              <w:pStyle w:val="Compact"/>
              <w:jc w:val="right"/>
            </w:pPr>
            <w:r>
              <w:rPr>
                <w:b/>
                <w:bCs/>
                <w:highlight w:val="yellow"/>
              </w:rPr>
              <w:t xml:space="preserve">PPC fuera del ICr95 %</w:t>
            </w:r>
          </w:p>
        </w:tc>
      </w:tr>
      <w:tr>
        <w:tc>
          <w:tcPr/>
          <w:p>
            <w:pPr>
              <w:pStyle w:val="Compact"/>
              <w:jc w:val="left"/>
            </w:pPr>
            <w:r>
              <w:rPr>
                <w:highlight w:val="yellow"/>
              </w:rPr>
              <w:t xml:space="preserve">Principal: edad − 6; tope 12</w:t>
            </w:r>
          </w:p>
        </w:tc>
        <w:tc>
          <w:tcPr/>
          <w:p>
            <w:pPr>
              <w:pStyle w:val="Compact"/>
              <w:jc w:val="right"/>
            </w:pPr>
            <w:r>
              <w:rPr>
                <w:highlight w:val="yellow"/>
              </w:rPr>
              <w:t xml:space="preserve">7.027</w:t>
            </w:r>
          </w:p>
        </w:tc>
        <w:tc>
          <w:tcPr/>
          <w:p>
            <w:pPr>
              <w:pStyle w:val="Compact"/>
              <w:jc w:val="right"/>
            </w:pPr>
            <w:r>
              <w:rPr>
                <w:highlight w:val="yellow"/>
              </w:rPr>
              <w:t xml:space="preserve">34,6 %</w:t>
            </w:r>
          </w:p>
        </w:tc>
        <w:tc>
          <w:tcPr/>
          <w:p>
            <w:pPr>
              <w:pStyle w:val="Compact"/>
              <w:jc w:val="right"/>
            </w:pPr>
            <w:r>
              <w:rPr>
                <w:highlight w:val="yellow"/>
              </w:rPr>
              <w:t xml:space="preserve">16,6 %</w:t>
            </w:r>
          </w:p>
        </w:tc>
        <w:tc>
          <w:tcPr/>
          <w:p>
            <w:pPr>
              <w:pStyle w:val="Compact"/>
              <w:jc w:val="left"/>
            </w:pPr>
            <w:r>
              <w:rPr>
                <w:highlight w:val="yellow"/>
              </w:rPr>
              <w:t xml:space="preserve">2,07 (1,78–2,41)</w:t>
            </w:r>
          </w:p>
        </w:tc>
        <w:tc>
          <w:tcPr/>
          <w:p>
            <w:pPr>
              <w:pStyle w:val="Compact"/>
              <w:jc w:val="right"/>
            </w:pPr>
            <w:r>
              <w:rPr>
                <w:highlight w:val="yellow"/>
              </w:rPr>
              <w:t xml:space="preserve">1,0002</w:t>
            </w:r>
          </w:p>
        </w:tc>
        <w:tc>
          <w:tcPr/>
          <w:p>
            <w:pPr>
              <w:pStyle w:val="Compact"/>
              <w:jc w:val="right"/>
            </w:pPr>
            <w:r>
              <w:rPr>
                <w:highlight w:val="yellow"/>
              </w:rPr>
              <w:t xml:space="preserve">6.150</w:t>
            </w:r>
          </w:p>
        </w:tc>
        <w:tc>
          <w:tcPr/>
          <w:p>
            <w:pPr>
              <w:pStyle w:val="Compact"/>
              <w:jc w:val="right"/>
            </w:pPr>
            <w:r>
              <w:rPr>
                <w:highlight w:val="yellow"/>
              </w:rPr>
              <w:t xml:space="preserve">5.698</w:t>
            </w:r>
          </w:p>
        </w:tc>
        <w:tc>
          <w:tcPr/>
          <w:p>
            <w:pPr>
              <w:pStyle w:val="Compact"/>
              <w:jc w:val="right"/>
            </w:pPr>
            <w:r>
              <w:rPr>
                <w:highlight w:val="yellow"/>
              </w:rPr>
              <w:t xml:space="preserve">0</w:t>
            </w:r>
          </w:p>
        </w:tc>
        <w:tc>
          <w:tcPr/>
          <w:p>
            <w:pPr>
              <w:pStyle w:val="Compact"/>
              <w:jc w:val="right"/>
            </w:pPr>
            <w:r>
              <w:rPr>
                <w:highlight w:val="yellow"/>
              </w:rPr>
              <w:t xml:space="preserve">0,961</w:t>
            </w:r>
          </w:p>
        </w:tc>
        <w:tc>
          <w:tcPr/>
          <w:p>
            <w:pPr>
              <w:pStyle w:val="Compact"/>
              <w:jc w:val="right"/>
            </w:pPr>
            <w:r>
              <w:rPr>
                <w:highlight w:val="yellow"/>
              </w:rPr>
              <w:t xml:space="preserve">0/3</w:t>
            </w:r>
          </w:p>
        </w:tc>
      </w:tr>
      <w:tr>
        <w:tc>
          <w:tcPr/>
          <w:p>
            <w:pPr>
              <w:pStyle w:val="Compact"/>
              <w:jc w:val="left"/>
            </w:pPr>
            <w:r>
              <w:rPr>
                <w:highlight w:val="yellow"/>
              </w:rPr>
              <w:t xml:space="preserve">Sensibilidad: edad − 5; tope 12</w:t>
            </w:r>
          </w:p>
        </w:tc>
        <w:tc>
          <w:tcPr/>
          <w:p>
            <w:pPr>
              <w:pStyle w:val="Compact"/>
              <w:jc w:val="right"/>
            </w:pPr>
            <w:r>
              <w:rPr>
                <w:highlight w:val="yellow"/>
              </w:rPr>
              <w:t xml:space="preserve">7.027</w:t>
            </w:r>
          </w:p>
        </w:tc>
        <w:tc>
          <w:tcPr/>
          <w:p>
            <w:pPr>
              <w:pStyle w:val="Compact"/>
              <w:jc w:val="right"/>
            </w:pPr>
            <w:r>
              <w:rPr>
                <w:highlight w:val="yellow"/>
              </w:rPr>
              <w:t xml:space="preserve">41,6 %</w:t>
            </w:r>
          </w:p>
        </w:tc>
        <w:tc>
          <w:tcPr/>
          <w:p>
            <w:pPr>
              <w:pStyle w:val="Compact"/>
              <w:jc w:val="right"/>
            </w:pPr>
            <w:r>
              <w:rPr>
                <w:highlight w:val="yellow"/>
              </w:rPr>
              <w:t xml:space="preserve">18,2 %</w:t>
            </w:r>
          </w:p>
        </w:tc>
        <w:tc>
          <w:tcPr/>
          <w:p>
            <w:pPr>
              <w:pStyle w:val="Compact"/>
              <w:jc w:val="left"/>
            </w:pPr>
            <w:r>
              <w:rPr>
                <w:highlight w:val="yellow"/>
              </w:rPr>
              <w:t xml:space="preserve">2,28 (1,99–2,59)</w:t>
            </w:r>
          </w:p>
        </w:tc>
        <w:tc>
          <w:tcPr/>
          <w:p>
            <w:pPr>
              <w:pStyle w:val="Compact"/>
              <w:jc w:val="right"/>
            </w:pPr>
            <w:r>
              <w:rPr>
                <w:highlight w:val="yellow"/>
              </w:rPr>
              <w:t xml:space="preserve">1,0008</w:t>
            </w:r>
          </w:p>
        </w:tc>
        <w:tc>
          <w:tcPr/>
          <w:p>
            <w:pPr>
              <w:pStyle w:val="Compact"/>
              <w:jc w:val="right"/>
            </w:pPr>
            <w:r>
              <w:rPr>
                <w:highlight w:val="yellow"/>
              </w:rPr>
              <w:t xml:space="preserve">5.791</w:t>
            </w:r>
          </w:p>
        </w:tc>
        <w:tc>
          <w:tcPr/>
          <w:p>
            <w:pPr>
              <w:pStyle w:val="Compact"/>
              <w:jc w:val="right"/>
            </w:pPr>
            <w:r>
              <w:rPr>
                <w:highlight w:val="yellow"/>
              </w:rPr>
              <w:t xml:space="preserve">5.665</w:t>
            </w:r>
          </w:p>
        </w:tc>
        <w:tc>
          <w:tcPr/>
          <w:p>
            <w:pPr>
              <w:pStyle w:val="Compact"/>
              <w:jc w:val="right"/>
            </w:pPr>
            <w:r>
              <w:rPr>
                <w:highlight w:val="yellow"/>
              </w:rPr>
              <w:t xml:space="preserve">0</w:t>
            </w:r>
          </w:p>
        </w:tc>
        <w:tc>
          <w:tcPr/>
          <w:p>
            <w:pPr>
              <w:pStyle w:val="Compact"/>
              <w:jc w:val="right"/>
            </w:pPr>
            <w:r>
              <w:rPr>
                <w:highlight w:val="yellow"/>
              </w:rPr>
              <w:t xml:space="preserve">0,947</w:t>
            </w:r>
          </w:p>
        </w:tc>
        <w:tc>
          <w:tcPr/>
          <w:p>
            <w:pPr>
              <w:pStyle w:val="Compact"/>
              <w:jc w:val="right"/>
            </w:pPr>
            <w:r>
              <w:rPr>
                <w:highlight w:val="yellow"/>
              </w:rPr>
              <w:t xml:space="preserve">0/3</w:t>
            </w:r>
          </w:p>
        </w:tc>
      </w:tr>
    </w:tbl>
    <w:p>
      <w:pPr>
        <w:pStyle w:val="BodyText"/>
      </w:pPr>
      <w:r>
        <w:rPr>
          <w:highlight w:val="yellow"/>
        </w:rPr>
        <w:t xml:space="preserve">Ambas reglas utilizaron el mismo cálculo de años aprobados, tope de 12 años, tratamiento de datos faltantes, definición binaria (rezago ≥2 años) y modelo bayesiano Bernoulli-logit con estandarización posterior. En ambos ajustes la profundidad máxima observada fue 4, ninguna iteración alcanzó el máximo configurado de 15 y los PPC de las prevalencias global y por grupo quedaron dentro del ICr95 % predictivo. Fuente reproducible:</w:t>
      </w:r>
      <w:r>
        <w:rPr>
          <w:highlight w:val="yellow"/>
        </w:rPr>
        <w:t xml:space="preserve"> </w:t>
      </w:r>
      <w:r>
        <w:rPr>
          <w:rStyle w:val="VerbatimChar"/>
          <w:highlight w:val="yellow"/>
        </w:rPr>
        <w:t xml:space="preserve">R/08_punto4_sensibilidad_rezago_escolar.R</w:t>
      </w:r>
      <w:r>
        <w:rPr>
          <w:highlight w:val="yellow"/>
        </w:rPr>
        <w:t xml:space="preserve"> </w:t>
      </w:r>
      <w:r>
        <w:rPr>
          <w:highlight w:val="yellow"/>
        </w:rPr>
        <w:t xml:space="preserve">y</w:t>
      </w:r>
      <w:r>
        <w:rPr>
          <w:highlight w:val="yellow"/>
        </w:rPr>
        <w:t xml:space="preserve"> </w:t>
      </w:r>
      <w:r>
        <w:rPr>
          <w:rStyle w:val="VerbatimChar"/>
          <w:highlight w:val="yellow"/>
        </w:rPr>
        <w:t xml:space="preserve">output/rezago_escolar/</w:t>
      </w:r>
      <w:r>
        <w:rPr>
          <w:highlight w:val="yellow"/>
        </w:rPr>
        <w:t xml:space="preserve">.</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image" Id="rId18" Target="media/rId18.jpg" /><Relationship Type="http://schemas.openxmlformats.org/officeDocument/2006/relationships/hyperlink" Id="rId11" Target="https://doi.org/10.17632/jbbp5vb6fy.1" TargetMode="External" /></Relationships>
</file>

<file path=word/_rels/footnotes.xml.rels><?xml version="1.0" encoding="UTF-8"?><Relationships xmlns="http://schemas.openxmlformats.org/package/2006/relationships"><Relationship Type="http://schemas.openxmlformats.org/officeDocument/2006/relationships/hyperlink" Id="rId11" Target="https://doi.org/10.17632/jbbp5vb6fy.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Diferencias sociodemográficas, reproductivas y obstétricas entre adolescentes de 10–14 años y de 15–19 años en una población hospitalaria seleccionada por admisión neonatal: estudio transversal retrospectivo</dc:title>
  <dc:creator>Santiago Vasco et al.</dc:creator>
  <cp:keywords/>
  <dcterms:created xsi:type="dcterms:W3CDTF">2026-08-10T07:18:17Z</dcterms:created>
  <dcterms:modified xsi:type="dcterms:W3CDTF">2026-08-10T07:18:17Z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sl">
    <vt:lpwstr>../rbsmi-vancouver-icmje.csl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