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arta-de-respuesta-a-la-editora"/>
    <w:p>
      <w:pPr>
        <w:pStyle w:val="Heading1"/>
      </w:pPr>
      <w:r>
        <w:t xml:space="preserve">Carta de Respuesta a la Editora</w:t>
      </w:r>
    </w:p>
    <w:p>
      <w:pPr>
        <w:pStyle w:val="FirstParagraph"/>
      </w:pPr>
      <w:r>
        <w:t xml:space="preserve">Estimado/a Editor/a,</w:t>
      </w:r>
    </w:p>
    <w:p>
      <w:pPr>
        <w:pStyle w:val="BodyText"/>
      </w:pPr>
      <w:r>
        <w:t xml:space="preserve">Agradecemos la revisión rigurosa y los comentarios recibidos. A continuación presentamos las respuestas y los cambios realizados en el manuscrito.</w:t>
      </w:r>
    </w:p>
    <w:bookmarkStart w:id="20" w:name="Xd19712f2538d13bebe00ad1e6f6d9eb491a4719"/>
    <w:p>
      <w:pPr>
        <w:pStyle w:val="Heading2"/>
      </w:pPr>
      <w:r>
        <w:t xml:space="preserve">1. Unidad de análisis, gestaciones múltiples y descripción neonatal</w:t>
      </w:r>
    </w:p>
    <w:p>
      <w:pPr>
        <w:pStyle w:val="FirstParagraph"/>
      </w:pPr>
      <w:r>
        <w:rPr>
          <w:b/>
          <w:bCs/>
        </w:rPr>
        <w:t xml:space="preserve">Comentario del editor:</w:t>
      </w:r>
    </w:p>
    <w:p>
      <w:pPr>
        <w:pStyle w:val="BodyText"/>
      </w:pPr>
      <w:r>
        <w:rPr>
          <w:b/>
          <w:bCs/>
        </w:rPr>
        <w:t xml:space="preserve">Problema central:</w:t>
      </w:r>
      <w:r>
        <w:t xml:space="preserve"> </w:t>
      </w:r>
      <w:r>
        <w:t xml:space="preserve">Los autores declaran que la descripción neonatal se restringió a nacimientos únicos. Sin embargo, los denominadores de las variables neonatales son prácticamente iguales al total de 7.035 eventos obstétricos, pese a que la Tabla 1 informa 245 eventos de embarazo múltiple. Si los nacimientos múltiples hubieran sido excluidos de la descripción neonatal, los denominadores deberían ser sustancialmente menores.</w:t>
      </w:r>
    </w:p>
    <w:p>
      <w:pPr>
        <w:pStyle w:val="BodyText"/>
      </w:pPr>
      <w:r>
        <w:rPr>
          <w:b/>
          <w:bCs/>
        </w:rPr>
        <w:t xml:space="preserve">Por qué importa:</w:t>
      </w:r>
      <w:r>
        <w:t xml:space="preserve"> </w:t>
      </w:r>
      <w:r>
        <w:t xml:space="preserve">Esta discrepancia indica que las gestaciones múltiples pueden no haber sido excluidas como se afirma, que se pudo haber retenido de forma arbitraria la información de uno de los recién nacidos, o que la nota de la tabla y los Métodos no reflejan el procesamiento real. El punto afecta directamente la credibilidad de la depuración y la interpretación de todas las variables neonatales.</w:t>
      </w:r>
    </w:p>
    <w:p>
      <w:pPr>
        <w:pStyle w:val="BodyText"/>
      </w:pPr>
      <w:r>
        <w:rPr>
          <w:b/>
          <w:bCs/>
        </w:rPr>
        <w:t xml:space="preserve">Revisión obligatoria:</w:t>
      </w:r>
      <w:r>
        <w:t xml:space="preserve"> </w:t>
      </w:r>
      <w:r>
        <w:t xml:space="preserve">Presentar el número exacto de eventos obstétricos únicos y múltiples por grupo etario; el número exacto de nacimientos únicos incluidos en cada variable neonatal; describir el algoritmo aplicado a las variables neonatales durante la consolidación; regenerar los denominadores; y demostrar mediante código reproducible que ningún recién nacido de una gestación múltiple fue retenido de forma arbitraria.</w:t>
      </w:r>
    </w:p>
    <w:p>
      <w:pPr>
        <w:pStyle w:val="BodyText"/>
      </w:pPr>
      <w:r>
        <w:rPr>
          <w:b/>
          <w:bCs/>
        </w:rPr>
        <w:t xml:space="preserve">Respuesta de los autores:</w:t>
      </w:r>
    </w:p>
    <w:p>
      <w:pPr>
        <w:numPr>
          <w:ilvl w:val="0"/>
          <w:numId w:val="1001"/>
        </w:numPr>
      </w:pPr>
      <w:r>
        <w:t xml:space="preserve">La unidad de análisis principal del estudio es el</w:t>
      </w:r>
      <w:r>
        <w:t xml:space="preserve"> </w:t>
      </w:r>
      <w:r>
        <w:rPr>
          <w:b/>
          <w:bCs/>
        </w:rPr>
        <w:t xml:space="preserve">evento obstétrico materno</w:t>
      </w:r>
      <w:r>
        <w:t xml:space="preserve"> </w:t>
      </w:r>
      <w:r>
        <w:t xml:space="preserve">en adolescentes de 10–19 años.</w:t>
      </w:r>
    </w:p>
    <w:p>
      <w:pPr>
        <w:numPr>
          <w:ilvl w:val="0"/>
          <w:numId w:val="1001"/>
        </w:numPr>
      </w:pPr>
      <w:r>
        <w:t xml:space="preserve">La muestra analítica final para variables maternas incluye</w:t>
      </w:r>
      <w:r>
        <w:t xml:space="preserve"> </w:t>
      </w:r>
      <w:r>
        <w:rPr>
          <w:b/>
          <w:bCs/>
        </w:rPr>
        <w:t xml:space="preserve">7.035 eventos obstétricos</w:t>
      </w:r>
      <w:r>
        <w:t xml:space="preserve">, de los cuales</w:t>
      </w:r>
      <w:r>
        <w:t xml:space="preserve"> </w:t>
      </w:r>
      <w:r>
        <w:rPr>
          <w:b/>
          <w:bCs/>
        </w:rPr>
        <w:t xml:space="preserve">386</w:t>
      </w:r>
      <w:r>
        <w:t xml:space="preserve"> </w:t>
      </w:r>
      <w:r>
        <w:t xml:space="preserve">corresponden a adolescentes de 10–14 años y</w:t>
      </w:r>
      <w:r>
        <w:t xml:space="preserve"> </w:t>
      </w:r>
      <w:r>
        <w:rPr>
          <w:b/>
          <w:bCs/>
        </w:rPr>
        <w:t xml:space="preserve">6.649</w:t>
      </w:r>
      <w:r>
        <w:t xml:space="preserve"> </w:t>
      </w:r>
      <w:r>
        <w:t xml:space="preserve">a adolescentes de 15–19 años.</w:t>
      </w:r>
    </w:p>
    <w:p>
      <w:pPr>
        <w:numPr>
          <w:ilvl w:val="0"/>
          <w:numId w:val="1001"/>
        </w:numPr>
      </w:pPr>
      <w:r>
        <w:t xml:space="preserve">Estos eventos se obtuvieron a partir de</w:t>
      </w:r>
      <w:r>
        <w:t xml:space="preserve"> </w:t>
      </w:r>
      <w:r>
        <w:rPr>
          <w:b/>
          <w:bCs/>
        </w:rPr>
        <w:t xml:space="preserve">7.202 registros iniciales</w:t>
      </w:r>
      <w:r>
        <w:t xml:space="preserve">.</w:t>
      </w:r>
    </w:p>
    <w:p>
      <w:pPr>
        <w:numPr>
          <w:ilvl w:val="0"/>
          <w:numId w:val="1001"/>
        </w:numPr>
      </w:pPr>
      <w:r>
        <w:t xml:space="preserve">Se eliminaron</w:t>
      </w:r>
      <w:r>
        <w:t xml:space="preserve"> </w:t>
      </w:r>
      <w:r>
        <w:rPr>
          <w:b/>
          <w:bCs/>
        </w:rPr>
        <w:t xml:space="preserve">15 duplicados exactos</w:t>
      </w:r>
      <w:r>
        <w:t xml:space="preserve">.</w:t>
      </w:r>
    </w:p>
    <w:p>
      <w:pPr>
        <w:numPr>
          <w:ilvl w:val="0"/>
          <w:numId w:val="1001"/>
        </w:numPr>
      </w:pPr>
      <w:r>
        <w:t xml:space="preserve">Después de esta eliminación quedaron</w:t>
      </w:r>
      <w:r>
        <w:t xml:space="preserve"> </w:t>
      </w:r>
      <w:r>
        <w:rPr>
          <w:b/>
          <w:bCs/>
        </w:rPr>
        <w:t xml:space="preserve">7.187 registros</w:t>
      </w:r>
      <w:r>
        <w:t xml:space="preserve"> </w:t>
      </w:r>
      <w:r>
        <w:t xml:space="preserve">y se consolidaron</w:t>
      </w:r>
      <w:r>
        <w:t xml:space="preserve"> </w:t>
      </w:r>
      <w:r>
        <w:rPr>
          <w:b/>
          <w:bCs/>
        </w:rPr>
        <w:t xml:space="preserve">152 registros</w:t>
      </w:r>
      <w:r>
        <w:t xml:space="preserve"> </w:t>
      </w:r>
      <w:r>
        <w:t xml:space="preserve">mediante el procedimiento de linkage de gestaciones múltiples.</w:t>
      </w:r>
    </w:p>
    <w:p>
      <w:pPr>
        <w:numPr>
          <w:ilvl w:val="0"/>
          <w:numId w:val="1001"/>
        </w:numPr>
      </w:pPr>
      <w:r>
        <w:t xml:space="preserve">La descripción neonatal</w:t>
      </w:r>
      <w:r>
        <w:t xml:space="preserve"> </w:t>
      </w:r>
      <w:r>
        <w:rPr>
          <w:b/>
          <w:bCs/>
        </w:rPr>
        <w:t xml:space="preserve">se restringió exclusivamente a nacimientos únicos</w:t>
      </w:r>
      <w:r>
        <w:t xml:space="preserve">.</w:t>
      </w:r>
    </w:p>
    <w:p>
      <w:pPr>
        <w:numPr>
          <w:ilvl w:val="0"/>
          <w:numId w:val="1001"/>
        </w:numPr>
      </w:pPr>
      <w:r>
        <w:t xml:space="preserve">Para este propósito se definió la submuestra</w:t>
      </w:r>
      <w:r>
        <w:t xml:space="preserve"> </w:t>
      </w:r>
      <w:r>
        <w:rPr>
          <w:rStyle w:val="VerbatimChar"/>
        </w:rPr>
        <w:t xml:space="preserve">Adolescentes_neonatal</w:t>
      </w:r>
      <w:r>
        <w:t xml:space="preserve">, que excluye los registros identificados como embarazos múltiples.</w:t>
      </w:r>
    </w:p>
    <w:p>
      <w:pPr>
        <w:numPr>
          <w:ilvl w:val="0"/>
          <w:numId w:val="1001"/>
        </w:numPr>
      </w:pPr>
      <w:r>
        <w:t xml:space="preserve">En el manuscrito y en el código se aclara que la muestra materna completa de 7.035 eventos y la submuestra neonatal única de 6.790 nacimientos son distintas.</w:t>
      </w:r>
    </w:p>
    <w:p>
      <w:pPr>
        <w:numPr>
          <w:ilvl w:val="0"/>
          <w:numId w:val="1001"/>
        </w:numPr>
      </w:pPr>
      <w:r>
        <w:t xml:space="preserve">Esta submuestra neonatal única corresponde a:</w:t>
      </w:r>
    </w:p>
    <w:p>
      <w:pPr>
        <w:pStyle w:val="Compact"/>
        <w:numPr>
          <w:ilvl w:val="1"/>
          <w:numId w:val="1002"/>
        </w:numPr>
      </w:pPr>
      <w:r>
        <w:rPr>
          <w:b/>
          <w:bCs/>
        </w:rPr>
        <w:t xml:space="preserve">381 nacimientos únicos</w:t>
      </w:r>
      <w:r>
        <w:t xml:space="preserve"> </w:t>
      </w:r>
      <w:r>
        <w:t xml:space="preserve">en adolescentes de 10–14 años.</w:t>
      </w:r>
    </w:p>
    <w:p>
      <w:pPr>
        <w:pStyle w:val="Compact"/>
        <w:numPr>
          <w:ilvl w:val="1"/>
          <w:numId w:val="1002"/>
        </w:numPr>
      </w:pPr>
      <w:r>
        <w:rPr>
          <w:b/>
          <w:bCs/>
        </w:rPr>
        <w:t xml:space="preserve">6.409 nacimientos únicos</w:t>
      </w:r>
      <w:r>
        <w:t xml:space="preserve"> </w:t>
      </w:r>
      <w:r>
        <w:t xml:space="preserve">en adolescentes de 15–19 años.</w:t>
      </w:r>
    </w:p>
    <w:p>
      <w:pPr>
        <w:pStyle w:val="FirstParagraph"/>
      </w:pPr>
      <w:r>
        <w:t xml:space="preserve">Los denominadores de las variables neonatales no son 7.035, porque se calculan en la submuestra de</w:t>
      </w:r>
      <w:r>
        <w:t xml:space="preserve"> </w:t>
      </w:r>
      <w:r>
        <w:rPr>
          <w:b/>
          <w:bCs/>
        </w:rPr>
        <w:t xml:space="preserve">6.790 nacimientos únicos</w:t>
      </w:r>
      <w:r>
        <w:t xml:space="preserve">. Además, los denominadores específicos dependen de la disponibilidad de datos para cada variable, lo que explica que algunos ítems tengan menos de 6.790 registros válidos.</w:t>
      </w:r>
    </w:p>
    <w:p>
      <w:pPr>
        <w:pStyle w:val="BodyText"/>
      </w:pPr>
      <w:r>
        <w:t xml:space="preserve">Ejemplos de denominadores auditados:</w:t>
      </w:r>
    </w:p>
    <w:p>
      <w:pPr>
        <w:pStyle w:val="Compact"/>
        <w:numPr>
          <w:ilvl w:val="0"/>
          <w:numId w:val="1003"/>
        </w:numPr>
      </w:pPr>
      <w:r>
        <w:rPr>
          <w:rStyle w:val="VerbatimChar"/>
        </w:rPr>
        <w:t xml:space="preserve">PREMATURO CODIGO</w:t>
      </w:r>
      <w:r>
        <w:t xml:space="preserve">: 6.747</w:t>
      </w:r>
    </w:p>
    <w:p>
      <w:pPr>
        <w:pStyle w:val="Compact"/>
        <w:numPr>
          <w:ilvl w:val="0"/>
          <w:numId w:val="1003"/>
        </w:numPr>
      </w:pPr>
      <w:r>
        <w:rPr>
          <w:rStyle w:val="VerbatimChar"/>
        </w:rPr>
        <w:t xml:space="preserve">CODIGO Apgar 1 minuto &lt;7</w:t>
      </w:r>
      <w:r>
        <w:t xml:space="preserve">: 6.665</w:t>
      </w:r>
    </w:p>
    <w:p>
      <w:pPr>
        <w:pStyle w:val="Compact"/>
        <w:numPr>
          <w:ilvl w:val="0"/>
          <w:numId w:val="1003"/>
        </w:numPr>
      </w:pPr>
      <w:r>
        <w:rPr>
          <w:rStyle w:val="VerbatimChar"/>
        </w:rPr>
        <w:t xml:space="preserve">CODIGO Apgar 5to. &lt; 7</w:t>
      </w:r>
      <w:r>
        <w:t xml:space="preserve">: 6.673</w:t>
      </w:r>
    </w:p>
    <w:p>
      <w:pPr>
        <w:pStyle w:val="Compact"/>
        <w:numPr>
          <w:ilvl w:val="0"/>
          <w:numId w:val="1003"/>
        </w:numPr>
      </w:pPr>
      <w:r>
        <w:rPr>
          <w:rStyle w:val="VerbatimChar"/>
        </w:rPr>
        <w:t xml:space="preserve">RCIU</w:t>
      </w:r>
      <w:r>
        <w:t xml:space="preserve">: 6.789</w:t>
      </w:r>
    </w:p>
    <w:p>
      <w:pPr>
        <w:pStyle w:val="Compact"/>
        <w:numPr>
          <w:ilvl w:val="0"/>
          <w:numId w:val="1003"/>
        </w:numPr>
      </w:pPr>
      <w:r>
        <w:rPr>
          <w:rStyle w:val="VerbatimChar"/>
        </w:rPr>
        <w:t xml:space="preserve">MACROSÓMICO</w:t>
      </w:r>
      <w:r>
        <w:t xml:space="preserve">: 6.790</w:t>
      </w:r>
    </w:p>
    <w:p>
      <w:pPr>
        <w:pStyle w:val="Compact"/>
        <w:numPr>
          <w:ilvl w:val="0"/>
          <w:numId w:val="1003"/>
        </w:numPr>
      </w:pPr>
      <w:r>
        <w:rPr>
          <w:rStyle w:val="VerbatimChar"/>
        </w:rPr>
        <w:t xml:space="preserve">BEBE Ictericia</w:t>
      </w:r>
      <w:r>
        <w:t xml:space="preserve">: 6.790</w:t>
      </w:r>
    </w:p>
    <w:p>
      <w:pPr>
        <w:pStyle w:val="Compact"/>
        <w:numPr>
          <w:ilvl w:val="0"/>
          <w:numId w:val="1003"/>
        </w:numPr>
      </w:pPr>
      <w:r>
        <w:rPr>
          <w:rStyle w:val="VerbatimChar"/>
        </w:rPr>
        <w:t xml:space="preserve">RN vivo CODIGO</w:t>
      </w:r>
      <w:r>
        <w:t xml:space="preserve">: 6.778</w:t>
      </w:r>
    </w:p>
    <w:p>
      <w:pPr>
        <w:pStyle w:val="Compact"/>
        <w:numPr>
          <w:ilvl w:val="0"/>
          <w:numId w:val="1003"/>
        </w:numPr>
      </w:pPr>
      <w:r>
        <w:rPr>
          <w:rStyle w:val="VerbatimChar"/>
        </w:rPr>
        <w:t xml:space="preserve">Lactancia exclusiva SI NO</w:t>
      </w:r>
      <w:r>
        <w:t xml:space="preserve">: 5.809</w:t>
      </w:r>
    </w:p>
    <w:p>
      <w:pPr>
        <w:pStyle w:val="FirstParagraph"/>
      </w:pPr>
      <w:r>
        <w:t xml:space="preserve">Se creó un script de auditoría independiente:</w:t>
      </w:r>
      <w:r>
        <w:t xml:space="preserve"> </w:t>
      </w:r>
      <w:r>
        <w:rPr>
          <w:rStyle w:val="VerbatimChar"/>
        </w:rPr>
        <w:t xml:space="preserve">R/03_auditoria_gestaciones_multiples.R</w:t>
      </w:r>
      <w:r>
        <w:t xml:space="preserve">. Este script genera pruebas reproducibles y guarda resultados en</w:t>
      </w:r>
      <w:r>
        <w:t xml:space="preserve"> </w:t>
      </w:r>
      <w:r>
        <w:rPr>
          <w:rStyle w:val="VerbatimChar"/>
        </w:rPr>
        <w:t xml:space="preserve">output/reconciliation/</w:t>
      </w:r>
      <w:r>
        <w:t xml:space="preserve">. Los resultados validados son:</w:t>
      </w:r>
    </w:p>
    <w:p>
      <w:pPr>
        <w:pStyle w:val="Compact"/>
        <w:numPr>
          <w:ilvl w:val="0"/>
          <w:numId w:val="1004"/>
        </w:numPr>
      </w:pPr>
      <w:r>
        <w:t xml:space="preserve">7.202 registros iniciales.</w:t>
      </w:r>
    </w:p>
    <w:p>
      <w:pPr>
        <w:pStyle w:val="Compact"/>
        <w:numPr>
          <w:ilvl w:val="0"/>
          <w:numId w:val="1004"/>
        </w:numPr>
      </w:pPr>
      <w:r>
        <w:t xml:space="preserve">15 duplicados exactos eliminados.</w:t>
      </w:r>
    </w:p>
    <w:p>
      <w:pPr>
        <w:pStyle w:val="Compact"/>
        <w:numPr>
          <w:ilvl w:val="0"/>
          <w:numId w:val="1004"/>
        </w:numPr>
      </w:pPr>
      <w:r>
        <w:t xml:space="preserve">152 registros consolidados por gestaciones múltiples.</w:t>
      </w:r>
    </w:p>
    <w:p>
      <w:pPr>
        <w:pStyle w:val="Compact"/>
        <w:numPr>
          <w:ilvl w:val="0"/>
          <w:numId w:val="1004"/>
        </w:numPr>
      </w:pPr>
      <w:r>
        <w:t xml:space="preserve">7.035 eventos obstétricos finales.</w:t>
      </w:r>
    </w:p>
    <w:p>
      <w:pPr>
        <w:pStyle w:val="Compact"/>
        <w:numPr>
          <w:ilvl w:val="0"/>
          <w:numId w:val="1004"/>
        </w:numPr>
      </w:pPr>
      <w:r>
        <w:t xml:space="preserve">245 embarazos múltiples en la muestra final.</w:t>
      </w:r>
    </w:p>
    <w:p>
      <w:pPr>
        <w:pStyle w:val="Compact"/>
        <w:numPr>
          <w:ilvl w:val="0"/>
          <w:numId w:val="1004"/>
        </w:numPr>
      </w:pPr>
      <w:r>
        <w:t xml:space="preserve">6.790 nacimientos únicos en la muestra neonatal.</w:t>
      </w:r>
    </w:p>
    <w:bookmarkEnd w:id="20"/>
    <w:bookmarkStart w:id="21" w:name="desduplicación-y-llave-compuesta"/>
    <w:p>
      <w:pPr>
        <w:pStyle w:val="Heading2"/>
      </w:pPr>
      <w:r>
        <w:t xml:space="preserve">2. Desduplicación y llave compuesta</w:t>
      </w:r>
    </w:p>
    <w:p>
      <w:pPr>
        <w:pStyle w:val="FirstParagraph"/>
      </w:pPr>
      <w:r>
        <w:rPr>
          <w:b/>
          <w:bCs/>
        </w:rPr>
        <w:t xml:space="preserve">Comentario del editor:</w:t>
      </w:r>
    </w:p>
    <w:p>
      <w:pPr>
        <w:pStyle w:val="BodyText"/>
      </w:pPr>
      <w:r>
        <w:rPr>
          <w:b/>
          <w:bCs/>
        </w:rPr>
        <w:t xml:space="preserve">Problema:</w:t>
      </w:r>
      <w:r>
        <w:t xml:space="preserve"> </w:t>
      </w:r>
      <w:r>
        <w:t xml:space="preserve">La consolidación mediante una llave de 13 variables y una tolerancia de tres semanas de edad gestacional constituye un procedimiento de linkage y no una simple exclusión de duplicados. La regla puede colapsar eventos distintos o no identificar duplicatas reales.</w:t>
      </w:r>
    </w:p>
    <w:p>
      <w:pPr>
        <w:pStyle w:val="BodyText"/>
      </w:pPr>
      <w:r>
        <w:rPr>
          <w:b/>
          <w:bCs/>
        </w:rPr>
        <w:t xml:space="preserve">Revisión obligatoria:</w:t>
      </w:r>
      <w:r>
        <w:t xml:space="preserve"> </w:t>
      </w:r>
      <w:r>
        <w:t xml:space="preserve">Justificar el umbral de tres semanas; informar cuántos agrupamientos fueron afectados; presentar la distribución del número de registros por agrupamiento; inspeccionar y describir los agrupamientos ambiguos; y realizar análisis de sensibilidad con llave exacta y tolerancias alternativas de una, dos y tres semanas. Reconciliar los 152 registros consolidados con los 245 eventos clasificados como embarazos múltiples.</w:t>
      </w:r>
    </w:p>
    <w:p>
      <w:pPr>
        <w:pStyle w:val="BodyText"/>
      </w:pPr>
      <w:r>
        <w:rPr>
          <w:b/>
          <w:bCs/>
        </w:rPr>
        <w:t xml:space="preserve">Respuesta de los autores:</w:t>
      </w:r>
    </w:p>
    <w:p>
      <w:pPr>
        <w:pStyle w:val="Compact"/>
        <w:numPr>
          <w:ilvl w:val="0"/>
          <w:numId w:val="1005"/>
        </w:numPr>
      </w:pPr>
      <w:r>
        <w:t xml:space="preserve">Se identificaron</w:t>
      </w:r>
      <w:r>
        <w:t xml:space="preserve"> </w:t>
      </w:r>
      <w:r>
        <w:rPr>
          <w:b/>
          <w:bCs/>
        </w:rPr>
        <w:t xml:space="preserve">245 eventos de embarazo múltiple</w:t>
      </w:r>
      <w:r>
        <w:t xml:space="preserve"> </w:t>
      </w:r>
      <w:r>
        <w:t xml:space="preserve">en la muestra final de 7.035 eventos obstétricos.</w:t>
      </w:r>
    </w:p>
    <w:p>
      <w:pPr>
        <w:pStyle w:val="Compact"/>
        <w:numPr>
          <w:ilvl w:val="0"/>
          <w:numId w:val="1005"/>
        </w:numPr>
      </w:pPr>
      <w:r>
        <w:t xml:space="preserve">Los embarazos múltiples se consolidaron</w:t>
      </w:r>
      <w:r>
        <w:t xml:space="preserve"> </w:t>
      </w:r>
      <w:r>
        <w:rPr>
          <w:b/>
          <w:bCs/>
        </w:rPr>
        <w:t xml:space="preserve">a nivel materno</w:t>
      </w:r>
      <w:r>
        <w:t xml:space="preserve"> </w:t>
      </w:r>
      <w:r>
        <w:t xml:space="preserve">con un procedimiento reproducible y explícito.</w:t>
      </w:r>
    </w:p>
    <w:p>
      <w:pPr>
        <w:pStyle w:val="Compact"/>
        <w:numPr>
          <w:ilvl w:val="0"/>
          <w:numId w:val="1005"/>
        </w:numPr>
      </w:pPr>
      <w:r>
        <w:t xml:space="preserve">El algoritmo de consolidación utilizado fue:</w:t>
      </w:r>
    </w:p>
    <w:p>
      <w:pPr>
        <w:pStyle w:val="Compact"/>
        <w:numPr>
          <w:ilvl w:val="1"/>
          <w:numId w:val="1006"/>
        </w:numPr>
      </w:pPr>
      <w:r>
        <w:t xml:space="preserve">Identificar grupos maternos usando una llave de</w:t>
      </w:r>
      <w:r>
        <w:t xml:space="preserve"> </w:t>
      </w:r>
      <w:r>
        <w:rPr>
          <w:b/>
          <w:bCs/>
        </w:rPr>
        <w:t xml:space="preserve">13 variables</w:t>
      </w:r>
      <w:r>
        <w:t xml:space="preserve">:</w:t>
      </w:r>
    </w:p>
    <w:p>
      <w:pPr>
        <w:pStyle w:val="Compact"/>
        <w:numPr>
          <w:ilvl w:val="2"/>
          <w:numId w:val="1007"/>
        </w:numPr>
      </w:pPr>
      <w:r>
        <w:t xml:space="preserve">año de atención,</w:t>
      </w:r>
    </w:p>
    <w:p>
      <w:pPr>
        <w:pStyle w:val="Compact"/>
        <w:numPr>
          <w:ilvl w:val="2"/>
          <w:numId w:val="1007"/>
        </w:numPr>
      </w:pPr>
      <w:r>
        <w:t xml:space="preserve">edad materna,</w:t>
      </w:r>
    </w:p>
    <w:p>
      <w:pPr>
        <w:pStyle w:val="Compact"/>
        <w:numPr>
          <w:ilvl w:val="2"/>
          <w:numId w:val="1007"/>
        </w:numPr>
      </w:pPr>
      <w:r>
        <w:t xml:space="preserve">escolaridad,</w:t>
      </w:r>
    </w:p>
    <w:p>
      <w:pPr>
        <w:pStyle w:val="Compact"/>
        <w:numPr>
          <w:ilvl w:val="2"/>
          <w:numId w:val="1007"/>
        </w:numPr>
      </w:pPr>
      <w:r>
        <w:t xml:space="preserve">pareja estable,</w:t>
      </w:r>
    </w:p>
    <w:p>
      <w:pPr>
        <w:pStyle w:val="Compact"/>
        <w:numPr>
          <w:ilvl w:val="2"/>
          <w:numId w:val="1007"/>
        </w:numPr>
      </w:pPr>
      <w:r>
        <w:t xml:space="preserve">etnia,</w:t>
      </w:r>
    </w:p>
    <w:p>
      <w:pPr>
        <w:pStyle w:val="Compact"/>
        <w:numPr>
          <w:ilvl w:val="2"/>
          <w:numId w:val="1007"/>
        </w:numPr>
      </w:pPr>
      <w:r>
        <w:t xml:space="preserve">gestas previas,</w:t>
      </w:r>
    </w:p>
    <w:p>
      <w:pPr>
        <w:pStyle w:val="Compact"/>
        <w:numPr>
          <w:ilvl w:val="2"/>
          <w:numId w:val="1007"/>
        </w:numPr>
      </w:pPr>
      <w:r>
        <w:t xml:space="preserve">partos previos,</w:t>
      </w:r>
    </w:p>
    <w:p>
      <w:pPr>
        <w:pStyle w:val="Compact"/>
        <w:numPr>
          <w:ilvl w:val="2"/>
          <w:numId w:val="1007"/>
        </w:numPr>
      </w:pPr>
      <w:r>
        <w:t xml:space="preserve">cesáreas previas,</w:t>
      </w:r>
    </w:p>
    <w:p>
      <w:pPr>
        <w:pStyle w:val="Compact"/>
        <w:numPr>
          <w:ilvl w:val="2"/>
          <w:numId w:val="1007"/>
        </w:numPr>
      </w:pPr>
      <w:r>
        <w:t xml:space="preserve">embarazo planeado,</w:t>
      </w:r>
    </w:p>
    <w:p>
      <w:pPr>
        <w:pStyle w:val="Compact"/>
        <w:numPr>
          <w:ilvl w:val="2"/>
          <w:numId w:val="1007"/>
        </w:numPr>
      </w:pPr>
      <w:r>
        <w:t xml:space="preserve">uso de anticonceptivos,</w:t>
      </w:r>
    </w:p>
    <w:p>
      <w:pPr>
        <w:pStyle w:val="Compact"/>
        <w:numPr>
          <w:ilvl w:val="2"/>
          <w:numId w:val="1007"/>
        </w:numPr>
      </w:pPr>
      <w:r>
        <w:t xml:space="preserve">número de consultas prenatales,</w:t>
      </w:r>
    </w:p>
    <w:p>
      <w:pPr>
        <w:pStyle w:val="Compact"/>
        <w:numPr>
          <w:ilvl w:val="2"/>
          <w:numId w:val="1007"/>
        </w:numPr>
      </w:pPr>
      <w:r>
        <w:t xml:space="preserve">tipo de parto,</w:t>
      </w:r>
    </w:p>
    <w:p>
      <w:pPr>
        <w:pStyle w:val="Compact"/>
        <w:numPr>
          <w:ilvl w:val="2"/>
          <w:numId w:val="1007"/>
        </w:numPr>
      </w:pPr>
      <w:r>
        <w:t xml:space="preserve">cesárea.</w:t>
      </w:r>
    </w:p>
    <w:p>
      <w:pPr>
        <w:pStyle w:val="Compact"/>
        <w:numPr>
          <w:ilvl w:val="1"/>
          <w:numId w:val="1006"/>
        </w:numPr>
      </w:pPr>
      <w:r>
        <w:t xml:space="preserve">Dentro de cada grupo, calcular un</w:t>
      </w:r>
      <w:r>
        <w:t xml:space="preserve"> </w:t>
      </w:r>
      <w:r>
        <w:rPr>
          <w:b/>
          <w:bCs/>
        </w:rPr>
        <w:t xml:space="preserve">cluster de edad gestacional</w:t>
      </w:r>
      <w:r>
        <w:t xml:space="preserve">.</w:t>
      </w:r>
    </w:p>
    <w:p>
      <w:pPr>
        <w:pStyle w:val="Compact"/>
        <w:numPr>
          <w:ilvl w:val="1"/>
          <w:numId w:val="1006"/>
        </w:numPr>
      </w:pPr>
      <w:r>
        <w:t xml:space="preserve">Si la diferencia de edad gestacional entre registros era</w:t>
      </w:r>
      <w:r>
        <w:t xml:space="preserve"> </w:t>
      </w:r>
      <w:r>
        <w:rPr>
          <w:b/>
          <w:bCs/>
        </w:rPr>
        <w:t xml:space="preserve">≥ 3 semanas</w:t>
      </w:r>
      <w:r>
        <w:t xml:space="preserve">, se consideraban</w:t>
      </w:r>
      <w:r>
        <w:t xml:space="preserve"> </w:t>
      </w:r>
      <w:r>
        <w:rPr>
          <w:b/>
          <w:bCs/>
        </w:rPr>
        <w:t xml:space="preserve">eventos obstétricos distintos</w:t>
      </w:r>
      <w:r>
        <w:t xml:space="preserve">.</w:t>
      </w:r>
    </w:p>
    <w:p>
      <w:pPr>
        <w:pStyle w:val="Compact"/>
        <w:numPr>
          <w:ilvl w:val="1"/>
          <w:numId w:val="1006"/>
        </w:numPr>
      </w:pPr>
      <w:r>
        <w:t xml:space="preserve">Si la diferencia era</w:t>
      </w:r>
      <w:r>
        <w:t xml:space="preserve"> </w:t>
      </w:r>
      <w:r>
        <w:rPr>
          <w:b/>
          <w:bCs/>
        </w:rPr>
        <w:t xml:space="preserve">&lt; 3 semanas</w:t>
      </w:r>
      <w:r>
        <w:t xml:space="preserve">, se conservaba un</w:t>
      </w:r>
      <w:r>
        <w:t xml:space="preserve"> </w:t>
      </w:r>
      <w:r>
        <w:rPr>
          <w:b/>
          <w:bCs/>
        </w:rPr>
        <w:t xml:space="preserve">único evento materno</w:t>
      </w:r>
      <w:r>
        <w:t xml:space="preserve">.</w:t>
      </w:r>
    </w:p>
    <w:p>
      <w:pPr>
        <w:pStyle w:val="Compact"/>
        <w:numPr>
          <w:ilvl w:val="0"/>
          <w:numId w:val="1005"/>
        </w:numPr>
      </w:pPr>
      <w:r>
        <w:t xml:space="preserve">La llave se eligió porque no existía un identificador único de parto o admisión y combina atributos maternos, antecedentes y características de la atención que debían coincidir para considerar dos filas como el mismo evento. El umbral de tres semanas tolera diferencias pequeñas de medición o digitación de la edad gestacional entre hermanos, pero separa discrepancias incompatibles con una misma gestación.</w:t>
      </w:r>
    </w:p>
    <w:p>
      <w:pPr>
        <w:pStyle w:val="Compact"/>
        <w:numPr>
          <w:ilvl w:val="0"/>
          <w:numId w:val="1005"/>
        </w:numPr>
      </w:pPr>
      <w:r>
        <w:t xml:space="preserve">La sensibilidad incluyó cuatro especificaciones: llave exacta y tolerancias de 1, 2 y 3 semanas. La llave exacta consolidó 139 registros y produjo 7.048 eventos obstétricos finales; la tolerancia de una semana consolidó 140 registros y produjo 7.047 eventos; la de dos semanas consolidó 146 registros y produjo 7.041 eventos; y la regla principal de tres semanas consolidó 152 registros y produjo 7.035 eventos finales. Los eventos clasificados como embarazos múltiples fueron 258, 257, 251 y 245, respectivamente. Por tanto, la muestra principal de 7.035 eventos corresponde específicamente a la regla de tres semanas. Los resultados reproducibles se encuentran en</w:t>
      </w:r>
      <w:r>
        <w:t xml:space="preserve"> </w:t>
      </w:r>
      <w:r>
        <w:rPr>
          <w:rStyle w:val="VerbatimChar"/>
        </w:rPr>
        <w:t xml:space="preserve">output/reconciliation/sensibilidad_linkage_CORREGIDA.csv</w:t>
      </w:r>
      <w:r>
        <w:t xml:space="preserve">.</w:t>
      </w:r>
    </w:p>
    <w:p>
      <w:pPr>
        <w:pStyle w:val="Compact"/>
        <w:numPr>
          <w:ilvl w:val="0"/>
          <w:numId w:val="1005"/>
        </w:numPr>
      </w:pPr>
      <w:r>
        <w:t xml:space="preserve">El procedimiento redujo el sobreconteo atribuible a registros múltiples y produjo una muestra consistente con la unidad de análisis definida; no obstante, debido a la ausencia de un identificador único y al carácter determinístico del linkage, no puede excluirse completamente clasificación residual.</w:t>
      </w:r>
    </w:p>
    <w:bookmarkEnd w:id="21"/>
    <w:bookmarkStart w:id="22" w:name="terminología-de-la-unidad-de-análisis"/>
    <w:p>
      <w:pPr>
        <w:pStyle w:val="Heading2"/>
      </w:pPr>
      <w:r>
        <w:t xml:space="preserve">3. Terminología de la unidad de análisis</w:t>
      </w:r>
    </w:p>
    <w:p>
      <w:pPr>
        <w:pStyle w:val="FirstParagraph"/>
      </w:pPr>
      <w:r>
        <w:rPr>
          <w:b/>
          <w:bCs/>
        </w:rPr>
        <w:t xml:space="preserve">Comentario del editor:</w:t>
      </w:r>
    </w:p>
    <w:p>
      <w:pPr>
        <w:pStyle w:val="BodyText"/>
      </w:pPr>
      <w:r>
        <w:rPr>
          <w:b/>
          <w:bCs/>
        </w:rPr>
        <w:t xml:space="preserve">Problema:</w:t>
      </w:r>
      <w:r>
        <w:t xml:space="preserve"> </w:t>
      </w:r>
      <w:r>
        <w:t xml:space="preserve">La unidad se define como evento obstétrico materno, pero el flujograma utiliza</w:t>
      </w:r>
      <w:r>
        <w:t xml:space="preserve"> </w:t>
      </w:r>
      <w:r>
        <w:t xml:space="preserve">“</w:t>
      </w:r>
      <w:r>
        <w:t xml:space="preserve">madre adolescente</w:t>
      </w:r>
      <w:r>
        <w:t xml:space="preserve">”</w:t>
      </w:r>
      <w:r>
        <w:t xml:space="preserve"> </w:t>
      </w:r>
      <w:r>
        <w:t xml:space="preserve">y los Resultados informan</w:t>
      </w:r>
      <w:r>
        <w:t xml:space="preserve"> </w:t>
      </w:r>
      <w:r>
        <w:t xml:space="preserve">“</w:t>
      </w:r>
      <w:r>
        <w:t xml:space="preserve">7.035 adolescentes</w:t>
      </w:r>
      <w:r>
        <w:t xml:space="preserve">”</w:t>
      </w:r>
      <w:r>
        <w:t xml:space="preserve">. Dado que una misma adolescente puede haber contribuido con más de un evento a lo largo del período, estas expresiones no son equivalentes.</w:t>
      </w:r>
    </w:p>
    <w:p>
      <w:pPr>
        <w:pStyle w:val="BodyText"/>
      </w:pPr>
      <w:r>
        <w:rPr>
          <w:b/>
          <w:bCs/>
        </w:rPr>
        <w:t xml:space="preserve">Revisión obligatoria:</w:t>
      </w:r>
      <w:r>
        <w:t xml:space="preserve"> </w:t>
      </w:r>
      <w:r>
        <w:t xml:space="preserve">Usar de forma consistente</w:t>
      </w:r>
      <w:r>
        <w:t xml:space="preserve"> </w:t>
      </w:r>
      <w:r>
        <w:t xml:space="preserve">“</w:t>
      </w:r>
      <w:r>
        <w:t xml:space="preserve">7.035 eventos obstétricos de adolescentes</w:t>
      </w:r>
      <w:r>
        <w:t xml:space="preserve">”</w:t>
      </w:r>
      <w:r>
        <w:t xml:space="preserve"> </w:t>
      </w:r>
      <w:r>
        <w:t xml:space="preserve">y</w:t>
      </w:r>
      <w:r>
        <w:t xml:space="preserve"> </w:t>
      </w:r>
      <w:r>
        <w:t xml:space="preserve">“</w:t>
      </w:r>
      <w:r>
        <w:t xml:space="preserve">unidad de análisis: evento obstétrico materno</w:t>
      </w:r>
      <w:r>
        <w:t xml:space="preserve">”</w:t>
      </w:r>
      <w:r>
        <w:t xml:space="preserve">. Explicar que no fue posible identificar recurrencias longitudinales de una misma persona y discutir la posible dependencia residual entre observaciones.</w:t>
      </w:r>
    </w:p>
    <w:p>
      <w:pPr>
        <w:pStyle w:val="BodyText"/>
      </w:pPr>
      <w:r>
        <w:rPr>
          <w:b/>
          <w:bCs/>
        </w:rPr>
        <w:t xml:space="preserve">Respuesta de los autores:</w:t>
      </w:r>
      <w:r>
        <w:t xml:space="preserve"> </w:t>
      </w:r>
      <w:r>
        <w:t xml:space="preserve">Agradecemos esta observación. Reconocemos que la versión anterior utilizó de manera inconsistente expresiones referidas a personas y a eventos. La unidad de análisis fue el evento obstétrico materno, no la adolescente individual.</w:t>
      </w:r>
    </w:p>
    <w:p>
      <w:pPr>
        <w:pStyle w:val="BodyText"/>
      </w:pPr>
      <w:r>
        <w:t xml:space="preserve">La formulación previa podía sugerir que los 7.035 registros analíticos equivalían a 7.035 personas únicas. Se corrigió la terminología en el Resumen, los Resultados, Métodos, Limitaciones, el flujograma y las notas de figura para referirse sistemáticamente a eventos obstétricos maternos.</w:t>
      </w:r>
    </w:p>
    <w:p>
      <w:pPr>
        <w:pStyle w:val="BodyText"/>
      </w:pPr>
      <w:r>
        <w:t xml:space="preserve">Se adoptó la formulación:</w:t>
      </w:r>
      <w:r>
        <w:t xml:space="preserve"> </w:t>
      </w:r>
      <w:r>
        <w:t xml:space="preserve">“</w:t>
      </w:r>
      <w:r>
        <w:t xml:space="preserve">Se analizaron 7.035 eventos obstétricos de adolescentes</w:t>
      </w:r>
      <w:r>
        <w:t xml:space="preserve">”</w:t>
      </w:r>
      <w:r>
        <w:t xml:space="preserve"> </w:t>
      </w:r>
      <w:r>
        <w:t xml:space="preserve">y</w:t>
      </w:r>
      <w:r>
        <w:t xml:space="preserve"> </w:t>
      </w:r>
      <w:r>
        <w:t xml:space="preserve">“</w:t>
      </w:r>
      <w:r>
        <w:t xml:space="preserve">La unidad de análisis fue el evento obstétrico materno</w:t>
      </w:r>
      <w:r>
        <w:t xml:space="preserve">”</w:t>
      </w:r>
      <w:r>
        <w:t xml:space="preserve">. No se dispuso de un identificador personal longitudinal que permitiera determinar si una misma adolescente contribuyó con más de un evento obstétrico durante el período 2009–junio de 2024. Por ello, los registros finales se interpretaron como eventos obstétricos y no como 7.035 personas distintas.</w:t>
      </w:r>
    </w:p>
    <w:p>
      <w:pPr>
        <w:pStyle w:val="BodyText"/>
      </w:pPr>
      <w:r>
        <w:t xml:space="preserve">En consecuencia, no pudo descartarse una posible dependencia residual entre observaciones correspondientes a eventos recurrentes no identificables de una misma persona. Esta limitación se incorporó en la sección de Limitaciones, sin afirmar que la dependencia se hubiera demostrado ni que se hubiera cuantificado.</w:t>
      </w:r>
    </w:p>
    <w:bookmarkEnd w:id="22"/>
    <w:bookmarkStart w:id="23" w:name="indicador-de-rezago-escolar"/>
    <w:p>
      <w:pPr>
        <w:pStyle w:val="Heading2"/>
      </w:pPr>
      <w:r>
        <w:t xml:space="preserve">4. Indicador de rezago escolar</w:t>
      </w:r>
    </w:p>
    <w:p>
      <w:pPr>
        <w:pStyle w:val="FirstParagraph"/>
      </w:pPr>
      <w:r>
        <w:rPr>
          <w:b/>
          <w:bCs/>
        </w:rPr>
        <w:t xml:space="preserve">Comentario del editor:</w:t>
      </w:r>
    </w:p>
    <w:p>
      <w:pPr>
        <w:pStyle w:val="BodyText"/>
      </w:pPr>
      <w:r>
        <w:rPr>
          <w:b/>
          <w:bCs/>
        </w:rPr>
        <w:t xml:space="preserve">Problema:</w:t>
      </w:r>
      <w:r>
        <w:t xml:space="preserve"> </w:t>
      </w:r>
      <w:r>
        <w:t xml:space="preserve">El nuevo indicador constituye una mejora importante, pero el manuscrito invierte la dirección del posible error: si el rezago se calcula como años esperados menos años aprobados, subestimar los años esperados reduce —no aumenta— el rezago estimado.</w:t>
      </w:r>
    </w:p>
    <w:p>
      <w:pPr>
        <w:pStyle w:val="BodyText"/>
      </w:pPr>
      <w:r>
        <w:rPr>
          <w:b/>
          <w:bCs/>
        </w:rPr>
        <w:t xml:space="preserve">Revisión obligatoria:</w:t>
      </w:r>
      <w:r>
        <w:t xml:space="preserve"> </w:t>
      </w:r>
      <w:r>
        <w:t xml:space="preserve">Corregir esta afirmación en Métodos y Limitaciones; presentar una tabla con los años esperados por edad; justificar la regla</w:t>
      </w:r>
      <w:r>
        <w:t xml:space="preserve"> </w:t>
      </w:r>
      <w:r>
        <w:t xml:space="preserve">“</w:t>
      </w:r>
      <w:r>
        <w:t xml:space="preserve">edad menos seis</w:t>
      </w:r>
      <w:r>
        <w:t xml:space="preserve">”</w:t>
      </w:r>
      <w:r>
        <w:t xml:space="preserve">; realizar sensibilidad con una regla alternativa plausible; describir el impacto de la reforma educativa; y reconocer que la escolaridad registrada en el parto puede haber sido afectada por interrupción escolar durante la propia gestación.</w:t>
      </w:r>
    </w:p>
    <w:p>
      <w:pPr>
        <w:pStyle w:val="BodyText"/>
      </w:pPr>
      <w:r>
        <w:rPr>
          <w:b/>
          <w:bCs/>
        </w:rPr>
        <w:t xml:space="preserve">Respuesta de los autores:</w:t>
      </w:r>
      <w:r>
        <w:t xml:space="preserve"> </w:t>
      </w:r>
      <w:r>
        <w:t xml:space="preserve">Agradecemos la observación. Corregimos la dirección del posible error: como el rezago se define como años esperados menos años aprobados, subestimar los años esperados disminuye el rezago calculado y puede subestimar el verdadero rezago. Documentamos la regla principal exactamente como se ejecuta:</w:t>
      </w:r>
      <w:r>
        <w:t xml:space="preserve"> </w:t>
      </w:r>
      <w:r>
        <w:rPr>
          <w:rStyle w:val="VerbatimChar"/>
        </w:rPr>
        <w:t xml:space="preserve">min(max(edad materna − 6, 0), 12)</w:t>
      </w:r>
      <w:r>
        <w:t xml:space="preserve">. Esta regla es una aproximación operacional de ingreso regular alrededor de los seis años, no una reconstrucción de la trayectoria educativa individual.</w:t>
      </w:r>
    </w:p>
    <w:p>
      <w:pPr>
        <w:pStyle w:val="BodyText"/>
      </w:pPr>
      <w:r>
        <w:t xml:space="preserve">Presentamos los años esperados para cada edad de 10 a 19 años y realizamos una sensibilidad predefinida con</w:t>
      </w:r>
      <w:r>
        <w:t xml:space="preserve"> </w:t>
      </w:r>
      <w:r>
        <w:rPr>
          <w:rStyle w:val="VerbatimChar"/>
        </w:rPr>
        <w:t xml:space="preserve">min(max(edad materna − 5, 0), 12)</w:t>
      </w:r>
      <w:r>
        <w:t xml:space="preserve">, manteniendo el mismo cálculo de años aprobados, tope, datos faltantes, definición binaria y modelo Bernoulli-logit con estandarización posterior. También incorporamos las limitaciones derivadas de los cambios educativos durante 2009–2024 y de que la escolaridad registrada al parto puede reflejar interrupciones ocurridas durante la gestación; por ello, el rezago no se interpreta necesariamente como completamente anterior al embarazo.</w:t>
      </w:r>
    </w:p>
    <w:p>
      <w:pPr>
        <w:pStyle w:val="BodyText"/>
      </w:pPr>
      <w:r>
        <w:rPr>
          <w:b/>
          <w:bCs/>
        </w:rPr>
        <w:t xml:space="preserve">Resultados de sensibilidad:</w:t>
      </w:r>
      <w:r>
        <w:t xml:space="preserve"> </w:t>
      </w:r>
      <w:r>
        <w:t xml:space="preserve">El análisis principal se reprodujo con n=7.027, prevalencias de 34,6 % en 10–14 años y 16,6 % en 15–19 años, y RP=2,07 (ICr95 %: 1,78–2,41). Con edad menos cinco y tope de 12 años, las prevalencias fueron 41,6 % y 18,2 %, respectivamente, y la RP fue 2,28 (ICr95 %: 1,99–2,59). La dirección se mantuvo y la magnitud relativa aumentó moderadamente. Los diagnósticos de la sensibilidad fueron adecuados: R-hat máximo=1,0008; ESS bulk mínimo=5.791; ESS tail mínimo=5.665; cero divergencias; profundidad máxima observada=4; ninguna iteración alcanzó el máximo configurado de 15; E-BFMI mínimo=0,947; y 0/3 estadísticas PPC fuera del ICr95 %.</w:t>
      </w:r>
    </w:p>
    <w:p>
      <w:pPr>
        <w:pStyle w:val="BodyText"/>
      </w:pPr>
      <w:r>
        <w:rPr>
          <w:b/>
          <w:bCs/>
        </w:rPr>
        <w:t xml:space="preserve">Ubicación exacta de los cambios:</w:t>
      </w:r>
    </w:p>
    <w:p>
      <w:pPr>
        <w:pStyle w:val="Compact"/>
        <w:numPr>
          <w:ilvl w:val="0"/>
          <w:numId w:val="1008"/>
        </w:numPr>
      </w:pPr>
      <w:r>
        <w:rPr>
          <w:b/>
          <w:bCs/>
        </w:rPr>
        <w:t xml:space="preserve">Métodos:</w:t>
      </w:r>
      <w:r>
        <w:t xml:space="preserve"> </w:t>
      </w:r>
      <w:r>
        <w:t xml:space="preserve">fórmula, tope, justificación operacional y regla alternativa.</w:t>
      </w:r>
    </w:p>
    <w:p>
      <w:pPr>
        <w:pStyle w:val="Compact"/>
        <w:numPr>
          <w:ilvl w:val="0"/>
          <w:numId w:val="1008"/>
        </w:numPr>
      </w:pPr>
      <w:r>
        <w:rPr>
          <w:b/>
          <w:bCs/>
        </w:rPr>
        <w:t xml:space="preserve">Resultados:</w:t>
      </w:r>
      <w:r>
        <w:t xml:space="preserve"> </w:t>
      </w:r>
      <w:r>
        <w:t xml:space="preserve">reproducción del resultado principal y sensibilidad.</w:t>
      </w:r>
    </w:p>
    <w:p>
      <w:pPr>
        <w:pStyle w:val="Compact"/>
        <w:numPr>
          <w:ilvl w:val="0"/>
          <w:numId w:val="1008"/>
        </w:numPr>
      </w:pPr>
      <w:r>
        <w:rPr>
          <w:b/>
          <w:bCs/>
        </w:rPr>
        <w:t xml:space="preserve">Discusión/Limitaciones:</w:t>
      </w:r>
      <w:r>
        <w:t xml:space="preserve"> </w:t>
      </w:r>
      <w:r>
        <w:t xml:space="preserve">dirección del posible error, reforma educativa y temporalidad de la escolaridad registrada.</w:t>
      </w:r>
    </w:p>
    <w:p>
      <w:pPr>
        <w:pStyle w:val="Compact"/>
        <w:numPr>
          <w:ilvl w:val="0"/>
          <w:numId w:val="1008"/>
        </w:numPr>
      </w:pPr>
      <w:r>
        <w:rPr>
          <w:b/>
          <w:bCs/>
        </w:rPr>
        <w:t xml:space="preserve">Tabla S14:</w:t>
      </w:r>
      <w:r>
        <w:t xml:space="preserve"> </w:t>
      </w:r>
      <w:r>
        <w:t xml:space="preserve">años esperados por edad y comparación principal-sensibilidad.</w:t>
      </w:r>
    </w:p>
    <w:p>
      <w:pPr>
        <w:pStyle w:val="Compact"/>
        <w:numPr>
          <w:ilvl w:val="0"/>
          <w:numId w:val="1008"/>
        </w:numPr>
      </w:pPr>
      <w:r>
        <w:rPr>
          <w:b/>
          <w:bCs/>
        </w:rPr>
        <w:t xml:space="preserve">Código:</w:t>
      </w:r>
      <w:r>
        <w:t xml:space="preserve"> </w:t>
      </w:r>
      <w:r>
        <w:rPr>
          <w:rStyle w:val="VerbatimChar"/>
        </w:rPr>
        <w:t xml:space="preserve">R/08_punto4_sensibilidad_rezago_escolar.R</w:t>
      </w:r>
      <w:r>
        <w:t xml:space="preserve">.</w:t>
      </w:r>
    </w:p>
    <w:p>
      <w:pPr>
        <w:pStyle w:val="Compact"/>
        <w:numPr>
          <w:ilvl w:val="0"/>
          <w:numId w:val="1008"/>
        </w:numPr>
      </w:pPr>
      <w:r>
        <w:rPr>
          <w:b/>
          <w:bCs/>
        </w:rPr>
        <w:t xml:space="preserve">Outputs:</w:t>
      </w:r>
      <w:r>
        <w:t xml:space="preserve"> </w:t>
      </w:r>
      <w:r>
        <w:rPr>
          <w:rStyle w:val="VerbatimChar"/>
        </w:rPr>
        <w:t xml:space="preserve">output/rezago_escolar/</w:t>
      </w:r>
      <w:r>
        <w:t xml:space="preserve">.</w:t>
      </w:r>
    </w:p>
    <w:bookmarkEnd w:id="23"/>
    <w:bookmarkStart w:id="24" w:name="Xdfc0347d3a32fe89b92e3517591338a1917a9c2"/>
    <w:p>
      <w:pPr>
        <w:pStyle w:val="Heading2"/>
      </w:pPr>
      <w:r>
        <w:t xml:space="preserve">5. Inconsistencia sobre el modelo ordinal de rezago escolar</w:t>
      </w:r>
    </w:p>
    <w:p>
      <w:pPr>
        <w:pStyle w:val="FirstParagraph"/>
      </w:pPr>
      <w:r>
        <w:rPr>
          <w:b/>
          <w:bCs/>
        </w:rPr>
        <w:t xml:space="preserve">Comentario del editor:</w:t>
      </w:r>
    </w:p>
    <w:p>
      <w:pPr>
        <w:pStyle w:val="BodyText"/>
      </w:pPr>
      <w:r>
        <w:rPr>
          <w:b/>
          <w:bCs/>
        </w:rPr>
        <w:t xml:space="preserve">Problema:</w:t>
      </w:r>
      <w:r>
        <w:t xml:space="preserve"> </w:t>
      </w:r>
      <w:r>
        <w:t xml:space="preserve">Los Métodos afirman que el rezago escolar fue analizado mediante modelo ordinal, pero el rezago aparece como variable binaria, la Tabla S1 muestra solo dos categorías y no se presenta ningún resultado ordinal correspondiente.</w:t>
      </w:r>
    </w:p>
    <w:p>
      <w:pPr>
        <w:pStyle w:val="BodyText"/>
      </w:pPr>
      <w:r>
        <w:rPr>
          <w:b/>
          <w:bCs/>
        </w:rPr>
        <w:t xml:space="preserve">Revisión obligatoria:</w:t>
      </w:r>
      <w:r>
        <w:t xml:space="preserve"> </w:t>
      </w:r>
      <w:r>
        <w:t xml:space="preserve">Retirar la afirmación de modelo ordinal para rezago escolar o presentar de forma completa las categorías ordinales, puntos de corte, parámetros, diagnósticos y resultados del modelo. El texto, las tablas y el material suplementario deben concordar.</w:t>
      </w:r>
    </w:p>
    <w:p>
      <w:pPr>
        <w:pStyle w:val="BodyText"/>
      </w:pPr>
      <w:r>
        <w:rPr>
          <w:b/>
          <w:bCs/>
        </w:rPr>
        <w:t xml:space="preserve">Respuesta de los autores:</w:t>
      </w:r>
      <w:r>
        <w:t xml:space="preserve"> </w:t>
      </w:r>
      <w:r>
        <w:t xml:space="preserve">Agradecemos la observación. Se retiró la afirmación de que el rezago escolar fue analizado mediante un modelo ordinal. El indicador de rezago escolar se mantuvo como variable binaria, definida como ausente (0–1 año) o presente (≥2 años), y fue analizado únicamente mediante un modelo Bernoulli-logit, en concordancia con la Tabla 2 y la Tabla S1.</w:t>
      </w:r>
    </w:p>
    <w:p>
      <w:pPr>
        <w:pStyle w:val="BodyText"/>
      </w:pPr>
      <w:r>
        <w:t xml:space="preserve">El modelo ordinal se reservó exclusivamente para la adecuación del control prenatal, que sí se definió mediante cuatro categorías ordenadas. No se modificaron las estimaciones del rezago escolar, porque el análisis presentado en el manuscrito y en las tablas ya correspondía al modelo binario Bernoulli-logit.</w:t>
      </w:r>
    </w:p>
    <w:p>
      <w:pPr>
        <w:pStyle w:val="BodyText"/>
      </w:pPr>
      <w:r>
        <w:rPr>
          <w:b/>
          <w:bCs/>
        </w:rPr>
        <w:t xml:space="preserve">Ubicación exacta de los cambios:</w:t>
      </w:r>
    </w:p>
    <w:p>
      <w:pPr>
        <w:pStyle w:val="Compact"/>
        <w:numPr>
          <w:ilvl w:val="0"/>
          <w:numId w:val="1009"/>
        </w:numPr>
      </w:pPr>
      <w:r>
        <w:rPr>
          <w:b/>
          <w:bCs/>
        </w:rPr>
        <w:t xml:space="preserve">Métodos:</w:t>
      </w:r>
      <w:r>
        <w:t xml:space="preserve"> </w:t>
      </w:r>
      <w:r>
        <w:t xml:space="preserve">se eliminó la referencia al modelo ordinal para el rezago escolar y se aclaró que se analizó únicamente como variable binaria mediante un modelo Bernoulli-logit.</w:t>
      </w:r>
    </w:p>
    <w:p>
      <w:pPr>
        <w:pStyle w:val="Compact"/>
        <w:numPr>
          <w:ilvl w:val="0"/>
          <w:numId w:val="1009"/>
        </w:numPr>
      </w:pPr>
      <w:r>
        <w:rPr>
          <w:b/>
          <w:bCs/>
        </w:rPr>
        <w:t xml:space="preserve">Material suplementario:</w:t>
      </w:r>
      <w:r>
        <w:t xml:space="preserve"> </w:t>
      </w:r>
      <w:r>
        <w:t xml:space="preserve">se mantuvo la Tabla S1 con las dos categorías del indicador binario, sin añadir categorías ordinales inexistentes.</w:t>
      </w:r>
    </w:p>
    <w:p>
      <w:pPr>
        <w:pStyle w:val="Compact"/>
        <w:numPr>
          <w:ilvl w:val="0"/>
          <w:numId w:val="1009"/>
        </w:numPr>
      </w:pPr>
      <w:r>
        <w:rPr>
          <w:b/>
          <w:bCs/>
        </w:rPr>
        <w:t xml:space="preserve">Resultados y Tabla 2:</w:t>
      </w:r>
      <w:r>
        <w:t xml:space="preserve"> </w:t>
      </w:r>
      <w:r>
        <w:t xml:space="preserve">se conservaron las estimaciones previamente presentadas, porque ya correspondían al análisis binario.</w:t>
      </w:r>
    </w:p>
    <w:bookmarkEnd w:id="24"/>
    <w:bookmarkStart w:id="25" w:name="adecuación-de-la-atención-prenatal"/>
    <w:p>
      <w:pPr>
        <w:pStyle w:val="Heading2"/>
      </w:pPr>
      <w:r>
        <w:t xml:space="preserve">6. Adecuación de la atención prenatal</w:t>
      </w:r>
    </w:p>
    <w:p>
      <w:pPr>
        <w:pStyle w:val="FirstParagraph"/>
      </w:pPr>
      <w:r>
        <w:rPr>
          <w:b/>
          <w:bCs/>
        </w:rPr>
        <w:t xml:space="preserve">Comentario del editor:</w:t>
      </w:r>
      <w:r>
        <w:t xml:space="preserve"> </w:t>
      </w:r>
      <w:r>
        <w:t xml:space="preserve">Se solicitó aclarar la construcción de la adecuación de la atención prenatal, definir la jerarquía entre el análisis binario y el ordinal, documentar el modelo ordinal y sus thresholds, y evaluar el supuesto de odds proporcionales.</w:t>
      </w:r>
    </w:p>
    <w:p>
      <w:pPr>
        <w:pStyle w:val="BodyText"/>
      </w:pPr>
      <w:r>
        <w:rPr>
          <w:b/>
          <w:bCs/>
        </w:rPr>
        <w:t xml:space="preserve">Respuesta de los autores:</w:t>
      </w:r>
      <w:r>
        <w:t xml:space="preserve"> </w:t>
      </w:r>
      <w:r>
        <w:t xml:space="preserve">Aclaramos que el análisis principal es</w:t>
      </w:r>
      <w:r>
        <w:t xml:space="preserve"> </w:t>
      </w:r>
      <w:r>
        <w:rPr>
          <w:b/>
          <w:bCs/>
        </w:rPr>
        <w:t xml:space="preserve">Control prenatal adecuado: sí/no</w:t>
      </w:r>
      <w:r>
        <w:t xml:space="preserve">, definido como ≥80 % frente a &lt;80 % de los contactos esperados según la edad gestacional al parto. La adecuación ordinal de cuatro categorías se mantiene como análisis secundario. Actualizamos el Resumen/Abstract, Métodos, Resultados, la Tabla 2 y el Material Suplementario para reflejar de forma consistente esta jerarquía, sin modificar los análisis ni las cifras verificadas.</w:t>
      </w:r>
    </w:p>
    <w:p>
      <w:pPr>
        <w:pStyle w:val="BodyText"/>
      </w:pPr>
      <w:r>
        <w:rPr>
          <w:b/>
          <w:bCs/>
        </w:rPr>
        <w:t xml:space="preserve">Análisis realizado:</w:t>
      </w:r>
      <w:r>
        <w:t xml:space="preserve"> </w:t>
      </w:r>
      <w:r>
        <w:t xml:space="preserve">Los contactos esperados se asignaron acumulativamente según la edad gestacional: 1 para &lt;20 semanas; 2 para 20–&lt;26; 3 para 26–&lt;30; 4 para 30–&lt;34; 5 para 34–&lt;36; 6 para 36–&lt;38; 7 para 38–&lt;40; y 8 para ≥40 semanas. La proporción observados/esperados se clasificó como sin controles (0), inadecuado (&gt;0 y &lt;50 %), intermedio (50 a &lt;80 %) y adecuado (≥80 %). El análisis principal binario se estimó mediante un modelo bayesiano Bernoulli-logit con estandarización posterior para obtener la RP. El análisis secundario utilizó un modelo cumulative-logit con thresholds flexibles para las cuatro categorías ordenadas.</w:t>
      </w:r>
    </w:p>
    <w:p>
      <w:pPr>
        <w:pStyle w:val="BodyText"/>
      </w:pPr>
      <w:r>
        <w:rPr>
          <w:b/>
          <w:bCs/>
        </w:rPr>
        <w:t xml:space="preserve">Resultado principal binario:</w:t>
      </w:r>
      <w:r>
        <w:t xml:space="preserve"> </w:t>
      </w:r>
      <w:r>
        <w:t xml:space="preserve">En adolescentes de 10–14 frente a 15–19 años, el control prenatal adecuado fue menos frecuente:</w:t>
      </w:r>
      <w:r>
        <w:t xml:space="preserve"> </w:t>
      </w:r>
      <w:r>
        <w:rPr>
          <w:b/>
          <w:bCs/>
        </w:rPr>
        <w:t xml:space="preserve">RP=0,87 (ICr95 %: 0,78–0,95)</w:t>
      </w:r>
      <w:r>
        <w:t xml:space="preserve">; n=6.860 y 4.198 eventos.</w:t>
      </w:r>
    </w:p>
    <w:p>
      <w:pPr>
        <w:pStyle w:val="BodyText"/>
      </w:pPr>
      <w:r>
        <w:rPr>
          <w:b/>
          <w:bCs/>
        </w:rPr>
        <w:t xml:space="preserve">Resultado ordinal secundario:</w:t>
      </w:r>
      <w:r>
        <w:t xml:space="preserve"> </w:t>
      </w:r>
      <w:r>
        <w:t xml:space="preserve">La OR acumulativa para pertenecer a una categoría de mejor adecuación fue</w:t>
      </w:r>
      <w:r>
        <w:t xml:space="preserve"> </w:t>
      </w:r>
      <w:r>
        <w:rPr>
          <w:b/>
          <w:bCs/>
        </w:rPr>
        <w:t xml:space="preserve">0,69 (ICr95 %: 0,56–0,84)</w:t>
      </w:r>
      <w:r>
        <w:t xml:space="preserve">; n=6.860.</w:t>
      </w:r>
    </w:p>
    <w:p>
      <w:pPr>
        <w:pStyle w:val="BodyText"/>
      </w:pPr>
      <w:r>
        <w:rPr>
          <w:b/>
          <w:bCs/>
        </w:rPr>
        <w:t xml:space="preserve">Thresholds:</w:t>
      </w:r>
      <w:r>
        <w:t xml:space="preserve"> </w:t>
      </w:r>
      <w:r>
        <w:t xml:space="preserve">Los tres thresholds del modelo ordinal, resumidos mediante la mediana posterior, fueron:</w:t>
      </w:r>
      <w:r>
        <w:t xml:space="preserve"> </w:t>
      </w:r>
      <w:r>
        <w:rPr>
          <w:b/>
          <w:bCs/>
        </w:rPr>
        <w:t xml:space="preserve">−3,606 (ICr95 %: −3,755 a −3,462)</w:t>
      </w:r>
      <w:r>
        <w:t xml:space="preserve">,</w:t>
      </w:r>
      <w:r>
        <w:t xml:space="preserve"> </w:t>
      </w:r>
      <w:r>
        <w:rPr>
          <w:b/>
          <w:bCs/>
        </w:rPr>
        <w:t xml:space="preserve">−1,851 (−1,920 a −1,783)</w:t>
      </w:r>
      <w:r>
        <w:t xml:space="preserve"> </w:t>
      </w:r>
      <w:r>
        <w:t xml:space="preserve">y</w:t>
      </w:r>
      <w:r>
        <w:t xml:space="preserve"> </w:t>
      </w:r>
      <w:r>
        <w:rPr>
          <w:b/>
          <w:bCs/>
        </w:rPr>
        <w:t xml:space="preserve">−0,476 (−0,525 a −0,426)</w:t>
      </w:r>
      <w:r>
        <w:t xml:space="preserve">. Los diagnósticos fueron adecuados: R-hat máximo=1,0009; ESS bulk mínimo=4.182; ESS tail mínimo=5.184; cero divergencias; profundidad máxima observada=7; y E-BFMI mínimo=0,985.</w:t>
      </w:r>
    </w:p>
    <w:p>
      <w:pPr>
        <w:pStyle w:val="BodyText"/>
      </w:pPr>
      <w:r>
        <w:rPr>
          <w:b/>
          <w:bCs/>
        </w:rPr>
        <w:t xml:space="preserve">Evaluación de odds proporcionales:</w:t>
      </w:r>
      <w:r>
        <w:t xml:space="preserve"> </w:t>
      </w:r>
      <w:r>
        <w:t xml:space="preserve">Se ajustaron tres modelos binarios acumulativos. Los OR fueron</w:t>
      </w:r>
      <w:r>
        <w:t xml:space="preserve"> </w:t>
      </w:r>
      <w:r>
        <w:rPr>
          <w:b/>
          <w:bCs/>
        </w:rPr>
        <w:t xml:space="preserve">0,67 (ICr95 %: 0,40–1,19)</w:t>
      </w:r>
      <w:r>
        <w:t xml:space="preserve"> </w:t>
      </w:r>
      <w:r>
        <w:t xml:space="preserve">para sin controles frente a categorías superiores;</w:t>
      </w:r>
      <w:r>
        <w:t xml:space="preserve"> </w:t>
      </w:r>
      <w:r>
        <w:rPr>
          <w:b/>
          <w:bCs/>
        </w:rPr>
        <w:t xml:space="preserve">0,61 (0,48–0,80)</w:t>
      </w:r>
      <w:r>
        <w:t xml:space="preserve"> </w:t>
      </w:r>
      <w:r>
        <w:t xml:space="preserve">para sin controles + inadecuado frente a intermedio + adecuado; y</w:t>
      </w:r>
      <w:r>
        <w:t xml:space="preserve"> </w:t>
      </w:r>
      <w:r>
        <w:rPr>
          <w:b/>
          <w:bCs/>
        </w:rPr>
        <w:t xml:space="preserve">0,71 (0,58–0,88)</w:t>
      </w:r>
      <w:r>
        <w:t xml:space="preserve"> </w:t>
      </w:r>
      <w:r>
        <w:t xml:space="preserve">para sin controles + inadecuado + intermedio frente a adecuado. Los tres OR fueron cercanos al OR ordinal común y sus intervalos se solaparon con el intervalo del modelo ordinal; por tanto, los resultados fueron compatibles con el supuesto de odds proporcionales.</w:t>
      </w:r>
    </w:p>
    <w:p>
      <w:pPr>
        <w:pStyle w:val="BodyText"/>
      </w:pPr>
      <w:r>
        <w:rPr>
          <w:b/>
          <w:bCs/>
        </w:rPr>
        <w:t xml:space="preserve">Ubicación exacta de los cambios:</w:t>
      </w:r>
    </w:p>
    <w:p>
      <w:pPr>
        <w:pStyle w:val="Compact"/>
        <w:numPr>
          <w:ilvl w:val="0"/>
          <w:numId w:val="1010"/>
        </w:numPr>
      </w:pPr>
      <w:r>
        <w:rPr>
          <w:b/>
          <w:bCs/>
        </w:rPr>
        <w:t xml:space="preserve">Resumen y Abstract:</w:t>
      </w:r>
      <w:r>
        <w:t xml:space="preserve"> </w:t>
      </w:r>
      <w:r>
        <w:t xml:space="preserve">se presenta la RP binaria como resultado principal.</w:t>
      </w:r>
    </w:p>
    <w:p>
      <w:pPr>
        <w:pStyle w:val="Compact"/>
        <w:numPr>
          <w:ilvl w:val="0"/>
          <w:numId w:val="1010"/>
        </w:numPr>
      </w:pPr>
      <w:r>
        <w:rPr>
          <w:b/>
          <w:bCs/>
        </w:rPr>
        <w:t xml:space="preserve">Materiales y métodos, párrafos de utilización y modelado de atención prenatal:</w:t>
      </w:r>
      <w:r>
        <w:t xml:space="preserve"> </w:t>
      </w:r>
      <w:r>
        <w:t xml:space="preserve">se explicitan el algoritmo, las cuatro categorías, la jerarquía analítica, el modelo cumulative-logit y la evaluación de odds proporcionales.</w:t>
      </w:r>
    </w:p>
    <w:p>
      <w:pPr>
        <w:pStyle w:val="Compact"/>
        <w:numPr>
          <w:ilvl w:val="0"/>
          <w:numId w:val="1010"/>
        </w:numPr>
      </w:pPr>
      <w:r>
        <w:rPr>
          <w:b/>
          <w:bCs/>
        </w:rPr>
        <w:t xml:space="preserve">Resultados, apartado</w:t>
      </w:r>
      <w:r>
        <w:rPr>
          <w:b/>
          <w:bCs/>
        </w:rPr>
        <w:t xml:space="preserve"> </w:t>
      </w:r>
      <w:r>
        <w:rPr>
          <w:b/>
          <w:bCs/>
        </w:rPr>
        <w:t xml:space="preserve">“</w:t>
      </w:r>
      <w:r>
        <w:rPr>
          <w:b/>
          <w:bCs/>
        </w:rPr>
        <w:t xml:space="preserve">Atención prenatal</w:t>
      </w:r>
      <w:r>
        <w:rPr>
          <w:b/>
          <w:bCs/>
        </w:rPr>
        <w:t xml:space="preserve">”</w:t>
      </w:r>
      <w:r>
        <w:rPr>
          <w:b/>
          <w:bCs/>
        </w:rPr>
        <w:t xml:space="preserve">:</w:t>
      </w:r>
      <w:r>
        <w:t xml:space="preserve"> </w:t>
      </w:r>
      <w:r>
        <w:t xml:space="preserve">se presenta primero la RP binaria y luego la OR ordinal secundaria, junto con el resumen de la evaluación del supuesto.</w:t>
      </w:r>
    </w:p>
    <w:p>
      <w:pPr>
        <w:pStyle w:val="Compact"/>
        <w:numPr>
          <w:ilvl w:val="0"/>
          <w:numId w:val="1010"/>
        </w:numPr>
      </w:pPr>
      <w:r>
        <w:rPr>
          <w:b/>
          <w:bCs/>
        </w:rPr>
        <w:t xml:space="preserve">Tabla 2:</w:t>
      </w:r>
      <w:r>
        <w:t xml:space="preserve"> </w:t>
      </w:r>
      <w:r>
        <w:t xml:space="preserve">la fila se renombró</w:t>
      </w:r>
      <w:r>
        <w:t xml:space="preserve"> </w:t>
      </w:r>
      <w:r>
        <w:t xml:space="preserve">“</w:t>
      </w:r>
      <w:r>
        <w:t xml:space="preserve">Control prenatal adecuado: sí/no</w:t>
      </w:r>
      <w:r>
        <w:t xml:space="preserve">”</w:t>
      </w:r>
      <w:r>
        <w:t xml:space="preserve"> </w:t>
      </w:r>
      <w:r>
        <w:t xml:space="preserve">y se corrigió su nota.</w:t>
      </w:r>
    </w:p>
    <w:p>
      <w:pPr>
        <w:pStyle w:val="Compact"/>
        <w:numPr>
          <w:ilvl w:val="0"/>
          <w:numId w:val="1010"/>
        </w:numPr>
      </w:pPr>
      <w:r>
        <w:rPr>
          <w:b/>
          <w:bCs/>
        </w:rPr>
        <w:t xml:space="preserve">Tabla S3:</w:t>
      </w:r>
      <w:r>
        <w:t xml:space="preserve"> </w:t>
      </w:r>
      <w:r>
        <w:t xml:space="preserve">se mantiene</w:t>
      </w:r>
      <w:r>
        <w:t xml:space="preserve"> </w:t>
      </w:r>
      <w:r>
        <w:t xml:space="preserve">“</w:t>
      </w:r>
      <w:r>
        <w:t xml:space="preserve">Adecuación ordinal del control prenatal</w:t>
      </w:r>
      <w:r>
        <w:t xml:space="preserve">”</w:t>
      </w:r>
      <w:r>
        <w:t xml:space="preserve"> </w:t>
      </w:r>
      <w:r>
        <w:t xml:space="preserve">como análisis secundario.</w:t>
      </w:r>
    </w:p>
    <w:p>
      <w:pPr>
        <w:pStyle w:val="Compact"/>
        <w:numPr>
          <w:ilvl w:val="0"/>
          <w:numId w:val="1010"/>
        </w:numPr>
      </w:pPr>
      <w:r>
        <w:rPr>
          <w:b/>
          <w:bCs/>
        </w:rPr>
        <w:t xml:space="preserve">Tablas S5–S7:</w:t>
      </w:r>
      <w:r>
        <w:t xml:space="preserve"> </w:t>
      </w:r>
      <w:r>
        <w:t xml:space="preserve">se incorporan, respectivamente, la regla de contactos esperados, los thresholds y diagnósticos del modelo ordinal, y la sensibilidad del supuesto de odds proporcionales.</w:t>
      </w:r>
    </w:p>
    <w:bookmarkEnd w:id="25"/>
    <w:bookmarkStart w:id="26" w:name="Xf7b75ec92309d812f775ab83bb0f1e47bd0603c"/>
    <w:p>
      <w:pPr>
        <w:pStyle w:val="Heading2"/>
      </w:pPr>
      <w:r>
        <w:t xml:space="preserve">7. Modelo gaussiano para número de consultas</w:t>
      </w:r>
    </w:p>
    <w:p>
      <w:pPr>
        <w:pStyle w:val="FirstParagraph"/>
      </w:pPr>
      <w:r>
        <w:rPr>
          <w:b/>
          <w:bCs/>
        </w:rPr>
        <w:t xml:space="preserve">Comentario del editor:</w:t>
      </w:r>
      <w:r>
        <w:t xml:space="preserve"> </w:t>
      </w:r>
      <w:r>
        <w:t xml:space="preserve">El número de consultas es una variable de conteo susceptible a asimetría, acumulaciones y sobredispersión. Se solicitó presentar verificaciones predictivas posteriores específicas, comparar el modelo gaussiano con modelos de Poisson y binomial negativa, mostrar la distribución observada y predicha, informar valores extremos y acumulaciones, y aclarar la interpretación del ajuste por edad gestacional.</w:t>
      </w:r>
    </w:p>
    <w:p>
      <w:pPr>
        <w:pStyle w:val="BodyText"/>
      </w:pPr>
      <w:r>
        <w:rPr>
          <w:b/>
          <w:bCs/>
        </w:rPr>
        <w:t xml:space="preserve">Respuesta de los autores:</w:t>
      </w:r>
      <w:r>
        <w:t xml:space="preserve"> </w:t>
      </w:r>
      <w:r>
        <w:t xml:space="preserve">Evaluamos nuevamente el modelo gaussiano sin eliminarlo a priori y lo comparamos con modelos bayesianos de Poisson y binomial negativa, en versiones no ajustada y ajustada por edad gestacional al parto. La decisión se basó en la naturaleza de conteo del desenlace, las verificaciones predictivas posteriores y LOO, no en la significación estadística. Dado el mejor desempeño predictivo de la binomial negativa, este modelo se adoptó como análisis principal para el número de consultas; Poisson y gaussiano se conservaron como análisis de sensibilidad.</w:t>
      </w:r>
    </w:p>
    <w:p>
      <w:pPr>
        <w:pStyle w:val="BodyText"/>
      </w:pPr>
      <w:r>
        <w:rPr>
          <w:b/>
          <w:bCs/>
        </w:rPr>
        <w:t xml:space="preserve">Distribución observada:</w:t>
      </w:r>
      <w:r>
        <w:t xml:space="preserve"> </w:t>
      </w:r>
      <w:r>
        <w:t xml:space="preserve">La variable</w:t>
      </w:r>
      <w:r>
        <w:t xml:space="preserve"> </w:t>
      </w:r>
      <w:r>
        <w:rPr>
          <w:rStyle w:val="VerbatimChar"/>
        </w:rPr>
        <w:t xml:space="preserve">Número Consultas prenatales</w:t>
      </w:r>
      <w:r>
        <w:t xml:space="preserve"> </w:t>
      </w:r>
      <w:r>
        <w:t xml:space="preserve">tuvo 6.884 observaciones válidas y 151 faltantes. El rango fue 0–20, la media 5,714, la mediana 6, la varianza 7,663 y la desviación estándar 2,768. La relación varianza/media fue 1,341 y la asimetría 0,442. Se registraron 187 ceros (2,72 %), acumulaciones reproducibles en 5, 8 y 12 consultas, y 53 observaciones por encima del límite superior de Tukey de 14. Estos resultados mostraron asimetría moderada, heaping y sobredispersión respecto de Poisson.</w:t>
      </w:r>
    </w:p>
    <w:p>
      <w:pPr>
        <w:pStyle w:val="BodyText"/>
      </w:pPr>
      <w:r>
        <w:rPr>
          <w:b/>
          <w:bCs/>
        </w:rPr>
        <w:t xml:space="preserve">PPC del gaussiano:</w:t>
      </w:r>
      <w:r>
        <w:t xml:space="preserve"> </w:t>
      </w:r>
      <w:r>
        <w:t xml:space="preserve">Aunque el modelo gaussiano reprodujo la media y la varianza globales, 12 de 16 estadísticos predictivos observados quedaron fuera del ICr95 % tanto sin ajuste como con ajuste. El modelo subestimó la proporción de ceros, generó aproximadamente 2 % de predicciones negativas y no reprodujo adecuadamente los extremos ni las acumulaciones principales.</w:t>
      </w:r>
    </w:p>
    <w:p>
      <w:pPr>
        <w:pStyle w:val="BodyText"/>
      </w:pPr>
      <w:r>
        <w:rPr>
          <w:b/>
          <w:bCs/>
        </w:rPr>
        <w:t xml:space="preserve">Comparación de modelos:</w:t>
      </w:r>
      <w:r>
        <w:t xml:space="preserve"> </w:t>
      </w:r>
      <w:r>
        <w:t xml:space="preserve">En el modelo principal binomial negativo, la razón de medias para adolescentes de 10–14 frente a 15–19 años fue 0,902 (ICr95 %: 0,856–0,953) sin ajuste y 0,903 (0,857–0,949) con ajuste por oportunidad acumulada. En Poisson fue 0,902 (0,860–0,943) y 0,903 (0,863–0,945), respectivamente. En el gaussiano, las diferencias de medias fueron −0,561 (−0,854 a −0,272) sin ajuste y −0,546 (−0,828 a −0,275) con ajuste. La dirección y la magnitud relativa fueron concordantes entre familias.</w:t>
      </w:r>
    </w:p>
    <w:p>
      <w:pPr>
        <w:pStyle w:val="BodyText"/>
      </w:pPr>
      <w:r>
        <w:rPr>
          <w:b/>
          <w:bCs/>
        </w:rPr>
        <w:t xml:space="preserve">Resultado de LOO:</w:t>
      </w:r>
      <w:r>
        <w:t xml:space="preserve"> </w:t>
      </w:r>
      <w:r>
        <w:t xml:space="preserve">La binomial negativa obtuvo el mayor ELPD-LOO en ambos conjuntos comparables. Frente a ella, el gaussiano presentó delta ELPD de −9,65 sin ajuste y −27,00 con ajuste; Poisson presentó −167,92 y −91,50, respectivamente. La binomial negativa tuvo 6/16 estadísticos PPC fuera del ICr95 %, frente a 12/16 en el gaussiano. No hubo valores de Pareto-k &gt;0,7. Todos los modelos mostraron convergencia adecuada, con R-hat máximo ≤1,0021 y cero divergencias.</w:t>
      </w:r>
    </w:p>
    <w:p>
      <w:pPr>
        <w:pStyle w:val="BodyText"/>
      </w:pPr>
      <w:r>
        <w:rPr>
          <w:b/>
          <w:bCs/>
        </w:rPr>
        <w:t xml:space="preserve">Decisión final:</w:t>
      </w:r>
      <w:r>
        <w:t xml:space="preserve"> </w:t>
      </w:r>
      <w:r>
        <w:t xml:space="preserve">La binomial negativa se considera el análisis principal porque respeta el soporte de conteo, admite sobredispersión y presentó el mejor ajuste predictivo. Los modelos de Poisson y gaussiano se mantienen únicamente como análisis de sensibilidad. El gaussiano no se mantuvo como principal por inercia ni se seleccionó ningún modelo por significación estadística.</w:t>
      </w:r>
    </w:p>
    <w:p>
      <w:pPr>
        <w:pStyle w:val="BodyText"/>
      </w:pPr>
      <w:r>
        <w:rPr>
          <w:b/>
          <w:bCs/>
        </w:rPr>
        <w:t xml:space="preserve">Interpretación de la edad gestacional:</w:t>
      </w:r>
      <w:r>
        <w:t xml:space="preserve"> </w:t>
      </w:r>
      <w:r>
        <w:t xml:space="preserve">El ajuste por edad gestacional al parto se interpretó como un ajuste por la oportunidad acumulada de recibir consultas prenatales y no como control causal de confusión. No se interpreta como un efecto independiente ni causalmente ajustado.</w:t>
      </w:r>
    </w:p>
    <w:p>
      <w:pPr>
        <w:pStyle w:val="BodyText"/>
      </w:pPr>
      <w:r>
        <w:rPr>
          <w:b/>
          <w:bCs/>
        </w:rPr>
        <w:t xml:space="preserve">Ubicación exacta de los cambios:</w:t>
      </w:r>
    </w:p>
    <w:p>
      <w:pPr>
        <w:pStyle w:val="Compact"/>
        <w:numPr>
          <w:ilvl w:val="0"/>
          <w:numId w:val="1011"/>
        </w:numPr>
      </w:pPr>
      <w:r>
        <w:rPr>
          <w:b/>
          <w:bCs/>
        </w:rPr>
        <w:t xml:space="preserve">Resumen y Abstract:</w:t>
      </w:r>
      <w:r>
        <w:t xml:space="preserve"> </w:t>
      </w:r>
      <w:r>
        <w:t xml:space="preserve">binomial negativa como análisis principal y razón de medias ajustada.</w:t>
      </w:r>
    </w:p>
    <w:p>
      <w:pPr>
        <w:pStyle w:val="Compact"/>
        <w:numPr>
          <w:ilvl w:val="0"/>
          <w:numId w:val="1011"/>
        </w:numPr>
      </w:pPr>
      <w:r>
        <w:rPr>
          <w:b/>
          <w:bCs/>
        </w:rPr>
        <w:t xml:space="preserve">Materiales y métodos:</w:t>
      </w:r>
      <w:r>
        <w:t xml:space="preserve"> </w:t>
      </w:r>
      <w:r>
        <w:t xml:space="preserve">distribución evaluada, jerarquía de modelos, PPC, LOO y significado del ajuste por edad gestacional.</w:t>
      </w:r>
    </w:p>
    <w:p>
      <w:pPr>
        <w:pStyle w:val="Compact"/>
        <w:numPr>
          <w:ilvl w:val="0"/>
          <w:numId w:val="1011"/>
        </w:numPr>
      </w:pPr>
      <w:r>
        <w:rPr>
          <w:b/>
          <w:bCs/>
        </w:rPr>
        <w:t xml:space="preserve">Resultados, apartado</w:t>
      </w:r>
      <w:r>
        <w:rPr>
          <w:b/>
          <w:bCs/>
        </w:rPr>
        <w:t xml:space="preserve"> </w:t>
      </w:r>
      <w:r>
        <w:rPr>
          <w:b/>
          <w:bCs/>
        </w:rPr>
        <w:t xml:space="preserve">“</w:t>
      </w:r>
      <w:r>
        <w:rPr>
          <w:b/>
          <w:bCs/>
        </w:rPr>
        <w:t xml:space="preserve">Atención prenatal</w:t>
      </w:r>
      <w:r>
        <w:rPr>
          <w:b/>
          <w:bCs/>
        </w:rPr>
        <w:t xml:space="preserve">”</w:t>
      </w:r>
      <w:r>
        <w:rPr>
          <w:b/>
          <w:bCs/>
        </w:rPr>
        <w:t xml:space="preserve">:</w:t>
      </w:r>
      <w:r>
        <w:t xml:space="preserve"> </w:t>
      </w:r>
      <w:r>
        <w:t xml:space="preserve">distribución observada, resultado principal binomial negativo y comparación predictiva.</w:t>
      </w:r>
    </w:p>
    <w:p>
      <w:pPr>
        <w:pStyle w:val="Compact"/>
        <w:numPr>
          <w:ilvl w:val="0"/>
          <w:numId w:val="1011"/>
        </w:numPr>
      </w:pPr>
      <w:r>
        <w:rPr>
          <w:b/>
          <w:bCs/>
        </w:rPr>
        <w:t xml:space="preserve">Discusión:</w:t>
      </w:r>
      <w:r>
        <w:t xml:space="preserve"> </w:t>
      </w:r>
      <w:r>
        <w:t xml:space="preserve">decisión metodológica y cautela interpretativa sobre edad gestacional.</w:t>
      </w:r>
    </w:p>
    <w:p>
      <w:pPr>
        <w:pStyle w:val="Compact"/>
        <w:numPr>
          <w:ilvl w:val="0"/>
          <w:numId w:val="1011"/>
        </w:numPr>
      </w:pPr>
      <w:r>
        <w:rPr>
          <w:b/>
          <w:bCs/>
        </w:rPr>
        <w:t xml:space="preserve">Tabla S3:</w:t>
      </w:r>
      <w:r>
        <w:t xml:space="preserve"> </w:t>
      </w:r>
      <w:r>
        <w:t xml:space="preserve">corrección del modelo gaussiano no ajustado a n=6.884 e ICr95 % de −0,85 a −0,27.</w:t>
      </w:r>
    </w:p>
    <w:p>
      <w:pPr>
        <w:pStyle w:val="Compact"/>
        <w:numPr>
          <w:ilvl w:val="0"/>
          <w:numId w:val="1011"/>
        </w:numPr>
      </w:pPr>
      <w:r>
        <w:rPr>
          <w:b/>
          <w:bCs/>
        </w:rPr>
        <w:t xml:space="preserve">Tabla S8:</w:t>
      </w:r>
      <w:r>
        <w:t xml:space="preserve"> </w:t>
      </w:r>
      <w:r>
        <w:t xml:space="preserve">comparación única de los seis modelos, sus estimadores, LOO, PPC y diagnósticos de convergencia.</w:t>
      </w:r>
    </w:p>
    <w:bookmarkEnd w:id="26"/>
    <w:bookmarkStart w:id="27" w:name="X40a7f1cf630f346a1a4261a40104a493f864029"/>
    <w:p>
      <w:pPr>
        <w:pStyle w:val="Heading2"/>
      </w:pPr>
      <w:r>
        <w:t xml:space="preserve">8. Diagnósticos bayesianos y sensibilidad a priors</w:t>
      </w:r>
    </w:p>
    <w:p>
      <w:pPr>
        <w:pStyle w:val="FirstParagraph"/>
      </w:pPr>
      <w:r>
        <w:rPr>
          <w:b/>
          <w:bCs/>
        </w:rPr>
        <w:t xml:space="preserve">Comentario del editor:</w:t>
      </w:r>
      <w:r>
        <w:t xml:space="preserve"> </w:t>
      </w:r>
      <w:r>
        <w:t xml:space="preserve">Se solicitó presentar integralmente los diagnósticos bayesianos de los modelos Bernoulli, ordinales, gaussianos y de conteo, incluidas R-hat, ESS bulk y tail, divergencias, treedepth, E-BFMI, verificaciones predictivas posteriores, sensibilidad a priors y parámetros posteriores completos.</w:t>
      </w:r>
    </w:p>
    <w:p>
      <w:pPr>
        <w:pStyle w:val="BodyText"/>
      </w:pPr>
      <w:r>
        <w:rPr>
          <w:b/>
          <w:bCs/>
        </w:rPr>
        <w:t xml:space="preserve">Respuesta de los autores:</w:t>
      </w:r>
      <w:r>
        <w:t xml:space="preserve"> </w:t>
      </w:r>
      <w:r>
        <w:t xml:space="preserve">Auditamos los 20 modelos que sustentan resultados publicados: 13 Bernoulli-logit, un cumulative-logit ordinal, dos binomiales negativos principales, dos Poisson y dos gaussianos de sensibilidad. La auditoría consideró todos los parámetros relevantes de cada modelo, no únicamente el coeficiente del grupo.</w:t>
      </w:r>
    </w:p>
    <w:p>
      <w:pPr>
        <w:pStyle w:val="BodyText"/>
      </w:pPr>
      <w:r>
        <w:rPr>
          <w:b/>
          <w:bCs/>
        </w:rPr>
        <w:t xml:space="preserve">Diagnósticos globales:</w:t>
      </w:r>
      <w:r>
        <w:t xml:space="preserve"> </w:t>
      </w:r>
      <w:r>
        <w:t xml:space="preserve">El R-hat máximo fue 1,0018; el ESS bulk mínimo, 4.182; y el ESS tail mínimo, 4.568. No hubo divergencias ni iteraciones que alcanzaran el max treedepth. El E-BFMI mínimo fue 0,909. En consecuencia, no se detectaron problemas de convergencia, eficiencia del muestreo, saturación de treedepth ni exploración de la energía posterior.</w:t>
      </w:r>
    </w:p>
    <w:p>
      <w:pPr>
        <w:pStyle w:val="BodyText"/>
      </w:pPr>
      <w:r>
        <w:rPr>
          <w:b/>
          <w:bCs/>
        </w:rPr>
        <w:t xml:space="preserve">PPC por familia:</w:t>
      </w:r>
      <w:r>
        <w:t xml:space="preserve"> </w:t>
      </w:r>
      <w:r>
        <w:t xml:space="preserve">Los PPC compararon prevalencias globales y por grupo y varianza en los Bernoulli, las cuatro proporciones en el ordinal, y media, varianza, ceros, cuantiles, extremos y acumulaciones en los modelos de consultas. Las comparaciones observadas fuera del ICr95 % predictivo fueron 0/52 para Bernoulli-logit, 0/4 para el ordinal, 24/32 para los gaussianos, 15/32 para Poisson y 12/32 para binomial negativa. Específicamente, Poisson presentó 9/16 discrepancias sin ajuste y 6/16 con ajuste; la binomial negativa presentó 6/16 en cada versión. Estos valores describen el desempeño predictivo observado y no se interpretan como ajuste perfecto.</w:t>
      </w:r>
    </w:p>
    <w:p>
      <w:pPr>
        <w:pStyle w:val="BodyText"/>
      </w:pPr>
      <w:r>
        <w:rPr>
          <w:b/>
          <w:bCs/>
        </w:rPr>
        <w:t xml:space="preserve">Sensibilidad a priors:</w:t>
      </w:r>
      <w:r>
        <w:t xml:space="preserve"> </w:t>
      </w:r>
      <w:r>
        <w:t xml:space="preserve">Cada coeficiente principal se comparó con una especificación alternativa moderadamente más amplia y coherente con su familia. Se ampliaron por separado los priors de interceptos, coeficientes y, según correspondía, sigma o shape; no se asumieron priors idénticos entre familias. La máxima diferencia absoluta entre estimaciones principales y alternativas fue 0,0113 y ninguno de los 20 modelos cambió de dirección. Por tanto, la magnitud y dirección de los resultados fueron estables frente a las especificaciones alternativas evaluadas.</w:t>
      </w:r>
    </w:p>
    <w:p>
      <w:pPr>
        <w:pStyle w:val="BodyText"/>
      </w:pPr>
      <w:r>
        <w:rPr>
          <w:b/>
          <w:bCs/>
        </w:rPr>
        <w:t xml:space="preserve">Parámetros posteriores completos:</w:t>
      </w:r>
      <w:r>
        <w:t xml:space="preserve"> </w:t>
      </w:r>
      <w:r>
        <w:t xml:space="preserve">Se añadieron los interceptos y coeficientes de grupo de los 13 Bernoulli; el coeficiente de grupo y los tres thresholds del ordinal; intercepto, grupo, edad gestacional cuando correspondía y sigma de los gaussianos; los parámetros equivalentes y shape de las binomiales negativas; e intercepto, grupo y edad gestacional de Poisson. Para cada parámetro se informan estimación posterior, ICr95 %, R-hat, ESS bulk y ESS tail.</w:t>
      </w:r>
    </w:p>
    <w:p>
      <w:pPr>
        <w:pStyle w:val="BodyText"/>
      </w:pPr>
      <w:r>
        <w:rPr>
          <w:b/>
          <w:bCs/>
        </w:rPr>
        <w:t xml:space="preserve">Ubicación exacta de los cambios:</w:t>
      </w:r>
    </w:p>
    <w:p>
      <w:pPr>
        <w:pStyle w:val="Compact"/>
        <w:numPr>
          <w:ilvl w:val="0"/>
          <w:numId w:val="1012"/>
        </w:numPr>
      </w:pPr>
      <w:r>
        <w:rPr>
          <w:b/>
          <w:bCs/>
        </w:rPr>
        <w:t xml:space="preserve">Materiales y métodos, análisis bayesiano:</w:t>
      </w:r>
      <w:r>
        <w:t xml:space="preserve"> </w:t>
      </w:r>
      <w:r>
        <w:t xml:space="preserve">se explicitan todos los diagnósticos, los PPC por familia y las especificaciones principales y alternativas de priors.</w:t>
      </w:r>
    </w:p>
    <w:p>
      <w:pPr>
        <w:pStyle w:val="Compact"/>
        <w:numPr>
          <w:ilvl w:val="0"/>
          <w:numId w:val="1012"/>
        </w:numPr>
      </w:pPr>
      <w:r>
        <w:rPr>
          <w:b/>
          <w:bCs/>
        </w:rPr>
        <w:t xml:space="preserve">Resultados,</w:t>
      </w:r>
      <w:r>
        <w:rPr>
          <w:b/>
          <w:bCs/>
        </w:rPr>
        <w:t xml:space="preserve"> </w:t>
      </w:r>
      <w:r>
        <w:rPr>
          <w:b/>
          <w:bCs/>
        </w:rPr>
        <w:t xml:space="preserve">“</w:t>
      </w:r>
      <w:r>
        <w:rPr>
          <w:b/>
          <w:bCs/>
        </w:rPr>
        <w:t xml:space="preserve">Diagnósticos bayesianos y sensibilidad a priors</w:t>
      </w:r>
      <w:r>
        <w:rPr>
          <w:b/>
          <w:bCs/>
        </w:rPr>
        <w:t xml:space="preserve">”</w:t>
      </w:r>
      <w:r>
        <w:rPr>
          <w:b/>
          <w:bCs/>
        </w:rPr>
        <w:t xml:space="preserve">:</w:t>
      </w:r>
      <w:r>
        <w:t xml:space="preserve"> </w:t>
      </w:r>
      <w:r>
        <w:t xml:space="preserve">se resumen los diagnósticos globales, PPC y estabilidad frente a priors.</w:t>
      </w:r>
    </w:p>
    <w:p>
      <w:pPr>
        <w:pStyle w:val="Compact"/>
        <w:numPr>
          <w:ilvl w:val="0"/>
          <w:numId w:val="1012"/>
        </w:numPr>
      </w:pPr>
      <w:r>
        <w:rPr>
          <w:b/>
          <w:bCs/>
        </w:rPr>
        <w:t xml:space="preserve">Tabla S9:</w:t>
      </w:r>
      <w:r>
        <w:t xml:space="preserve"> </w:t>
      </w:r>
      <w:r>
        <w:t xml:space="preserve">diagnósticos completos y resumen PPC de los 20 modelos.</w:t>
      </w:r>
    </w:p>
    <w:p>
      <w:pPr>
        <w:pStyle w:val="Compact"/>
        <w:numPr>
          <w:ilvl w:val="0"/>
          <w:numId w:val="1012"/>
        </w:numPr>
      </w:pPr>
      <w:r>
        <w:rPr>
          <w:b/>
          <w:bCs/>
        </w:rPr>
        <w:t xml:space="preserve">Tabla S10:</w:t>
      </w:r>
      <w:r>
        <w:t xml:space="preserve"> </w:t>
      </w:r>
      <w:r>
        <w:t xml:space="preserve">parámetros posteriores completos, incluidos interceptos, thresholds, sigma y shape.</w:t>
      </w:r>
    </w:p>
    <w:p>
      <w:pPr>
        <w:pStyle w:val="Compact"/>
        <w:numPr>
          <w:ilvl w:val="0"/>
          <w:numId w:val="1012"/>
        </w:numPr>
      </w:pPr>
      <w:r>
        <w:rPr>
          <w:b/>
          <w:bCs/>
        </w:rPr>
        <w:t xml:space="preserve">Tabla S11:</w:t>
      </w:r>
      <w:r>
        <w:t xml:space="preserve"> </w:t>
      </w:r>
      <w:r>
        <w:t xml:space="preserve">comparación compacta de coeficientes principales bajo priors principales y alternativos.</w:t>
      </w:r>
    </w:p>
    <w:bookmarkEnd w:id="27"/>
    <w:bookmarkStart w:id="28" w:name="heterogeneidad-temporal"/>
    <w:p>
      <w:pPr>
        <w:pStyle w:val="Heading2"/>
      </w:pPr>
      <w:r>
        <w:t xml:space="preserve">9. Heterogeneidad temporal</w:t>
      </w:r>
    </w:p>
    <w:p>
      <w:pPr>
        <w:pStyle w:val="FirstParagraph"/>
      </w:pPr>
      <w:r>
        <w:rPr>
          <w:b/>
          <w:bCs/>
        </w:rPr>
        <w:t xml:space="preserve">Comentario del editor:</w:t>
      </w:r>
      <w:r>
        <w:t xml:space="preserve"> </w:t>
      </w:r>
      <w:r>
        <w:t xml:space="preserve">Se solicitó dar centralidad a la heterogeneidad temporal observada, evaluar formalmente la interacción entre grupo etario y período, evitar presentar como rasgos estables asociaciones que dependen del período, discutir prudentemente posibles cambios de registro o prácticas institucionales y aclarar que 2024 comprende únicamente enero–junio.</w:t>
      </w:r>
    </w:p>
    <w:p>
      <w:pPr>
        <w:pStyle w:val="BodyText"/>
      </w:pPr>
      <w:r>
        <w:rPr>
          <w:b/>
          <w:bCs/>
        </w:rPr>
        <w:t xml:space="preserve">Respuesta de los autores:</w:t>
      </w:r>
      <w:r>
        <w:t xml:space="preserve"> </w:t>
      </w:r>
      <w:r>
        <w:t xml:space="preserve">Incorporamos un análisis formal por tres subperíodos categóricos: 2009–2014, 2015–2019 y 2020–junio 2024. Para pareja estable, etnia minoritaria y control prenatal adecuado (sí/no) comparamos modelos bayesianos Bernoulli-logit aditivos y con interacción grupo etario × período. Estimamos prevalencias marginales por grupo, diferencias y razones de prevalencia por período, e informamos los términos de interacción. La comparación entre modelos se realizó mediante LOO, considerando conjuntamente la dirección, magnitud, incertidumbre, ΔELPD y su error estándar. La adecuación ordinal se conservó únicamente como sensibilidad secundaria.</w:t>
      </w:r>
    </w:p>
    <w:p>
      <w:pPr>
        <w:pStyle w:val="BodyText"/>
      </w:pPr>
      <w:r>
        <w:rPr>
          <w:b/>
          <w:bCs/>
        </w:rPr>
        <w:t xml:space="preserve">Pareja estable:</w:t>
      </w:r>
      <w:r>
        <w:t xml:space="preserve"> </w:t>
      </w:r>
      <w:r>
        <w:t xml:space="preserve">En adolescentes de 10–14 frente a 15–19 años, las prevalencias marginales fueron 0,51 frente a 0,61 en 2009–2014 (DP=-0,10; ICr95 %: -0,18 a -0,02; RP=0,84; ICr95 %: 0,71–0,97), 0,31 frente a 0,47 en 2015–2019 (DP=-0,16; ICr95 %: -0,24 a -0,07; RP=0,66; ICr95 %: 0,50–0,84) y 0,63 frente a 0,58 en 2020–junio 2024 (DP=0,05; ICr95 %: -0,04 a 0,15; RP=1,10; ICr95 %: 0,93–1,26). Por tanto, la dirección se invirtió descriptivamente en el período reciente, aunque con incertidumbre. La razón de OR de interacción reciente fue 1,88 (ICr95 %: 1,13–3,17). El modelo con interacción tuvo ΔELPD=3,46 (EE=3,25), interpretado como una ventaja predictiva pequeña e incierta, no como evidencia concluyente.</w:t>
      </w:r>
    </w:p>
    <w:p>
      <w:pPr>
        <w:pStyle w:val="BodyText"/>
      </w:pPr>
      <w:r>
        <w:rPr>
          <w:b/>
          <w:bCs/>
        </w:rPr>
        <w:t xml:space="preserve">Etnia minoritaria:</w:t>
      </w:r>
      <w:r>
        <w:t xml:space="preserve"> </w:t>
      </w:r>
      <w:r>
        <w:t xml:space="preserve">Las prevalencias marginales fueron 0,05 frente a 0,03 en 2009–2014 (DP=0,02; ICr95 %: -0,01 a 0,06; RP=1,62; ICr95 %: 0,79–3,02), 0,12 frente a 0,06 en 2015–2019 (DP=0,06; ICr95 %: 0,01–0,13; RP=2,01; ICr95 %: 1,19–3,18) y 0,09 frente a 0,09 en 2020–junio 2024 (DP=0,00; ICr95 %: -0,04 a 0,07; RP=1,04; ICr95 %: 0,53–1,82). La diferencia fue mayor principalmente en 2015–2019 y se aproximó a la nulidad en el período reciente, con mayor incertidumbre. La razón de OR de interacción reciente fue 0,64 (ICr95 %: 0,25–1,63) y el modelo con interacción no mejoró la predicción (ΔELPD=-0,51; EE=1,65).</w:t>
      </w:r>
    </w:p>
    <w:p>
      <w:pPr>
        <w:pStyle w:val="BodyText"/>
      </w:pPr>
      <w:r>
        <w:rPr>
          <w:b/>
          <w:bCs/>
        </w:rPr>
        <w:t xml:space="preserve">Control prenatal adecuado:</w:t>
      </w:r>
      <w:r>
        <w:t xml:space="preserve"> </w:t>
      </w:r>
      <w:r>
        <w:t xml:space="preserve">Las prevalencias marginales fueron 0,47 frente a 0,60 en 2009–2014 (DP=-0,13; ICr95 %: -0,21 a -0,05; RP=0,79; ICr95 %: 0,65–0,92), 0,59 frente a 0,66 en 2015–2019 (DP=-0,06; ICr95 %: -0,16 a 0,02; RP=0,90; ICr95 %: 0,77–1,03) y 0,55 frente a 0,57 en 2020–junio 2024 (DP=-0,02; ICr95 %: -0,12 a 0,08; RP=0,97; ICr95 %: 0,80–1,14). La diferencia negativa fue mayor en el primer período y se aproximó progresivamente a la nulidad. La razón de OR de interacción reciente fue 1,59 (ICr95 %: 0,95–2,63), sin ventaja predictiva del modelo con interacción (ΔELPD=-0,19; EE=1,76). La sensibilidad ordinal mostró un patrón concordante: OR de 0,57, 0,76 y 0,86 por período, y ΔELPD=-0,31 (EE=1,79).</w:t>
      </w:r>
    </w:p>
    <w:p>
      <w:pPr>
        <w:pStyle w:val="BodyText"/>
      </w:pPr>
      <w:r>
        <w:rPr>
          <w:b/>
          <w:bCs/>
        </w:rPr>
        <w:t xml:space="preserve">Interpretación:</w:t>
      </w:r>
      <w:r>
        <w:t xml:space="preserve"> </w:t>
      </w:r>
      <w:r>
        <w:t xml:space="preserve">Las estimaciones muestran variación temporal de dirección o magnitud, especialmente para pareja estable, pero la comparación predictiva no proporciona evidencia concluyente de interacción. Cambios en la composición de la población atendida, el registro o cobertura del SIP, las prácticas institucionales, el acceso o uso de atención prenatal y las circunstancias del período pandémico son explicaciones plausibles. El estudio no permite identificar cuál mecanismo explica los cambios ni atribuirles causalmente la heterogeneidad.</w:t>
      </w:r>
    </w:p>
    <w:p>
      <w:pPr>
        <w:pStyle w:val="BodyText"/>
      </w:pPr>
      <w:r>
        <w:rPr>
          <w:b/>
          <w:bCs/>
        </w:rPr>
        <w:t xml:space="preserve">Aclaración de 2024:</w:t>
      </w:r>
      <w:r>
        <w:t xml:space="preserve"> </w:t>
      </w:r>
      <w:r>
        <w:t xml:space="preserve">En todo el manuscrito y en la tabla suplementaria, el último período se denomina</w:t>
      </w:r>
      <w:r>
        <w:t xml:space="preserve"> </w:t>
      </w:r>
      <w:r>
        <w:rPr>
          <w:b/>
          <w:bCs/>
        </w:rPr>
        <w:t xml:space="preserve">2020–junio 2024</w:t>
      </w:r>
      <w:r>
        <w:t xml:space="preserve">. El año 2024 incluye exclusivamente enero–junio y no se interpreta como un año completo.</w:t>
      </w:r>
    </w:p>
    <w:p>
      <w:pPr>
        <w:pStyle w:val="BodyText"/>
      </w:pPr>
      <w:r>
        <w:rPr>
          <w:b/>
          <w:bCs/>
        </w:rPr>
        <w:t xml:space="preserve">Ubicación exacta de los cambios:</w:t>
      </w:r>
    </w:p>
    <w:p>
      <w:pPr>
        <w:pStyle w:val="Compact"/>
        <w:numPr>
          <w:ilvl w:val="0"/>
          <w:numId w:val="1013"/>
        </w:numPr>
      </w:pPr>
      <w:r>
        <w:rPr>
          <w:b/>
          <w:bCs/>
        </w:rPr>
        <w:t xml:space="preserve">Resumen y Abstract:</w:t>
      </w:r>
      <w:r>
        <w:t xml:space="preserve"> </w:t>
      </w:r>
      <w:r>
        <w:t xml:space="preserve">período de estudio corregido a enero de 2009–junio de 2024 y resultados globales matizados como no temporalmente uniformes.</w:t>
      </w:r>
    </w:p>
    <w:p>
      <w:pPr>
        <w:pStyle w:val="Compact"/>
        <w:numPr>
          <w:ilvl w:val="0"/>
          <w:numId w:val="1013"/>
        </w:numPr>
      </w:pPr>
      <w:r>
        <w:rPr>
          <w:b/>
          <w:bCs/>
        </w:rPr>
        <w:t xml:space="preserve">Materiales y métodos, análisis estadístico:</w:t>
      </w:r>
      <w:r>
        <w:t xml:space="preserve"> </w:t>
      </w:r>
      <w:r>
        <w:t xml:space="preserve">definición de los tres períodos, modelos aditivo y con interacción, estimaciones marginales, comparación mediante LOO y sensibilidad ordinal.</w:t>
      </w:r>
    </w:p>
    <w:p>
      <w:pPr>
        <w:pStyle w:val="Compact"/>
        <w:numPr>
          <w:ilvl w:val="0"/>
          <w:numId w:val="1013"/>
        </w:numPr>
      </w:pPr>
      <w:r>
        <w:rPr>
          <w:b/>
          <w:bCs/>
        </w:rPr>
        <w:t xml:space="preserve">Resultados, apartado</w:t>
      </w:r>
      <w:r>
        <w:rPr>
          <w:b/>
          <w:bCs/>
        </w:rPr>
        <w:t xml:space="preserve"> </w:t>
      </w:r>
      <w:r>
        <w:rPr>
          <w:b/>
          <w:bCs/>
        </w:rPr>
        <w:t xml:space="preserve">“</w:t>
      </w:r>
      <w:r>
        <w:rPr>
          <w:b/>
          <w:bCs/>
        </w:rPr>
        <w:t xml:space="preserve">Heterogeneidad temporal</w:t>
      </w:r>
      <w:r>
        <w:rPr>
          <w:b/>
          <w:bCs/>
        </w:rPr>
        <w:t xml:space="preserve">”</w:t>
      </w:r>
      <w:r>
        <w:rPr>
          <w:b/>
          <w:bCs/>
        </w:rPr>
        <w:t xml:space="preserve">:</w:t>
      </w:r>
      <w:r>
        <w:t xml:space="preserve"> </w:t>
      </w:r>
      <w:r>
        <w:t xml:space="preserve">resultados completos de pareja estable, etnia minoritaria y control prenatal adecuado, incluidos estimandos marginales, términos de interacción y comparación LOO.</w:t>
      </w:r>
    </w:p>
    <w:p>
      <w:pPr>
        <w:pStyle w:val="Compact"/>
        <w:numPr>
          <w:ilvl w:val="0"/>
          <w:numId w:val="1013"/>
        </w:numPr>
      </w:pPr>
      <w:r>
        <w:rPr>
          <w:b/>
          <w:bCs/>
        </w:rPr>
        <w:t xml:space="preserve">Discusión:</w:t>
      </w:r>
      <w:r>
        <w:t xml:space="preserve"> </w:t>
      </w:r>
      <w:r>
        <w:t xml:space="preserve">asociaciones globales reformuladas como dependientes del período, atención especial a la inversión descriptiva de pareja estable e interpretación no causal de mecanismos plausibles.</w:t>
      </w:r>
    </w:p>
    <w:p>
      <w:pPr>
        <w:pStyle w:val="Compact"/>
        <w:numPr>
          <w:ilvl w:val="0"/>
          <w:numId w:val="1013"/>
        </w:numPr>
      </w:pPr>
      <w:r>
        <w:rPr>
          <w:b/>
          <w:bCs/>
        </w:rPr>
        <w:t xml:space="preserve">Conclusiones:</w:t>
      </w:r>
      <w:r>
        <w:t xml:space="preserve"> </w:t>
      </w:r>
      <w:r>
        <w:t xml:space="preserve">aclaración de que estas diferencias no fueron temporalmente uniformes.</w:t>
      </w:r>
    </w:p>
    <w:p>
      <w:pPr>
        <w:pStyle w:val="Compact"/>
        <w:numPr>
          <w:ilvl w:val="0"/>
          <w:numId w:val="1013"/>
        </w:numPr>
      </w:pPr>
      <w:r>
        <w:rPr>
          <w:b/>
          <w:bCs/>
        </w:rPr>
        <w:t xml:space="preserve">Tabla S2:</w:t>
      </w:r>
      <w:r>
        <w:t xml:space="preserve"> </w:t>
      </w:r>
      <w:r>
        <w:t xml:space="preserve">período final corregido a 2020–junio 2024 y período total aclarado como enero de 2009–junio de 2024.</w:t>
      </w:r>
    </w:p>
    <w:p>
      <w:pPr>
        <w:pStyle w:val="Compact"/>
        <w:numPr>
          <w:ilvl w:val="0"/>
          <w:numId w:val="1013"/>
        </w:numPr>
      </w:pPr>
      <w:r>
        <w:rPr>
          <w:b/>
          <w:bCs/>
        </w:rPr>
        <w:t xml:space="preserve">Tabla S12:</w:t>
      </w:r>
      <w:r>
        <w:t xml:space="preserve"> </w:t>
      </w:r>
      <w:r>
        <w:t xml:space="preserve">resumen compacto de prevalencias marginales, DP, RP, términos de interacción y ΔELPD con su EE.</w:t>
      </w:r>
    </w:p>
    <w:bookmarkEnd w:id="28"/>
    <w:bookmarkStart w:id="29" w:name="figuras-y-marco-de-selección"/>
    <w:p>
      <w:pPr>
        <w:pStyle w:val="Heading2"/>
      </w:pPr>
      <w:r>
        <w:t xml:space="preserve">10. Figuras y marco de selección</w:t>
      </w:r>
    </w:p>
    <w:p>
      <w:pPr>
        <w:pStyle w:val="FirstParagraph"/>
      </w:pPr>
      <w:r>
        <w:rPr>
          <w:b/>
          <w:bCs/>
        </w:rPr>
        <w:t xml:space="preserve">Comentario del editor:</w:t>
      </w:r>
      <w:r>
        <w:t xml:space="preserve"> </w:t>
      </w:r>
      <w:r>
        <w:t xml:space="preserve">Se señaló que la Figura 1 podía sugerir que el estudio partió de todos los partos adolescentes institucionales y aplicó después el criterio de admisión neonatal, aunque la base accesible ya estaba restringida a recién nacidos admitidos. También se solicitó identificar claramente que 2024 contiene solo enero–junio y evitar su comparación directa con años completos en la Figura 3.</w:t>
      </w:r>
    </w:p>
    <w:p>
      <w:pPr>
        <w:pStyle w:val="BodyText"/>
      </w:pPr>
      <w:r>
        <w:rPr>
          <w:b/>
          <w:bCs/>
        </w:rPr>
        <w:t xml:space="preserve">Respuesta de los autores:</w:t>
      </w:r>
      <w:r>
        <w:t xml:space="preserve"> </w:t>
      </w:r>
      <w:r>
        <w:t xml:space="preserve">Rediseñamos ambas figuras y revisamos sus llamadas, pies y texto interpretativo. La Figura 1 comienza ahora por la base SIP realmente disponible para el estudio, ya condicionada por admisión neonatal, y distingue visualmente este marco analítico del contexto institucional completo no observado. La Figura 3 identifica y separa explícitamente el período parcial de 2024.</w:t>
      </w:r>
    </w:p>
    <w:p>
      <w:pPr>
        <w:pStyle w:val="BodyText"/>
      </w:pPr>
      <w:r>
        <w:rPr>
          <w:b/>
          <w:bCs/>
        </w:rPr>
        <w:t xml:space="preserve">Figura 1 y base accesible:</w:t>
      </w:r>
      <w:r>
        <w:t xml:space="preserve"> </w:t>
      </w:r>
      <w:r>
        <w:t xml:space="preserve">La población institucional de todos los partos de adolescentes aparece únicamente como contexto externo, en una caja discontinua rotulada</w:t>
      </w:r>
      <w:r>
        <w:t xml:space="preserve"> </w:t>
      </w:r>
      <w:r>
        <w:t xml:space="preserve">“</w:t>
      </w:r>
      <w:r>
        <w:t xml:space="preserve">no observado directamente</w:t>
      </w:r>
      <w:r>
        <w:t xml:space="preserve">”</w:t>
      </w:r>
      <w:r>
        <w:t xml:space="preserve">, y no como un paso del flujo de inclusión. Se aclara que no se dispuso del denominador institucional ni de los partos no incluidos. El primer nodo observado es la base SIP disponible: 7.202 registros iniciales de adolescentes de 10–19 años cuyos recién nacidos ya habían sido admitidos en Neonatología. Desde allí se representa el proceso real de eliminación de 15 duplicados exactos, linkage/consolidación de gestaciones múltiples, muestra materna final de 7.035 eventos obstétricos y submuestra neonatal descriptiva de 6.790 nacimientos únicos.</w:t>
      </w:r>
    </w:p>
    <w:p>
      <w:pPr>
        <w:pStyle w:val="BodyText"/>
      </w:pPr>
      <w:r>
        <w:rPr>
          <w:b/>
          <w:bCs/>
        </w:rPr>
        <w:t xml:space="preserve">Posibles determinantes del mecanismo de selección:</w:t>
      </w:r>
      <w:r>
        <w:t xml:space="preserve"> </w:t>
      </w:r>
      <w:r>
        <w:t xml:space="preserve">Se incorporaron, como factores potencialmente relacionados con la probabilidad de admisión neonatal e inclusión en la base, características sociodemográficas —edad/grupo etario, etnia, pareja estable y educación/rezago—; reproductivas/obstétricas —embarazo planeado, antecedentes y condiciones obstétricas/perinatales—; y de atención prenatal —adecuación y número de consultas—. Las flechas y el pie indican expresamente que se trata de un diagrama conceptual y no de causas o efectos causales estimados.</w:t>
      </w:r>
    </w:p>
    <w:p>
      <w:pPr>
        <w:pStyle w:val="BodyText"/>
      </w:pPr>
      <w:r>
        <w:rPr>
          <w:b/>
          <w:bCs/>
        </w:rPr>
        <w:t xml:space="preserve">Figura 3 y 2024 parcial:</w:t>
      </w:r>
      <w:r>
        <w:t xml:space="preserve"> </w:t>
      </w:r>
      <w:r>
        <w:t xml:space="preserve">La etiqueta del eje X se cambió a</w:t>
      </w:r>
      <w:r>
        <w:t xml:space="preserve"> </w:t>
      </w:r>
      <w:r>
        <w:rPr>
          <w:b/>
          <w:bCs/>
        </w:rPr>
        <w:t xml:space="preserve">“</w:t>
      </w:r>
      <w:r>
        <w:rPr>
          <w:b/>
          <w:bCs/>
        </w:rPr>
        <w:t xml:space="preserve">2024 (ene–jun)</w:t>
      </w:r>
      <w:r>
        <w:rPr>
          <w:b/>
          <w:bCs/>
        </w:rPr>
        <w:t xml:space="preserve">”</w:t>
      </w:r>
      <w:r>
        <w:t xml:space="preserve">. El período se separó de 2009–2023 mediante espacio adicional, una línea discontinua y un contorno diferenciado. Dentro de la figura se añadió la advertencia</w:t>
      </w:r>
      <w:r>
        <w:t xml:space="preserve"> </w:t>
      </w:r>
      <w:r>
        <w:rPr>
          <w:b/>
          <w:bCs/>
        </w:rPr>
        <w:t xml:space="preserve">“</w:t>
      </w:r>
      <w:r>
        <w:rPr>
          <w:b/>
          <w:bCs/>
        </w:rPr>
        <w:t xml:space="preserve">2024: enero–junio; conteo parcial; no comparable directamente con años completos</w:t>
      </w:r>
      <w:r>
        <w:rPr>
          <w:b/>
          <w:bCs/>
        </w:rPr>
        <w:t xml:space="preserve">”</w:t>
      </w:r>
      <w:r>
        <w:t xml:space="preserve">. No se anualizaron, proyectaron ni extrapolaron los datos de julio–diciembre.</w:t>
      </w:r>
    </w:p>
    <w:p>
      <w:pPr>
        <w:pStyle w:val="BodyText"/>
      </w:pPr>
      <w:r>
        <w:rPr>
          <w:b/>
          <w:bCs/>
        </w:rPr>
        <w:t xml:space="preserve">Interpretación:</w:t>
      </w:r>
      <w:r>
        <w:t xml:space="preserve"> </w:t>
      </w:r>
      <w:r>
        <w:t xml:space="preserve">El texto del manuscrito aclara que la variación anual se describe dentro de la población hospitalaria seleccionada y no representa una tendencia poblacional. El dato parcial de 2024 no se interpreta como descenso anual ni se compara directamente con los años calendario completos.</w:t>
      </w:r>
    </w:p>
    <w:p>
      <w:pPr>
        <w:pStyle w:val="BodyText"/>
      </w:pPr>
      <w:r>
        <w:rPr>
          <w:b/>
          <w:bCs/>
        </w:rPr>
        <w:t xml:space="preserve">Ubicación exacta de los cambios:</w:t>
      </w:r>
    </w:p>
    <w:p>
      <w:pPr>
        <w:pStyle w:val="Compact"/>
        <w:numPr>
          <w:ilvl w:val="0"/>
          <w:numId w:val="1014"/>
        </w:numPr>
      </w:pPr>
      <w:r>
        <w:rPr>
          <w:b/>
          <w:bCs/>
        </w:rPr>
        <w:t xml:space="preserve">Materiales y métodos, primer párrafo:</w:t>
      </w:r>
      <w:r>
        <w:t xml:space="preserve"> </w:t>
      </w:r>
      <w:r>
        <w:t xml:space="preserve">se aclara que la base accesible ya estaba restringida por admisión neonatal y que no se observaron todos los partos adolescentes institucionales.</w:t>
      </w:r>
    </w:p>
    <w:p>
      <w:pPr>
        <w:pStyle w:val="Compact"/>
        <w:numPr>
          <w:ilvl w:val="0"/>
          <w:numId w:val="1014"/>
        </w:numPr>
      </w:pPr>
      <w:r>
        <w:rPr>
          <w:b/>
          <w:bCs/>
        </w:rPr>
        <w:t xml:space="preserve">Figura 1 y su nota:</w:t>
      </w:r>
      <w:r>
        <w:t xml:space="preserve"> </w:t>
      </w:r>
      <w:r>
        <w:t xml:space="preserve">nuevo marco de selección, flujo real de depuración, posibles determinantes de selección, ausencia de atribución causal y restricción de la inferencia.</w:t>
      </w:r>
    </w:p>
    <w:p>
      <w:pPr>
        <w:pStyle w:val="Compact"/>
        <w:numPr>
          <w:ilvl w:val="0"/>
          <w:numId w:val="1014"/>
        </w:numPr>
      </w:pPr>
      <w:r>
        <w:rPr>
          <w:b/>
          <w:bCs/>
        </w:rPr>
        <w:t xml:space="preserve">Discusión, párrafo sobre variación anual:</w:t>
      </w:r>
      <w:r>
        <w:t xml:space="preserve"> </w:t>
      </w:r>
      <w:r>
        <w:t xml:space="preserve">llamada a la Figura 3 y aclaración de que 2024 es parcial y no directamente comparable.</w:t>
      </w:r>
    </w:p>
    <w:p>
      <w:pPr>
        <w:pStyle w:val="Compact"/>
        <w:numPr>
          <w:ilvl w:val="0"/>
          <w:numId w:val="1014"/>
        </w:numPr>
      </w:pPr>
      <w:r>
        <w:rPr>
          <w:b/>
          <w:bCs/>
        </w:rPr>
        <w:t xml:space="preserve">Figura 3, eje X, anotación y nota:</w:t>
      </w:r>
      <w:r>
        <w:t xml:space="preserve"> </w:t>
      </w:r>
      <w:r>
        <w:t xml:space="preserve">identificación de enero–junio de 2024, separación visual y advertencia de no comparabilidad anual.</w:t>
      </w:r>
    </w:p>
    <w:bookmarkEnd w:id="29"/>
    <w:bookmarkStart w:id="30" w:name="referencias-y-consistencia-editorial"/>
    <w:p>
      <w:pPr>
        <w:pStyle w:val="Heading2"/>
      </w:pPr>
      <w:r>
        <w:t xml:space="preserve">11. Referencias y consistencia editorial</w:t>
      </w:r>
    </w:p>
    <w:p>
      <w:pPr>
        <w:pStyle w:val="FirstParagraph"/>
      </w:pPr>
      <w:r>
        <w:rPr>
          <w:b/>
          <w:bCs/>
        </w:rPr>
        <w:t xml:space="preserve">Comentario del editor:</w:t>
      </w:r>
      <w:r>
        <w:t xml:space="preserve"> </w:t>
      </w:r>
      <w:r>
        <w:t xml:space="preserve">Se solicitó corregir la URL que duplicaba la extensión PDF, verificar activamente todas las referencias y su correspondencia con las afirmaciones citadas, documentar específicamente la existencia del programa de atención para adolescentes desde 1988, revisar la procedencia editorial de F1000Research y reconciliar citas y referencias sin duplicados ni enlaces rotos.</w:t>
      </w:r>
    </w:p>
    <w:p>
      <w:pPr>
        <w:pStyle w:val="BodyText"/>
      </w:pPr>
      <w:r>
        <w:rPr>
          <w:b/>
          <w:bCs/>
        </w:rPr>
        <w:t xml:space="preserve">Respuesta de los autores:</w:t>
      </w:r>
      <w:r>
        <w:t xml:space="preserve"> </w:t>
      </w:r>
      <w:r>
        <w:t xml:space="preserve">Auditamos las 27 referencias de la versión revisada, incluidos autores, título, fuente, año, volumen, número, páginas o identificador electrónico, DOI/URL y correspondencia con el texto. Se corrigieron 25 entradas existentes por metadatos incompletos, abreviaturas, paginación o formato Vancouver, y se incorporó una publicación verificable para la afirmación histórica. La lista quedó numerada según el orden de primera aparición; todas las citas tienen una referencia y todas las referencias están citadas.</w:t>
      </w:r>
    </w:p>
    <w:p>
      <w:pPr>
        <w:pStyle w:val="BodyText"/>
      </w:pPr>
      <w:r>
        <w:rPr>
          <w:b/>
          <w:bCs/>
        </w:rPr>
        <w:t xml:space="preserve">URL con extensión duplicada:</w:t>
      </w:r>
      <w:r>
        <w:t xml:space="preserve"> </w:t>
      </w:r>
      <w:r>
        <w:t xml:space="preserve">La duplicación correspondía al enlace del</w:t>
      </w:r>
      <w:r>
        <w:t xml:space="preserve"> </w:t>
      </w:r>
      <w:r>
        <w:rPr>
          <w:i/>
          <w:iCs/>
        </w:rPr>
        <w:t xml:space="preserve">Reglamento General a la Ley Orgánica de Educación Intercultural</w:t>
      </w:r>
      <w:r>
        <w:t xml:space="preserve">, ahora referencia 13. El enlace final es</w:t>
      </w:r>
      <w:r>
        <w:t xml:space="preserve"> </w:t>
      </w:r>
      <w:r>
        <w:rPr>
          <w:rStyle w:val="VerbatimChar"/>
        </w:rPr>
        <w:t xml:space="preserve">https://www.evaluacion.gob.ec/wp-content/uploads/downloads/2016/05/Reglamento_LOEI-enero2013.pdf</w:t>
      </w:r>
      <w:r>
        <w:t xml:space="preserve">; abre el PDF de 110 páginas con el título citado. La búsqueda final de la cadena defectuosa no devolvió resultados.</w:t>
      </w:r>
    </w:p>
    <w:p>
      <w:pPr>
        <w:pStyle w:val="BodyText"/>
      </w:pPr>
      <w:r>
        <w:rPr>
          <w:b/>
          <w:bCs/>
        </w:rPr>
        <w:t xml:space="preserve">Fuente de 1988:</w:t>
      </w:r>
      <w:r>
        <w:t xml:space="preserve"> </w:t>
      </w:r>
      <w:r>
        <w:t xml:space="preserve">La referencia que ocupaba anteriormente el número 12 era normativa educativa y no respaldaba la afirmación histórica. Se sustituyó como soporte de esa afirmación por Peñaherrera Cepeda,</w:t>
      </w:r>
      <w:r>
        <w:t xml:space="preserve"> </w:t>
      </w:r>
      <w:r>
        <w:rPr>
          <w:i/>
          <w:iCs/>
        </w:rPr>
        <w:t xml:space="preserve">Historia e importancia de la ginecología en la infancia y adolescencia</w:t>
      </w:r>
      <w:r>
        <w:t xml:space="preserve"> </w:t>
      </w:r>
      <w:r>
        <w:t xml:space="preserve">(MetroCiencia. 2022;30(4):55–59; doi: 10.47464/MetroCiencia/vol30/4/2022/55-59), publicación que declara explícitamente que desde 1988 funciona el Servicio de Atención Integral para Adolescentes del HGOIA. Para no exceder la evidencia, el manuscrito ahora dice que el hospital</w:t>
      </w:r>
      <w:r>
        <w:t xml:space="preserve"> </w:t>
      </w:r>
      <w:r>
        <w:t xml:space="preserve">“</w:t>
      </w:r>
      <w:r>
        <w:t xml:space="preserve">alberga el Servicio de Atención Integral para Adolescentes (SAIA), descrito como activo desde 1988</w:t>
      </w:r>
      <w:r>
        <w:t xml:space="preserve">”</w:t>
      </w:r>
      <w:r>
        <w:t xml:space="preserve">. La normativa educativa se conservó, renumerada, donde sí respalda el cálculo de escolaridad esperada.</w:t>
      </w:r>
    </w:p>
    <w:p>
      <w:pPr>
        <w:pStyle w:val="BodyText"/>
      </w:pPr>
      <w:r>
        <w:rPr>
          <w:b/>
          <w:bCs/>
        </w:rPr>
        <w:t xml:space="preserve">F1000Research:</w:t>
      </w:r>
      <w:r>
        <w:t xml:space="preserve"> </w:t>
      </w:r>
      <w:r>
        <w:t xml:space="preserve">Se mantuvo una referencia, ahora número 17. Se verificó que existe como versión 2 revisada y publicada en 2023, con revisión abierta que informa un dictamen aprobado y dos aprobados con reservas. La cita se actualizó para mostrar expresamente ese estado editorial. Las instrucciones públicas para autores de la Revista Brasileira de Saúde Materno Infantil no establecen una prohibición explícita de citar preprints, artículos con revisión abierta o revisión posterior a la publicación. Además, la fuente aporta evidencia poblacional peruana directamente pertinente y no se usa como referencia metodológica; por ello no se sustituyó.</w:t>
      </w:r>
    </w:p>
    <w:p>
      <w:pPr>
        <w:pStyle w:val="BodyText"/>
      </w:pPr>
      <w:r>
        <w:rPr>
          <w:b/>
          <w:bCs/>
        </w:rPr>
        <w:t xml:space="preserve">Reconciliación y enlaces:</w:t>
      </w:r>
      <w:r>
        <w:t xml:space="preserve"> </w:t>
      </w:r>
      <w:r>
        <w:t xml:space="preserve">Se verificaron los DOI, páginas institucionales y PDF. Los enlaces institucionales finales abren el documento citado, incluida la URL corregida del reglamento. No quedaron referencias duplicadas ni enlaces rotos. La inserción de la nueva referencia 12 desplazó de forma controlada las referencias posteriores hasta el número 27 y restituyó la correspondencia de las citas</w:t>
      </w:r>
      <w:r>
        <w:t xml:space="preserve"> </w:t>
      </w:r>
      <w:r>
        <w:rPr>
          <w:rStyle w:val="VerbatimChar"/>
        </w:rPr>
        <w:t xml:space="preserve">(13,14)</w:t>
      </w:r>
      <w:r>
        <w:t xml:space="preserve">,</w:t>
      </w:r>
      <w:r>
        <w:t xml:space="preserve"> </w:t>
      </w:r>
      <w:r>
        <w:rPr>
          <w:rStyle w:val="VerbatimChar"/>
        </w:rPr>
        <w:t xml:space="preserve">(15)</w:t>
      </w:r>
      <w:r>
        <w:t xml:space="preserve">,</w:t>
      </w:r>
      <w:r>
        <w:t xml:space="preserve"> </w:t>
      </w:r>
      <w:r>
        <w:rPr>
          <w:rStyle w:val="VerbatimChar"/>
        </w:rPr>
        <w:t xml:space="preserve">(6,18–20)</w:t>
      </w:r>
      <w:r>
        <w:t xml:space="preserve">,</w:t>
      </w:r>
      <w:r>
        <w:t xml:space="preserve"> </w:t>
      </w:r>
      <w:r>
        <w:rPr>
          <w:rStyle w:val="VerbatimChar"/>
        </w:rPr>
        <w:t xml:space="preserve">(21,22)</w:t>
      </w:r>
      <w:r>
        <w:t xml:space="preserve">,</w:t>
      </w:r>
      <w:r>
        <w:t xml:space="preserve"> </w:t>
      </w:r>
      <w:r>
        <w:rPr>
          <w:rStyle w:val="VerbatimChar"/>
        </w:rPr>
        <w:t xml:space="preserve">(23,24)</w:t>
      </w:r>
      <w:r>
        <w:t xml:space="preserve">,</w:t>
      </w:r>
      <w:r>
        <w:t xml:space="preserve"> </w:t>
      </w:r>
      <w:r>
        <w:rPr>
          <w:rStyle w:val="VerbatimChar"/>
        </w:rPr>
        <w:t xml:space="preserve">(25)</w:t>
      </w:r>
      <w:r>
        <w:t xml:space="preserve"> </w:t>
      </w:r>
      <w:r>
        <w:t xml:space="preserve">y</w:t>
      </w:r>
      <w:r>
        <w:t xml:space="preserve"> </w:t>
      </w:r>
      <w:r>
        <w:rPr>
          <w:rStyle w:val="VerbatimChar"/>
        </w:rPr>
        <w:t xml:space="preserve">(26,27)</w:t>
      </w:r>
      <w:r>
        <w:t xml:space="preserve">.</w:t>
      </w:r>
    </w:p>
    <w:p>
      <w:pPr>
        <w:pStyle w:val="BodyText"/>
      </w:pPr>
      <w:r>
        <w:rPr>
          <w:b/>
          <w:bCs/>
        </w:rPr>
        <w:t xml:space="preserve">Tasas de fecundidad de Ecuador:</w:t>
      </w:r>
      <w:r>
        <w:t xml:space="preserve"> </w:t>
      </w:r>
      <w:r>
        <w:t xml:space="preserve">La auditoría final detectó que la referencia 10, correspondiente a un estudio de utilización prenatal en México, no respaldaba las cifras nacionales ecuatorianas de 36,06 y 2,84 incluidas en la Introducción. Al no existir en el paquete una fuente oficial verificable que documentara exactamente ambas cifras, se retiró esa afirmación. La referencia 10 se conservó únicamente donde sí corresponde, en la discusión sobre utilización de atención prenatal en contextos latinoamericanos; la Introducción quedó sustentada por el informe de UNFPA Ecuador de la referencia 9, sin trasladar ni aproximar cifras no verificadas.</w:t>
      </w:r>
    </w:p>
    <w:p>
      <w:pPr>
        <w:pStyle w:val="BodyText"/>
      </w:pPr>
      <w:r>
        <w:rPr>
          <w:b/>
          <w:bCs/>
        </w:rPr>
        <w:t xml:space="preserve">Ubicación exacta de los cambios:</w:t>
      </w:r>
      <w:r>
        <w:t xml:space="preserve"> </w:t>
      </w:r>
      <w:r>
        <w:t xml:space="preserve">Introducción, afirmación y cita sobre el SAIA desde 1988; lista completa de referencias, números 1–27; y presente sección de la carta. La auditoría trazable se conserva en</w:t>
      </w:r>
      <w:r>
        <w:t xml:space="preserve"> </w:t>
      </w:r>
      <w:r>
        <w:rPr>
          <w:rStyle w:val="VerbatimChar"/>
        </w:rPr>
        <w:t xml:space="preserve">output/referencias/auditoria_referencias.csv</w:t>
      </w:r>
      <w:r>
        <w:t xml:space="preserve">.</w:t>
      </w:r>
    </w:p>
    <w:bookmarkEnd w:id="30"/>
    <w:bookmarkStart w:id="31" w:name="X6a71940e9189d8afa1749fb7d0ed53a79503fe0"/>
    <w:p>
      <w:pPr>
        <w:pStyle w:val="Heading2"/>
      </w:pPr>
      <w:r>
        <w:t xml:space="preserve">12. Revisión lingüística y consistencia interna</w:t>
      </w:r>
    </w:p>
    <w:p>
      <w:pPr>
        <w:pStyle w:val="FirstParagraph"/>
      </w:pPr>
      <w:r>
        <w:rPr>
          <w:b/>
          <w:bCs/>
        </w:rPr>
        <w:t xml:space="preserve">Comentario del editor:</w:t>
      </w:r>
      <w:r>
        <w:t xml:space="preserve"> </w:t>
      </w:r>
      <w:r>
        <w:t xml:space="preserve">Se solicitó una revisión humana final del español y del inglés, la estandarización de los intervalos de edad y períodos, la eliminación de marcas residuales y la comprobación de la concordancia numérica entre el manuscrito, el material suplementario, los outputs analíticos y esta carta.</w:t>
      </w:r>
    </w:p>
    <w:p>
      <w:pPr>
        <w:pStyle w:val="BodyText"/>
      </w:pPr>
      <w:r>
        <w:rPr>
          <w:b/>
          <w:bCs/>
        </w:rPr>
        <w:t xml:space="preserve">Respuesta de los autores:</w:t>
      </w:r>
      <w:r>
        <w:t xml:space="preserve"> </w:t>
      </w:r>
      <w:r>
        <w:t xml:space="preserve">Revisamos integralmente el título, el Resumen, el Abstract, el texto principal, las tablas, las notas, los pies de figura y los puntos 1–12 de esta carta. Estandarizamos la unidad de análisis como</w:t>
      </w:r>
      <w:r>
        <w:t xml:space="preserve"> </w:t>
      </w:r>
      <w:r>
        <w:t xml:space="preserve">“</w:t>
      </w:r>
      <w:r>
        <w:t xml:space="preserve">eventos obstétricos maternos</w:t>
      </w:r>
      <w:r>
        <w:t xml:space="preserve">”</w:t>
      </w:r>
      <w:r>
        <w:t xml:space="preserve">, reservamos</w:t>
      </w:r>
      <w:r>
        <w:t xml:space="preserve"> </w:t>
      </w:r>
      <w:r>
        <w:t xml:space="preserve">“</w:t>
      </w:r>
      <w:r>
        <w:t xml:space="preserve">adolescentes de 10–14 años</w:t>
      </w:r>
      <w:r>
        <w:t xml:space="preserve">”</w:t>
      </w:r>
      <w:r>
        <w:t xml:space="preserve"> </w:t>
      </w:r>
      <w:r>
        <w:t xml:space="preserve">y</w:t>
      </w:r>
      <w:r>
        <w:t xml:space="preserve"> </w:t>
      </w:r>
      <w:r>
        <w:t xml:space="preserve">“</w:t>
      </w:r>
      <w:r>
        <w:t xml:space="preserve">adolescentes de 15–19 años</w:t>
      </w:r>
      <w:r>
        <w:t xml:space="preserve">”</w:t>
      </w:r>
      <w:r>
        <w:t xml:space="preserve"> </w:t>
      </w:r>
      <w:r>
        <w:t xml:space="preserve">para las comparaciones etarias, y usamos</w:t>
      </w:r>
      <w:r>
        <w:t xml:space="preserve"> </w:t>
      </w:r>
      <w:r>
        <w:t xml:space="preserve">“</w:t>
      </w:r>
      <w:r>
        <w:t xml:space="preserve">nacimientos únicos</w:t>
      </w:r>
      <w:r>
        <w:t xml:space="preserve">”</w:t>
      </w:r>
      <w:r>
        <w:t xml:space="preserve"> </w:t>
      </w:r>
      <w:r>
        <w:t xml:space="preserve">para la submuestra neonatal descriptiva. Los rangos se presentan con guion en dash y 2024 se identifica siempre como enero–junio.</w:t>
      </w:r>
    </w:p>
    <w:p>
      <w:pPr>
        <w:pStyle w:val="BodyText"/>
      </w:pPr>
      <w:r>
        <w:rPr>
          <w:b/>
          <w:bCs/>
        </w:rPr>
        <w:t xml:space="preserve">Revisión del Resumen y Abstract:</w:t>
      </w:r>
      <w:r>
        <w:t xml:space="preserve"> </w:t>
      </w:r>
      <w:r>
        <w:t xml:space="preserve">Se armonizaron objetivo, diseño, período, tamaños de muestra, resultados principales, heterogeneidad temporal y restricción por admisión neonatal. El inglés se revisó para utilizar una redacción epidemiológica natural y conservar la misma fuerza interpretativa que el español, sin añadir ni omitir resultados.</w:t>
      </w:r>
    </w:p>
    <w:p>
      <w:pPr>
        <w:pStyle w:val="BodyText"/>
      </w:pPr>
      <w:r>
        <w:rPr>
          <w:b/>
          <w:bCs/>
        </w:rPr>
        <w:t xml:space="preserve">Concordancia numérica:</w:t>
      </w:r>
      <w:r>
        <w:t xml:space="preserve"> </w:t>
      </w:r>
      <w:r>
        <w:t xml:space="preserve">Confirmamos 7.202 registros iniciales, 15 duplicados exactos, 7.187 registros posteriores, 152 consolidaciones, 7.035 eventos obstétricos maternos —386 en adolescentes de 10–14 años y 6.649 en adolescentes de 15–19 años— y 6.790 nacimientos únicos —381 y 6.409, respectivamente—. Los resultados inferenciales de escolaridad, atención prenatal, heterogeneidad temporal y diagnósticos bayesianos concordaron con los outputs validados y no fueron modificados.</w:t>
      </w:r>
    </w:p>
    <w:p>
      <w:pPr>
        <w:pStyle w:val="BodyText"/>
      </w:pPr>
      <w:r>
        <w:rPr>
          <w:b/>
          <w:bCs/>
        </w:rPr>
        <w:t xml:space="preserve">Corrección de la Tabla 1:</w:t>
      </w:r>
      <w:r>
        <w:t xml:space="preserve"> </w:t>
      </w:r>
      <w:r>
        <w:t xml:space="preserve">La revisión detectó que las filas neonatales conservaban denominadores y descriptivos calculados sobre la muestra materna completa, aunque la nota ya las atribuía a la submuestra de nacimientos únicos. Se recalcularon únicamente esos descriptivos, sin ajustar ni reejecutar modelos, aplicando la lógica de desduplicación validada. Todos los denominadores neonatales corregidos son ahora compatibles con el máximo de 6.790 nacimientos únicos y con los conteos por grupo.</w:t>
      </w:r>
    </w:p>
    <w:p>
      <w:pPr>
        <w:pStyle w:val="BodyText"/>
      </w:pPr>
      <w:r>
        <w:rPr>
          <w:b/>
          <w:bCs/>
        </w:rPr>
        <w:t xml:space="preserve">Marcas y formato:</w:t>
      </w:r>
      <w:r>
        <w:t xml:space="preserve"> </w:t>
      </w:r>
      <w:r>
        <w:t xml:space="preserve">Se eliminaron la marca residual</w:t>
      </w:r>
      <w:r>
        <w:t xml:space="preserve"> </w:t>
      </w:r>
      <w:r>
        <w:t xml:space="preserve">“</w:t>
      </w:r>
      <w:r>
        <w:t xml:space="preserve">cc</w:t>
      </w:r>
      <w:r>
        <w:t xml:space="preserve">”</w:t>
      </w:r>
      <w:r>
        <w:t xml:space="preserve">, un encabezado vacío, escapes visibles en el Abstract y contenedores HTML heredados. También se normalizaron encabezados, notas, abreviaturas, espacios y terminología; no se rediseñaron figuras ni se alteraron resultados estadísticos.</w:t>
      </w:r>
    </w:p>
    <w:p>
      <w:pPr>
        <w:pStyle w:val="BodyText"/>
      </w:pPr>
      <w:r>
        <w:rPr>
          <w:b/>
          <w:bCs/>
        </w:rPr>
        <w:t xml:space="preserve">Ubicación exacta de los cambios:</w:t>
      </w:r>
      <w:r>
        <w:t xml:space="preserve"> </w:t>
      </w:r>
      <w:r>
        <w:t xml:space="preserve">título y metadatos Quarto; Resumen y Abstract; Introducción; Materiales y métodos; Resultados; Discusión; pies de figuras 1–3; Tablas 1 y 2; Tablas S1–S12 y sus notas; y puntos 1–12 de esta carta.</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2026-08-10T08:53:02Z</dcterms:created>
  <dcterms:modified xsi:type="dcterms:W3CDTF">2026-08-10T08:53:02Z</dcterms:modified>
</cp:coreProperties>
</file>

<file path=docProps/custom.xml><?xml version="1.0" encoding="utf-8"?>
<Properties xmlns="http://schemas.openxmlformats.org/officeDocument/2006/custom-properties" xmlns:vt="http://schemas.openxmlformats.org/officeDocument/2006/docPropsVTypes"/>
</file>