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Diferencias sociodemográficas, reproductivas y obstétricas entre adolescentes de 10–14 años y de 15–19 años en una población hospitalaria seleccionada por admisión neonatal: estudio transversal retrospectivo</w:t>
      </w:r>
    </w:p>
    <w:p>
      <w:pPr>
        <w:pStyle w:val="Author"/>
      </w:pPr>
      <w:r>
        <w:t xml:space="preserve">Santiago Vasco et al.</w:t>
      </w:r>
    </w:p>
    <w:p>
      <w:pPr>
        <w:pStyle w:val="Heading1"/>
      </w:pPr>
      <w:r>
        <w:t xml:space="preserve">Material suplementario</w:t>
      </w:r>
    </w:p>
    <w:p>
      <w:pPr>
        <w:pStyle w:val="FirstParagraph"/>
      </w:pPr>
      <w:r>
        <w:t xml:space="preserve">Diferencias sociodemográficas, reproductivas y obstétricas entre adolescentes de 10–14 años y de 15–19 años en una población hospitalaria seleccionada por admisión neonatal: estudio transversal retrospectivo</w:t>
      </w:r>
    </w:p>
    <w:bookmarkStart w:id="9" w:name="X83e24cace5010e1c33250ba3c85270d3e584257"/>
    <w:p>
      <w:pPr>
        <w:pStyle w:val="Heading2"/>
      </w:pPr>
      <w:r>
        <w:t xml:space="preserve">Tabla S1. Categorías descriptivas de rezago escolar y de adecuación del control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15–19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10–14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15–19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10–14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65,4 %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53,4 %</w:t>
            </w:r>
          </w:p>
        </w:tc>
      </w:tr>
    </w:tbl>
    <w:p>
      <w:pPr>
        <w:pStyle w:val="BodyText"/>
      </w:pPr>
      <w:r>
        <w:rPr>
          <w:i/>
          <w:iCs/>
        </w:rPr>
        <w:t xml:space="preserve">a Columnas correspondientes a adolescentes de 15–19 años y adolescentes de 10–14 años.</w:t>
      </w:r>
    </w:p>
    <w:p>
      <w:pPr>
        <w:pStyle w:val="BodyText"/>
      </w:pPr>
      <w:r>
        <w:t xml:space="preserve">Complementa la Tabla 1 del cuerpo principal, desagregando las variables binarias</w:t>
      </w:r>
      <w:r>
        <w:t xml:space="preserve"> </w:t>
      </w:r>
      <w:r>
        <w:t xml:space="preserve">“Rezago escolar”</w:t>
      </w:r>
      <w:r>
        <w:t xml:space="preserve"> </w:t>
      </w:r>
      <w:r>
        <w:t xml:space="preserve">y</w:t>
      </w:r>
      <w:r>
        <w:t xml:space="preserve"> </w:t>
      </w:r>
      <w:r>
        <w:t xml:space="preserve">“Adecuación del control prenatal”</w:t>
      </w:r>
      <w:r>
        <w:t xml:space="preserve"> </w:t>
      </w:r>
      <w:r>
        <w:t xml:space="preserve">en sus categorías completas.</w:t>
      </w:r>
    </w:p>
    <w:bookmarkEnd w:id="9"/>
    <w:bookmarkStart w:id="10" w:name="X6f45c234816292f1ceb11dcadc7fcd32460cda8"/>
    <w:p>
      <w:pPr>
        <w:pStyle w:val="Heading2"/>
      </w:pPr>
      <w:r>
        <w:t xml:space="preserve">Tabla S2. Modelos bayesianos de razón de prevalencia (RP) — análisis principal (enero de 2009–junio de 2024) y sensibilidad por subperíodo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Subperíodo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ESSbulk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ESStail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E-BFMI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 (0,77–0,95)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(-0,13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 (3,94–4,74)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 (0,46–0,55)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 (1,24–2,44)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(0,01–0,07)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 (0,09–0,27)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-0,15 (-0,17 a -0,13)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 (0,14–0,79)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 (-0,03 a -0,01)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(0,48–0,79)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-0,09 (-0,12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 (0,28–0,59)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(-0,13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 (0,71–0,91)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(-0,15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 (0,38–0,83)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(-0,07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(0,60–1,00)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(-0,07–0,00)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 (1,09–1,25)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(0,05–0,15)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 ≥2 años respecto de lo esperado para la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 (1,78–2,41)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 (0,13–0,23)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 (0,78–0,95)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(-0,13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 (0,71–0,98)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(-0,18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3,13 (2,65–3,64)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(0,30–0,46)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 (0,76–3,11)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(-0,01–0,06)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 (0,09–0,39)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(-0,19 a -0,12)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 (0,05–0,80)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(-0,04 a -0,01)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(0,56–1,06)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(-0,12–0,02)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 (0,20–0,67)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-0,11 (-0,14 a -0,06)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 (0,79–1,09)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(-0,11–0,05)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(0,35–1,20)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(-0,06–0,02)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 (0,46–1,03)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(-0,11–0,01)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(1,09–1,33)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(0,06–0,20)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 (1,28–2,10)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(0,05–0,21)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(0,65–0,92)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(-0,21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 (0,51–0,85)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(-0,23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6,04 (5,04–7,17)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 (0,46–0,63)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 (1,16–3,08)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(0,01–0,12)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 (0,06–0,41)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(-0,15 a -0,09)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 (0,22–1,92)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-0,01 (-0,03–0,03)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 (0,26–0,75)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-0,11 (-0,16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(0,30–0,84)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-0,09 (-0,14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 (0,76–1,05)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(-0,15–0,03)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(0,20–0,83)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-0,07 (-0,10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 (0,69–1,44)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(-0,06–0,08)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 (0,91–1,22)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(-0,05–0,12)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3,39 (2,65–4,23)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 (0,21–0,38)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(0,77–1,04)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(-0,16–0,02)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(0,93–1,27)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(-0,04–0,15)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4,96 (4,13–5,92)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(0,54–0,70)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 (0,52–1,77)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(-0,05–0,07)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 (0,04–0,39)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-0,14 (-0,17 a -0,10)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(0,05–1,01)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(-0,05–0,00)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(0,38–1,19)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(-0,09–0,03)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(0,15–0,78)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(-0,12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Infeccion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 (0,35–0,81)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-0,14 (-0,21 a -0,06)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 (0,26–1,09)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-0,05 (-0,09–0,01)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(0,32–1,08)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-0,05 (-0,10–0,01)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(1,06–1,35)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(0,04–0,21)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 (1,18–2,31)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(0,03–0,20)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 (0,80–1,15)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-0,01 (-0,12–0,08)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Bernoulli-logit con estandarización posterior, un modelo independiente por característica (10–14 años vs. 15–19 años como referencia). RP: razón de prevalencia; DP: diferencia de prevalencia marginal estandarizada; ev.: eventos; Div.: divergencias. Diagnósticos de convergencia adecuados en todos los modelos (R-hat ≤1,01; cero divergencias; E-BFMI ≥0,30).</w:t>
      </w:r>
    </w:p>
    <w:bookmarkEnd w:id="10"/>
    <w:bookmarkStart w:id="11" w:name="X52bcd9340364808f14d6d3fe0e85ccbc6ccf1cd"/>
    <w:p>
      <w:pPr>
        <w:pStyle w:val="Heading2"/>
      </w:pPr>
      <w:r>
        <w:t xml:space="preserve">Tabla S3. Modelos secundarios de atención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 / 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(0,56–0,84)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de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 (-0,85 a -0,27)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1,0028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 ajustado por edad gestacional al 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de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-0,55 (-0,83 a -0,27)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 / 0</w:t>
            </w:r>
          </w:p>
        </w:tc>
      </w:tr>
    </w:tbl>
    <w:p>
      <w:pPr>
        <w:pStyle w:val="BodyText"/>
      </w:pPr>
      <w:r>
        <w:t xml:space="preserve">Modelo cumulative-logit (adecuación ordinal del control prenatal) y modelos gaussianos de sensibilidad (número de consultas prenatales, no ajustado y ajustado por edad gestacional al parto). La comparación completa de los modelos para el conteo se presenta en la Tabla S8.</w:t>
      </w:r>
    </w:p>
    <w:p>
      <w:pPr>
        <w:pStyle w:val="BodyText"/>
      </w:pPr>
      <w:r>
        <w:t xml:space="preserve">Los estimadores comparan adolescentes de 10–14 años frente a adolescentes de 15–19 años como grupo de referencia. Los valores negativos indican un menor número medio de consultas prenatales en el grupo de 10–14 años. OR: razón de momios acumulada; ICr: intervalo de credibilidad; pd: probabilidad de dirección.</w:t>
      </w:r>
    </w:p>
    <w:bookmarkEnd w:id="11"/>
    <w:bookmarkStart w:id="12" w:name="X89f375b10c6f35523382f1b469af4595113004a"/>
    <w:p>
      <w:pPr>
        <w:pStyle w:val="Heading2"/>
      </w:pPr>
      <w:r>
        <w:t xml:space="preserve">Tabla S4. Datos faltantes por variable y completitud del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faltante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faltante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Lactancia exclusiva al egreso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</w:t>
            </w:r>
            <w:r>
              <w:t xml:space="preserve"> </w:t>
            </w:r>
            <w:r>
              <w:t xml:space="preserve">“adecuada”</w:t>
            </w:r>
            <w:r>
              <w:t xml:space="preserve"> </w:t>
            </w:r>
            <w:r>
              <w:t xml:space="preserve">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del control prenatal (categórica)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1 min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5 min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Recién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gestacional al 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(binario)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de 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Pequeño para la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al nacer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 nivel educativo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 (registrado)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de método anticonceptivo (registrada)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Ictericia 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</w:tbl>
    <w:bookmarkEnd w:id="12"/>
    <w:bookmarkStart w:id="13" w:name="X4497c148d95056527ed024798866b13fe0d9314"/>
    <w:p>
      <w:pPr>
        <w:pStyle w:val="Heading2"/>
      </w:pPr>
      <w:r>
        <w:t xml:space="preserve">Tabla S5. Regla operacional de contactos prenatales esperados según edad gestacional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Edad gestacional al parto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Contactos esperados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20–&lt;26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26–&lt;30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30–&lt;34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34–&lt;36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36–&lt;38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38–&lt;40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≥40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Operacionalización acumulativa del esquema OMS de ocho contactos utilizada para calcular la proporción de contactos observados respecto de los esperados. Sin controles = 0; inadecuado = &gt;0 y &lt;50 %; intermedio = 50 a &lt;80 %; adecuado = ≥80 %.</w:t>
      </w:r>
    </w:p>
    <w:bookmarkEnd w:id="13"/>
    <w:bookmarkStart w:id="14" w:name="X4ee8c20545cfe83faa660c6369d5d4199ca145c"/>
    <w:p>
      <w:pPr>
        <w:pStyle w:val="Heading2"/>
      </w:pPr>
      <w:r>
        <w:t xml:space="preserve">Tabla S6. Thresholds y diagnósticos del modelo ordinal de adecuación del control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1049"/>
        <w:gridCol w:w="1717"/>
        <w:gridCol w:w="1049"/>
        <w:gridCol w:w="1335"/>
        <w:gridCol w:w="133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Mediana posterior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ICr95 %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-3,755 a -3,462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-1,920 a -1,783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-0,525 a -0,426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8617</w:t>
            </w:r>
          </w:p>
        </w:tc>
      </w:tr>
    </w:tbl>
    <w:p>
      <w:pPr>
        <w:pStyle w:val="BodyText"/>
      </w:pPr>
      <w:r>
        <w:t xml:space="preserve">Diagnósticos globales del modelo cumulative-logit: R-hat máximo=1,0009; ESS bulk mínimo=4182; ESS tail mínimo=5184; cero divergencias; profundidad de árbol máxima observada=7 (máxima configurada=15), sin transiciones en la profundidad máxima; E-BFMI mínimo=0,985. Estos diagnósticos no indicaron problemas de convergencia o muestreo.</w:t>
      </w:r>
    </w:p>
    <w:bookmarkEnd w:id="14"/>
    <w:bookmarkStart w:id="15" w:name="Xd4b50690a2b0f3475a096daad50bc02f57ddd66"/>
    <w:p>
      <w:pPr>
        <w:pStyle w:val="Heading2"/>
      </w:pPr>
      <w:r>
        <w:t xml:space="preserve">Tabla S7. Sensibilidad del supuesto de odds proporcionales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0"/>
        <w:gridCol w:w="309"/>
        <w:gridCol w:w="1681"/>
        <w:gridCol w:w="929"/>
        <w:gridCol w:w="973"/>
        <w:gridCol w:w="1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acumulativo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Eventos en categorías superiores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OR ordinal común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Solapamiento de ICr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vs. categorías superiores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 (0,40–1,19)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+ inadecuado vs. intermedio + adecuado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 (0,48–0,80)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+ inadecuado + intermedio vs. adecuado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(0,58–0,88)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p>
      <w:pPr>
        <w:pStyle w:val="BodyText"/>
      </w:pPr>
      <w:r>
        <w:t xml:space="preserve">Modelos Bernoulli-logit separados para cada punto de corte, con adolescentes de 15–19 años como referencia. Los tres OR fueron de magnitud cercana al OR común y sus ICr95 % se solaparon con el ICr95 % del modelo ordinal, resultado compatible con el supuesto de odds proporcionales.</w:t>
      </w:r>
    </w:p>
    <w:bookmarkEnd w:id="15"/>
    <w:bookmarkStart w:id="16" w:name="Xe5e3cc41ca40210cf1bb7737727c84a938a4f04"/>
    <w:p>
      <w:pPr>
        <w:pStyle w:val="Heading2"/>
      </w:pPr>
      <w:r>
        <w:t xml:space="preserve">Tabla S8. Comparación de modelos para el número de consultas prenatales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555"/>
        <w:gridCol w:w="1508"/>
        <w:gridCol w:w="660"/>
        <w:gridCol w:w="754"/>
        <w:gridCol w:w="1320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Ajuste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Estimador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ELPD-LOO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Delta ELPD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PPC fuera del ICr95 %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 máx. / 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0,902 (0,856–0,953)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-16763,08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-0,561 (-0,854 a -0,272)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-16772,73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1,0015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0,902 (0,860–0,943)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-16931,00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1,0021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0,903 (0,857–0,949)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-16443,95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-0,546 (-0,828 a -0,275)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-16470,95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0,903 (0,863–0,945)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-16535,45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 / 0</w:t>
            </w:r>
          </w:p>
        </w:tc>
      </w:tr>
    </w:tbl>
    <w:p>
      <w:pPr>
        <w:pStyle w:val="BodyText"/>
      </w:pPr>
      <w:r>
        <w:t xml:space="preserve">La edad gestacional se incluyó como ajuste por la oportunidad acumulada de recibir consultas prenatales, no como control causal de confusión. RM: razón de medias; DM: diferencia de medias; ELPD-LOO: densidad predictiva esperada estimada mediante validación cruzada leave-one-out; delta ELPD: diferencia respecto del mejor modelo dentro de cada conjunto comparable; PPC: número de 16 estadísticos predictivos observados fuera del ICr95 %; Div.: divergencias. La binomial negativa se adoptó como análisis principal por la naturaleza de conteo del desenlace y su mejor desempeño predictivo; Poisson y gaussiano se conservaron como análisis de sensibilidad.</w:t>
      </w:r>
    </w:p>
    <w:bookmarkEnd w:id="16"/>
    <w:bookmarkStart w:id="17" w:name="Xa7d41c0d4a7f467176caad3b0362d80f97d8dd4"/>
    <w:p>
      <w:pPr>
        <w:pStyle w:val="Heading2"/>
      </w:pPr>
      <w:r>
        <w:t xml:space="preserve">Tabla S9. Diagnósticos bayesianos completos de los modelos auditados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Treedepth observado/configurado; en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E-BFMI 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Resumen PPC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categorías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</w:tbl>
    <w:p>
      <w:pPr>
        <w:pStyle w:val="BodyText"/>
      </w:pPr>
      <w:r>
        <w:t xml:space="preserve">ESS: tamaño efectivo de muestra; Div.: divergencias. Treedepth muestra la profundidad máxima observada/configurada y el número de iteraciones que alcanzaron el máximo configurado. Los PPC Bernoulli compararon prevalencias globales y por grupo y varianza; el ordinal comparó las cuatro proporciones; los modelos de consultas compararon 16 características distributivas. Estos resultados describen desempeño predictivo, no ajuste perfecto.</w:t>
      </w:r>
    </w:p>
    <w:bookmarkEnd w:id="17"/>
    <w:bookmarkStart w:id="18" w:name="Xfbae34eff119e577b3c8ccb65ca3f0889396c32"/>
    <w:p>
      <w:pPr>
        <w:pStyle w:val="Heading2"/>
      </w:pPr>
      <w:r>
        <w:t xml:space="preserve">Tabla S10. Parámetros posteriores completos de los modelos auditados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Estimación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0,237 (0,188 a 0,285)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-0,318 (-0,522 a -0,112)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-1,725 (-1,792 a -1,657)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 (2,149 a 2,596)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-2,965 (-3,076 a -2,855)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(0,229 a 0,966)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-1,500 (-1,565 a -1,436)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-1,972 (-2,596 a -1,458)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-3,287 (-3,417 a -3,158)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-1,009 (-1,991 a -0,243)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-1,212 (-1,269 a -1,155)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-0,580 (-0,884 a -0,298)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-1,560 (-1,623 a -1,497)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-0,984 (-1,402 a -0,620)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0,107 (0,058 a 0,156)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(-0,618 a -0,189)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-2,165 (-2,243 a -2,085)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-0,596 (-1,034 a -0,200)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-1,497 (-1,560 a -1,435)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-0,297 (-0,598 a -0,005)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0,397 (0,349 a 0,446)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0,449 (0,223 a 0,674)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-1,617 (-1,682 a -1,552)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 (0,747 a 1,196)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0,475 (0,424 a 0,525)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-0,337 (-0,544 a -0,126)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-0,376 (-0,578 a -0,176)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-3,606 (-3,755 a -3,462)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-1,851 (-1,920 a -1,783)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-0,476 (-0,525 a -0,426)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5,743 (5,678 a 5,811)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-0,560 (-0,848 a -0,269)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2,766 (2,719 a 2,814)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-3,439 (-4,251 a -2,650)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-0,545 (-0,821 a -0,273)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0,248 (0,226 a 0,270)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2,669 (2,625 a 2,714)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1,748 (1,738 a 1,758)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-0,027 (-0,160 a 0,108)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(-0,148 a -0,057)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 (0,044 a 0,051)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1,748 (1,736 a 1,760)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(-0,156 a -0,050)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14,691 (13,021 a 16,638)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-0,042 (-0,194 a 0,115)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 (0,044 a 0,052)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19,353 (16,856 a 22,501)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</w:tr>
    </w:tbl>
    <w:p>
      <w:pPr>
        <w:pStyle w:val="BodyText"/>
      </w:pPr>
      <w:r>
        <w:t xml:space="preserve">Los interceptos, coeficientes y parámetros auxiliares se presentan en la escala del predictor lineal de cada familia. ICr: intervalo de credibilidad; ESS: tamaño efectivo de muestra.</w:t>
      </w:r>
    </w:p>
    <w:bookmarkEnd w:id="18"/>
    <w:bookmarkStart w:id="19" w:name="X7108c76d484c28e4f0e35ab3be0ece31995c664"/>
    <w:p>
      <w:pPr>
        <w:pStyle w:val="Heading2"/>
      </w:pPr>
      <w:r>
        <w:t xml:space="preserve">Tabla S11. Sensibilidad de los coeficientes principales a priors alternativos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principal: estimación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alternativo: estimación (ICr95 %)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Cambio de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-0,318 (-0,522 a -0,112)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-0,315 (-0,519 a -0,116)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 (2,149 a 2,596)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2,364 (2,147 a 2,585)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(0,229 a 0,966)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(0,227 a 0,962)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-1,972 (-2,596 a -1,458)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-1,983 (-2,609 a -1,444)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-1,009 (-1,991 a -0,243)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-1,005 (-1,925 a -0,284)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-0,580 (-0,884 a -0,298)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-0,585 (-0,882 a -0,314)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-0,984 (-1,402 a -0,620)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-0,988 (-1,414 a -0,612)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(-0,618 a -0,189)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(-0,614 a -0,199)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-0,596 (-1,034 a -0,200)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-0,592 (-1,036 a -0,202)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-0,297 (-0,598 a -0,005)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-0,302 (-0,596 a -0,021)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0,449 (0,223 a 0,674)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0,448 (0,224 a 0,672)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 (0,747 a 1,196)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0,972 (0,753 a 1,182)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-0,337 (-0,544 a -0,126)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-0,338 (-0,554 a -0,122)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-0,376 (-0,578 a -0,176)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-0,379 (-0,579 a -0,181)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-0,560 (-0,848 a -0,269)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-0,558 (-0,843 a -0,278)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-0,545 (-0,821 a -0,273)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-0,544 (-0,817 a -0,273)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(-0,148 a -0,057)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(-0,146 a -0,058)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(-0,156 a -0,050)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(-0,157 a -0,050)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Se muestran las medianas posteriores del coeficiente del grupo de 10–14 años en la escala del predictor lineal. Los priors alternativos fueron moderadamente más amplios y específicos de cada familia, según se describe en Métodos. La máxima diferencia absoluta fue 0,0113 y no hubo cambios de dirección.</w:t>
      </w:r>
    </w:p>
    <w:bookmarkEnd w:id="19"/>
    <w:bookmarkStart w:id="20" w:name="tabla-s12.-heterogeneidad-temporal"/>
    <w:p>
      <w:pPr>
        <w:pStyle w:val="Heading2"/>
      </w:pPr>
      <w:r>
        <w:t xml:space="preserve">Tabla S12. Heterogeneidad temporal de pareja estable, etnia minoritaria y control prenatal adecuado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10–14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15–19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Razón de OR de interacción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ΔELPD (EE), interacción vs. aditivo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(-0,18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 (0,71–0,97)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(-0,24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 (0,50–0,84)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 (0,46–1,25)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 (-0,04 a 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(0,93–1,26)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 (1,13–3,17)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(-0,01 a 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 (0,79–3,02)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(0,01 a 0,13)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 (1,19–3,18)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 (0,54–3,17)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(-0,04 a 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 (0,53–1,82)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 (0,25–1,63)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(-0,21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 (0,65–0,92)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(-0,16 a 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(0,77–1,03)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 (0,78–2,10)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 (-0,12 a 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 (0,80–1,14)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 (0,95–2,63)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</w:tbl>
    <w:p>
      <w:pPr>
        <w:pStyle w:val="BodyText"/>
      </w:pPr>
      <w:r>
        <w:t xml:space="preserve">Prevalencias marginales posteriores y contrastes de adolescentes de 10–14 frente a 15–19 años obtenidos del modelo conjunto con interacción; pueden diferir mínimamente de los modelos independientes por subperíodo de la Tabla S2. DP: diferencia marginal de prevalencias; RP: razón marginal de prevalencias; razón de OR: exponencial del término grupo × período respecto de 2009–2014; ELPD: densidad predictiva esperada estimada mediante LOO; EE: error estándar de la diferencia. Para pareja estable, la ventaja predictiva del modelo con interacción fue pequeña e incierta; para etnia minoritaria y control prenatal adecuado, la interacción no mejoró la predicción. La sensibilidad ordinal de adecuación prenatal produjo OR de 0,57, 0,76 y 0,86 en los tres períodos y ΔELPD=-0,31 (EE=1,79).</w:t>
      </w:r>
    </w:p>
    <w:bookmarkEnd w:id="20"/>
    <w:bookmarkStart w:id="21" w:name="tabla-s13.-reconciliacion-final"/>
    <w:p>
      <w:pPr>
        <w:pStyle w:val="Heading2"/>
      </w:pPr>
      <w:r>
        <w:t xml:space="preserve">Tabla S13. Reconciliación final del flujo y de los denominadores neonatales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 o 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10–14 años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15–19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iniciales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Duplicados exactos eliminados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después de duplicados exactos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consolidados mediante linkage (umbral principal: 3 semanas)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obstétricos maternos finales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Embarazos múltiples excluidos de la descripción neonatal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Nacimientos únicos analizados (máximo neonatal)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gestacional al parto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al nacer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&lt;7 al minuto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&lt;7 al minuto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Pequeño para la edad gestacional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Macrosomía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Ictericia neonatal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recién nacido vivo al egreso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Lactancia exclusiva al egreso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5.485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Sensibilidad del linkage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Escenario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 consolidados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Eventos obstétricos finales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Embarazos múltiples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Llave exacta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Tolerancia 1 semana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Tolerancia 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Tolerancia 3 semanas — análisis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</w:tr>
    </w:tbl>
    <w:p>
      <w:pPr>
        <w:pStyle w:val="BodyText"/>
      </w:pPr>
      <w:r>
        <w:t xml:space="preserve">La resta entre etapas consecutivas reconcilia 7.202 − 15 − 152 = 7.035. Los 152 registros consolidados representan la reducción de filas mediante linkage, mientras que los 245 embarazos múltiples son eventos obstétricos clasificados como múltiples que permanecen en la muestra materna final; no son la misma cantidad ni la misma unidad. La submuestra neonatal excluye esos 245 eventos: 7.035 − 245 = 6.790. Los denominadores específicos reflejan análisis de casos disponibles. Los cuatro escenarios se conservan en</w:t>
      </w:r>
      <w:r>
        <w:t xml:space="preserve"> </w:t>
      </w:r>
      <w:r>
        <w:rPr>
          <w:rStyle w:val="VerbatimChar"/>
        </w:rPr>
        <w:t xml:space="preserve">output/reconciliation/sensibilidad_linkage_CORREGIDA.csv</w:t>
      </w:r>
      <w:r>
        <w:t xml:space="preserve">.</w:t>
      </w:r>
    </w:p>
    <w:bookmarkEnd w:id="21"/>
    <w:bookmarkStart w:id="22" w:name="tabla-s14.-sensibilidad-rezago-escolar"/>
    <w:p>
      <w:pPr>
        <w:pStyle w:val="Heading2"/>
      </w:pPr>
      <w:r>
        <w:t xml:space="preserve">Tabla S14. Regla de años esperados y sensibilidad del indicador de rezago escolar</w:t>
      </w:r>
    </w:p>
    <w:p>
      <w:pPr>
        <w:pStyle w:val="FirstParagraph"/>
      </w:pPr>
      <w:r>
        <w:rPr>
          <w:b/>
          <w:bCs/>
        </w:rPr>
        <w:t xml:space="preserve">Panel A. Años esperados según edad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Edad (años)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Regla principal: edad − 6, tope 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Regla alternativa: edad − 5, tope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Panel B. Comparación del indicador binario de rezago ≥2 años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Regla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10–14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15–19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Divergencias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E-BFMI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PPC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Principal: edad − 6; tope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 (1,78–2,41)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Sensibilidad: edad − 5; tope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 (1,99–2,59)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</w:tr>
    </w:tbl>
    <w:p>
      <w:pPr>
        <w:pStyle w:val="BodyText"/>
      </w:pPr>
      <w:r>
        <w:t xml:space="preserve">Ambas reglas utilizaron el mismo cálculo de años aprobados, tope de 12 años, tratamiento de datos faltantes, definición binaria (rezago ≥2 años) y modelo bayesiano Bernoulli-logit con estandarización posterior. En ambos ajustes la profundidad máxima observada fue 4, ninguna iteración alcanzó el máximo configurado de 15 y los PPC de las prevalencias global y por grupo quedaron dentro del ICr95 % predictivo. Fuente reproducible:</w:t>
      </w:r>
      <w:r>
        <w:t xml:space="preserve"> </w:t>
      </w:r>
      <w:r>
        <w:rPr>
          <w:rStyle w:val="VerbatimChar"/>
        </w:rPr>
        <w:t xml:space="preserve">R/08_punto4_sensibilidad_rezago_escolar.R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output/rezago_escolar/</w:t>
      </w:r>
      <w:r>
        <w:t xml:space="preserve">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Diferencias sociodemográficas, reproductivas y obstétricas entre adolescentes de 10–14 años y de 15–19 años en una población hospitalaria seleccionada por admisión neonatal: estudio transversal retrospectivo</dc:title>
  <dc:creator>Santiago Vasco et al.</dc:creator>
  <cp:keywords/>
  <dcterms:created xsi:type="dcterms:W3CDTF">2026-08-10T08:53:08Z</dcterms:created>
  <dcterms:modified xsi:type="dcterms:W3CDTF">2026-08-10T08:53:08Z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sl">
    <vt:lpwstr>../rbsmi-vancouver-icmje.csl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