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ta-de-reconciliación-numérica-r2"/>
    <w:p>
      <w:pPr>
        <w:pStyle w:val="Heading1"/>
      </w:pPr>
      <w:r>
        <w:t xml:space="preserve">Nota de reconciliación numérica R2</w:t>
      </w:r>
    </w:p>
    <w:p>
      <w:pPr>
        <w:pStyle w:val="FirstParagraph"/>
      </w:pPr>
      <w:r>
        <w:t xml:space="preserve">Se deja constancia de que la base fuente comprendió</w:t>
      </w:r>
      <w:r>
        <w:t xml:space="preserve"> </w:t>
      </w:r>
      <w:r>
        <w:rPr>
          <w:b/>
          <w:bCs/>
        </w:rPr>
        <w:t xml:space="preserve">7.202 registros iniciales</w:t>
      </w:r>
      <w:r>
        <w:t xml:space="preserve">. Se eliminaron</w:t>
      </w:r>
      <w:r>
        <w:t xml:space="preserve"> </w:t>
      </w:r>
      <w:r>
        <w:rPr>
          <w:b/>
          <w:bCs/>
        </w:rPr>
        <w:t xml:space="preserve">15 duplicados exactos</w:t>
      </w:r>
      <w:r>
        <w:t xml:space="preserve">, por lo que quedaron</w:t>
      </w:r>
      <w:r>
        <w:t xml:space="preserve"> </w:t>
      </w:r>
      <w:r>
        <w:rPr>
          <w:b/>
          <w:bCs/>
        </w:rPr>
        <w:t xml:space="preserve">7.187 registros después de eliminar duplicados</w:t>
      </w:r>
      <w:r>
        <w:t xml:space="preserve">. Posteriormente,</w:t>
      </w:r>
      <w:r>
        <w:t xml:space="preserve"> </w:t>
      </w:r>
      <w:r>
        <w:rPr>
          <w:b/>
          <w:bCs/>
        </w:rPr>
        <w:t xml:space="preserve">152 registros fueron consolidados mediante linkage</w:t>
      </w:r>
      <w:r>
        <w:t xml:space="preserve">, obteniéndose</w:t>
      </w:r>
      <w:r>
        <w:t xml:space="preserve"> </w:t>
      </w:r>
      <w:r>
        <w:rPr>
          <w:b/>
          <w:bCs/>
        </w:rPr>
        <w:t xml:space="preserve">7.035 eventos obstétricos maternos finales</w:t>
      </w:r>
      <w:r>
        <w:t xml:space="preserve">:</w:t>
      </w:r>
      <w:r>
        <w:t xml:space="preserve"> </w:t>
      </w:r>
      <w:r>
        <w:rPr>
          <w:b/>
          <w:bCs/>
        </w:rPr>
        <w:t xml:space="preserve">386 correspondientes a 10–14 años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6.649 correspondientes a 15–19 años</w:t>
      </w:r>
      <w:r>
        <w:t xml:space="preserve">.</w:t>
      </w:r>
    </w:p>
    <w:p>
      <w:pPr>
        <w:pStyle w:val="BodyText"/>
      </w:pPr>
      <w:r>
        <w:t xml:space="preserve">La muestra materna final conservó</w:t>
      </w:r>
      <w:r>
        <w:t xml:space="preserve"> </w:t>
      </w:r>
      <w:r>
        <w:rPr>
          <w:b/>
          <w:bCs/>
        </w:rPr>
        <w:t xml:space="preserve">245 eventos clasificados como embarazos múltiples</w:t>
      </w:r>
      <w:r>
        <w:t xml:space="preserve">.</w:t>
      </w:r>
    </w:p>
    <w:p>
      <w:pPr>
        <w:pStyle w:val="BodyText"/>
      </w:pPr>
      <w:r>
        <w:t xml:space="preserve">La submuestra neonatal comprendió</w:t>
      </w:r>
      <w:r>
        <w:t xml:space="preserve"> </w:t>
      </w:r>
      <w:r>
        <w:rPr>
          <w:b/>
          <w:bCs/>
        </w:rPr>
        <w:t xml:space="preserve">6.790 nacimientos únicos</w:t>
      </w:r>
      <w:r>
        <w:t xml:space="preserve">:</w:t>
      </w:r>
      <w:r>
        <w:t xml:space="preserve"> </w:t>
      </w:r>
      <w:r>
        <w:rPr>
          <w:b/>
          <w:bCs/>
        </w:rPr>
        <w:t xml:space="preserve">381 correspondientes a 10–14 años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6.409 correspondientes a 15–19 años</w:t>
      </w:r>
      <w:r>
        <w:t xml:space="preserve">. Los denominadores neonatales específicos fueron auditados según disponibilidad de datos.</w:t>
      </w:r>
    </w:p>
    <w:p>
      <w:pPr>
        <w:pStyle w:val="BodyText"/>
      </w:pPr>
      <w:r>
        <w:t xml:space="preserve">La reconciliación se encuentra documentada expresamente en: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output/reconciliation/reconciliacion_final_por_grupo.csv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output/reconciliation/denominadores_neonatales_por_grupo.csv</w:t>
      </w:r>
    </w:p>
    <w:p>
      <w:pPr>
        <w:pStyle w:val="FirstParagraph"/>
      </w:pPr>
      <w:r>
        <w:t xml:space="preserve">Autor responsable del análisis: Santiago Vasco</w:t>
      </w:r>
    </w:p>
    <w:p>
      <w:pPr>
        <w:pStyle w:val="BodyText"/>
      </w:pPr>
      <w:r>
        <w:t xml:space="preserve">Firma: Pendiente de firma</w:t>
      </w:r>
    </w:p>
    <w:p>
      <w:pPr>
        <w:pStyle w:val="BodyText"/>
      </w:pPr>
      <w:r>
        <w:t xml:space="preserve">Fecha: Pendiente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2026-08-10T08:53:02Z</dcterms:created>
  <dcterms:modified xsi:type="dcterms:W3CDTF">2026-08-10T08:53:02Z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