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9.png" ContentType="image/png"/>
  <Override PartName="/word/media/rId33.png" ContentType="image/png"/>
  <Override PartName="/word/media/rId25.png" ContentType="image/png"/>
  <Override PartName="/word/media/rId4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Sección</w:t>
      </w:r>
      <w:r>
        <w:t xml:space="preserve"> </w:t>
      </w:r>
      <w:r>
        <w:t xml:space="preserve">de</w:t>
      </w:r>
      <w:r>
        <w:t xml:space="preserve"> </w:t>
      </w:r>
      <w:r>
        <w:t xml:space="preserve">resultados</w:t>
      </w:r>
      <w:r>
        <w:t xml:space="preserve"> </w:t>
      </w:r>
      <w:r>
        <w:t xml:space="preserve">completa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X2be0ec436b9d44a13ce4d702f665fb64644a95f"/>
    <w:p>
      <w:pPr>
        <w:pStyle w:val="Titre1"/>
      </w:pPr>
      <w:r>
        <w:t xml:space="preserve">4. Resultados</w:t>
      </w:r>
    </w:p>
    <w:bookmarkStart w:id="20" w:name="X5478faaa65ffe65e6c07a1d9070b1f88f0d3797"/>
    <w:p>
      <w:pPr>
        <w:pStyle w:val="Titre2"/>
      </w:pPr>
      <w:r>
        <w:t xml:space="preserve">4.1 Población analizada</w:t>
      </w:r>
    </w:p>
    <w:p>
      <w:pPr>
        <w:pStyle w:val="FirstParagraph"/>
      </w:pPr>
      <w:r>
        <w:t xml:space="preserve">De 23.848 registros, 23.642 tuvieron desenlace conocido: 489 correspondieron a muerte fetal y 23.153 a ausencia de muerte fetal; 206 registros tuvieron desenlace faltante. Entre los registros con desenlace disponible, la frecuencia relativa observada fue 2,07%.</w:t>
      </w:r>
    </w:p>
    <w:bookmarkEnd w:id="20"/>
    <w:bookmarkStart w:id="21" w:name="Xa293b4140534d16d75f311247fe35a94d024c08"/>
    <w:p>
      <w:pPr>
        <w:pStyle w:val="Titre2"/>
      </w:pPr>
      <w:r>
        <w:t xml:space="preserve">4.2 Calidad y disponibilidad de los datos</w:t>
      </w:r>
    </w:p>
    <w:p>
      <w:pPr>
        <w:pStyle w:val="FirstParagraph"/>
      </w:pPr>
      <w:r>
        <w:t xml:space="preserve">Se trataron como faltantes 247 valores incompatibles de edad materna. Seguro tuvo 7.386 valores faltantes en la base original (aproximadamente 31%). En acompañamiento, 65 valores “0” se consideraron no interpretables. Los 206 registros de embarazo múltiple presentaron desenlace faltante, lo cual impidió estimar una asociación para esta variable.</w:t>
      </w:r>
    </w:p>
    <w:bookmarkEnd w:id="21"/>
    <w:bookmarkStart w:id="22" w:name="Xd58efd10009e1502df5fac0684b91504685f479"/>
    <w:p>
      <w:pPr>
        <w:pStyle w:val="Titre2"/>
      </w:pPr>
      <w:r>
        <w:t xml:space="preserve">4.3 Análisis descriptivo</w:t>
      </w:r>
    </w:p>
    <w:p>
      <w:pPr>
        <w:pStyle w:val="FirstParagraph"/>
      </w:pPr>
      <w:r>
        <w:t xml:space="preserve">Las características por desenlace se presentan en la Tabla 1. La distribución mostró heterogeneidad entre variables sociales, asistenciales, clínicas y obstétricas; se priorizó la interpretación de estimaciones ajustadas y su incertidumbre.</w:t>
      </w:r>
    </w:p>
    <w:p>
      <w:pPr>
        <w:pStyle w:val="BodyText"/>
      </w:pPr>
      <w:r>
        <w:rPr>
          <w:b/>
          <w:bCs/>
        </w:rPr>
        <w:t xml:space="preserve">Tabla 1. Características de los registros según desenlace.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MUERTE_FETAL_NO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MUERTE_FETAL_SI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16105 (69.68%)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 (72.02%)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7008 (69.68%)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 (72.02%)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SECUNDARIA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12702 (55.17%)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 (54.10%)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622 (55.17%)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(54.10%)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7617 (55.17%)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 (54.10%)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2084 (55.17%)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(54.10%)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Acompanada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 (23.53%)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 (31.13%)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Acompanada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17654 (23.53%)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334 (31.13%)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 al ingreso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8473 (36.72%)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(26.72%)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 al ingreso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10789 (36.72%)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 (26.72%)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 al ingreso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INMINENTE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3813 (36.72%)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 (26.72%)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Infeccion de vias urinarias (IVU)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22849 (98.69%)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487 (99.59%)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Infeccion de vias urinarias (IVU)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(98.69%)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(99.59%)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Ruptura prematura de membranas (RPM)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20390 (88.07%)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 (93.87%)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Ruptura prematura de membranas (RPM)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2763 (88.07%)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(93.87%)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Psicoprofilaxis (alguna)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4002 (17.37%)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 (34.85%)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Psicoprofilaxis (alguna)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19042 (17.37%)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314 (34.85%)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Hemorragia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20517 (88.62%)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439 (89.78%)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Hemorragia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2635 (88.62%)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(89.78%)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Presentacion de vertice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701 (3.03%)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(3.27%)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Presentacion de vertice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22452 (3.03%)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473 (3.27%)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Trastornos hipertensivos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19462 (84.06%)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 (82.82%)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Trastornos hipertensivos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PREECLAMPSIA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2824 (84.06%)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 (82.82%)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Trastornos hipertensivos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HTA INDUCIDA POR EL EMBARAZO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745 (84.06%)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(82.82%)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Trastornos hipertensivos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HTA PREEXISTENTE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 (84.06%)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(82.82%)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Trastornos hipertensivos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ECLAMPSIA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(84.06%)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(82.82%)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Desprendimiento prematuro de placenta (DPP)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23043 (99.52%)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 (96.93%)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Desprendimiento prematuro de placenta (DPP)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 (99.52%)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(96.93%)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Nota: Frecuencias derivadas de la base analítica frecuentista; los denominadores pueden variar por datos faltantes.</w:t>
      </w:r>
    </w:p>
    <w:bookmarkEnd w:id="22"/>
    <w:bookmarkStart w:id="23" w:name="X87216e8749c4903e4dfdc7fe96a95663c75a758"/>
    <w:p>
      <w:pPr>
        <w:pStyle w:val="Titre2"/>
      </w:pPr>
      <w:r>
        <w:t xml:space="preserve">4.4 Asociaciones crudas frecuentistas</w:t>
      </w:r>
    </w:p>
    <w:p>
      <w:pPr>
        <w:pStyle w:val="FirstParagraph"/>
      </w:pPr>
      <w:r>
        <w:t xml:space="preserve">Las asociaciones crudas se resumen en la Tabla 2. DPP, eclampsia y las categorías de riesgo al ingreso mostraron asociaciones positivas destacadas. Acompañamiento, mayor número de controles, mayor número de sesiones y RPM mostraron asociaciones negativas; estas direcciones no establecen temporalidad ni causalidad.</w:t>
      </w:r>
    </w:p>
    <w:p>
      <w:pPr>
        <w:pStyle w:val="BodyText"/>
      </w:pPr>
      <w:r>
        <w:rPr>
          <w:b/>
          <w:bCs/>
        </w:rPr>
        <w:t xml:space="preserve">Tabla 2. Asociaciones crudas con muerte fetal.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OR_crudo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N_analizado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SEGURO_A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0.94-2.09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SECUNDARIA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0.57-1.77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SECUNDARIA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0.88-1.30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SECUNDARIA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Acompanada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Acompanamiento (detalle)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Acompanamiento (detalle)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1.15-1.96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Acompanamiento (detalle)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1.22-1.91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 al ingreso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1.25-1.92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 al ingreso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INMINENTE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1.30-2.22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Infeccion de vias urinarias (IVU)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Ruptura prematura de membranas (RPM)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Psicoprofilaxis (alguna)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Hemorragia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Presentacion de vertice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0.56-1.53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Trastornos hipertensivos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PREECLAMPSIA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0.82-1.40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Trastornos hipertensivos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HTA INDUCIDA POR EL EMBARAZO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0.57-1.63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Trastornos hipertensivos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HTA PREEXISTENTE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0.11-5.60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Trastornos hipertensivos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ECLAMPSIA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1.60-10.02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Desprendimiento prematuro de placenta (DPP)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3.84-11.46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23642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Nota: OR: odds ratio; IC95%: intervalo de confianza del 95%. Las pruebas exactas completas se presentan en el suplemento.</w:t>
      </w:r>
    </w:p>
    <w:bookmarkEnd w:id="23"/>
    <w:bookmarkStart w:id="24" w:name="X8ac6535e6400885e67c62e657af09333928bd51"/>
    <w:p>
      <w:pPr>
        <w:pStyle w:val="Titre2"/>
      </w:pPr>
      <w:r>
        <w:t xml:space="preserve">4.5 Modelos frecuentistas ajustados</w:t>
      </w:r>
    </w:p>
    <w:p>
      <w:pPr>
        <w:pStyle w:val="FirstParagraph"/>
      </w:pPr>
      <w:r>
        <w:t xml:space="preserve">En el modelo social y de atención, estar acompañada se asoció con menores odds (aOR 0,70; IC95% 0,58–0,86), al igual que cada control prenatal adicional (aOR 0,84; IC95% 0,81–0,87) y cada sesión adicional (aOR 0,87; IC95% 0,83–0,92). En el modelo clínico, riesgo alto tuvo aOR 1,64 (IC95% 1,32–2,03) y riesgo inminente aOR 1,89 (IC95% 1,33–2,69). En el modelo obstétrico, DPP tuvo aOR 6,25 (IC95% 3,59–10,87), eclampsia aOR 3,37 (IC95% 1,32–8,61) y RPM aOR 0,51 (IC95% 0,35–0,74).</w:t>
      </w:r>
    </w:p>
    <w:p>
      <w:pPr>
        <w:pStyle w:val="BodyText"/>
      </w:pPr>
      <w:r>
        <w:rPr>
          <w:b/>
          <w:bCs/>
        </w:rPr>
        <w:t xml:space="preserve">Tabla 3. Modelo frecuentista social y de atención prenatal.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 materna &lt;20 vs 20-34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0.49-1.91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 materna &gt;=35 vs 20-34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 si vs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instruccion vs secundaria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0.53-1.64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Primaria vs secundaria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Superior vs secundaria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0.83-1.62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Acompanada vs sola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Numero de controles prenatales, por cada control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Numero de sesiones de psicoprofilaxis, por cada sesion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IVU si vs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Nota: aOR: odds ratio ajustado; IC95%: intervalo de confianza del 95%.</w:t>
      </w:r>
    </w:p>
    <w:p>
      <w:pPr>
        <w:pStyle w:val="BodyText"/>
      </w:pPr>
      <w:r>
        <w:rPr>
          <w:b/>
          <w:bCs/>
        </w:rPr>
        <w:t xml:space="preserve">Tabla 4. Modelo frecuentista materno-clínico.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 materna &lt;20 vs 20-34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0.46-1.76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 materna &gt;=35 vs 20-34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Preeclampsia vs ningun trastorno hipertensivo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HTA inducida por embarazo vs 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0.48-1.46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HTA preexistente vs 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0.08-4.25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Eclampsia vs ningun trastorno hipertensivo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0.93-6.45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IVU si vs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 alto vs riesgo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1.32-2.03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 inminente vs riesgo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1.33-2.69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Numero de controles prenatales, por cada control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Nota: aOR: odds ratio ajustado; IC95%: intervalo de confianza del 95%.</w:t>
      </w:r>
    </w:p>
    <w:p>
      <w:pPr>
        <w:pStyle w:val="BodyText"/>
      </w:pPr>
      <w:r>
        <w:rPr>
          <w:b/>
          <w:bCs/>
        </w:rPr>
        <w:t xml:space="preserve">Tabla 5. Modelo frecuentista obstétrico.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 materna &lt;20 vs 20-34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0.51-1.96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 materna &gt;=35 vs 20-34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0.82-1.23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Preeclampsia vs ningun trastorno hipertensivo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0.76-1.31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HTA inducida por embarazo vs 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0.57-1.62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HTA preexistente vs 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0.10-5.44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Eclampsia vs ningun trastorno hipertensivo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1.32-8.61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RPM si vs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DPP si vs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3.59-10.87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Hemorragia si vs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Presentacion de vertice vs no vertice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0.57-1.56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Nota: aOR: odds ratio ajustado; IC95%: intervalo de confianza del 95%.</w:t>
      </w:r>
    </w:p>
    <w:bookmarkEnd w:id="24"/>
    <w:bookmarkStart w:id="28" w:name="X9ce567bab4bcf5a022587331630e74bc3665771"/>
    <w:p>
      <w:pPr>
        <w:pStyle w:val="Titre2"/>
      </w:pPr>
      <w:r>
        <w:t xml:space="preserve">4.6 Modelo bayesiano principal</w:t>
      </w:r>
    </w:p>
    <w:p>
      <w:pPr>
        <w:pStyle w:val="FirstParagraph"/>
      </w:pPr>
      <w:r>
        <w:t xml:space="preserve">El modelo principal incluyó 23.095 registros y 468 eventos. Se observaron asociaciones negativas para acompañamiento (OR posterior 0,71; CrI95% 0,58–0,86; P[OR&lt;1]=1,000), controles por una desviación estándar (OR 0,62; CrI95% 0,57–0,68; P[OR&lt;1]=1,000) y sesiones por una desviación estándar (OR 0,76; CrI95% 0,68–0,84; P[OR&lt;1]=1,000). Para IVU, la mediana fue 0,51, con CrI95% 0,20–1,12 y P(OR&lt;1)=0,950. Para eclampsia, el OR fue 1,67 (CrI95% 0,62–3,89; P[OR&gt;1]=0,853). Las restantes estimaciones se presentan en la Tabla 6.</w:t>
      </w:r>
    </w:p>
    <w:p>
      <w:pPr>
        <w:pStyle w:val="BodyText"/>
      </w:pPr>
      <w:r>
        <w:rPr>
          <w:b/>
          <w:bCs/>
        </w:rPr>
        <w:t xml:space="preserve">Tabla 6. Modelo bayesiano principal.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posterior (CrI95%)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P(OR&gt;1)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P(OR&lt;1)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 &lt;20 vs 20-34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 (0,48–1,67)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EDAD_CAT&gt;EQ35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1,03 (0,83–1,27)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Preeclampsia vs 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 (0,82–1,40)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HTA inducida por embarazo vs 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1,04 (0,60–1,66)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HTA preexistente vs 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0,86 (0,27–2,39)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Eclampsia vs ningún trastorno hipertensivo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1,67 (0,62–3,89)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Pareja estable sí vs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 (0,77–1,17)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Ninguna instrucción vs secundaria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 (0,53–1,51)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Primaria vs secundaria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 (0,80–1,19)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Superior vs secundaria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 (0,80–1,56)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Acompañada vs sola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 (0,58–0,86)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Controles prenatales, por 1 DE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 (0,57–0,68)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Sesiones de psicoprofilaxis, por 1 DE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 (0,68–0,84)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IVU sí vs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0,51 (0,20–1,12)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Nota: Estimaciones: medianas posteriores; CrI95%: intervalo creíble del 95%. Los predictores continuos se expresan por 1 DE.</w:t>
      </w:r>
    </w:p>
    <w:p>
      <w:pPr>
        <w:pStyle w:val="BodyText"/>
      </w:pPr>
      <w:r>
        <w:drawing>
          <wp:inline>
            <wp:extent cx="5334000" cy="3852333"/>
            <wp:effectExtent b="0" l="0" r="0" t="0"/>
            <wp:docPr descr="Figura 1. Forest plot del modelo bayesiano principal" title="" id="26" name="Picture"/>
            <a:graphic>
              <a:graphicData uri="http://schemas.openxmlformats.org/drawingml/2006/picture">
                <pic:pic>
                  <pic:nvPicPr>
                    <pic:cNvPr descr="figuras/FOREST_BAYES_PRINCIPA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{width=85%}</w:t>
      </w:r>
    </w:p>
    <w:p>
      <w:pPr>
        <w:pStyle w:val="BodyText"/>
      </w:pPr>
      <w:r>
        <w:rPr>
          <w:i/>
          <w:iCs/>
        </w:rPr>
        <w:t xml:space="preserve">Figura 1. Forest plot del modelo bayesiano principal. La línea vertical en OR=1 representa ausencia de asociación; los puntos son medianas posteriores y las barras CrI95%.</w:t>
      </w:r>
    </w:p>
    <w:bookmarkEnd w:id="28"/>
    <w:bookmarkStart w:id="32" w:name="X3c4fb4fc8b1e1c22e79421a8faba403f00a69d9"/>
    <w:p>
      <w:pPr>
        <w:pStyle w:val="Titre2"/>
      </w:pPr>
      <w:r>
        <w:t xml:space="preserve">4.7 Modelo clínico bayesiano</w:t>
      </w:r>
    </w:p>
    <w:p>
      <w:pPr>
        <w:pStyle w:val="FirstParagraph"/>
      </w:pPr>
      <w:r>
        <w:t xml:space="preserve">Riesgo alto se asoció con mayores odds (OR posterior 1,60; CrI95% 1,29–1,98; P[OR&gt;1]=1,000) y riesgo inminente mostró una asociación positiva de mayor magnitud (OR 1,81; CrI95% 1,29–2,51; P[OR&gt;1]=1,000). Estas variables se interpretaron como marcadores de gravedad clínica al ingreso.</w:t>
      </w:r>
    </w:p>
    <w:p>
      <w:pPr>
        <w:pStyle w:val="BodyText"/>
      </w:pPr>
      <w:r>
        <w:rPr>
          <w:b/>
          <w:bCs/>
        </w:rPr>
        <w:t xml:space="preserve">Tabla 7. Modelo bayesiano clínico al ingreso.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posterior (CrI95%)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P(OR&gt;1)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P(OR&lt;1)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 &lt;20 vs 20-34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 (0,47–1,61)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EDAD_CAT&gt;EQ35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 (0,88–1,32)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Preeclampsia vs 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 (0,62–1,24)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HTA inducida por embarazo vs 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 (0,50–1,40)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HTA preexistente vs 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 (0,26–2,08)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Eclampsia vs ningún trastorno hipertensivo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1,78 (0,72–3,98)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IVU sí vs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 (0,18–1,03)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 alto vs riesgo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1,60 (1,29–1,98)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 inminente vs riesgo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1,81 (1,29–2,51)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Controles prenatales, por 1 DE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 (0,54–0,64)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Nota: El riesgo al ingreso es un marcador clínico y no una exposición causal demostrada.</w:t>
      </w:r>
    </w:p>
    <w:p>
      <w:pPr>
        <w:pStyle w:val="BodyText"/>
      </w:pPr>
      <w:r>
        <w:drawing>
          <wp:inline>
            <wp:extent cx="5334000" cy="3141133"/>
            <wp:effectExtent b="0" l="0" r="0" t="0"/>
            <wp:docPr descr="Figura 2. Forest plot del modelo clínico bayesiano" title="" id="30" name="Picture"/>
            <a:graphic>
              <a:graphicData uri="http://schemas.openxmlformats.org/drawingml/2006/picture">
                <pic:pic>
                  <pic:nvPicPr>
                    <pic:cNvPr descr="figuras/FOREST_BAYES_CLINICO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1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{width=85%}</w:t>
      </w:r>
    </w:p>
    <w:p>
      <w:pPr>
        <w:pStyle w:val="BodyText"/>
      </w:pPr>
      <w:r>
        <w:rPr>
          <w:i/>
          <w:iCs/>
        </w:rPr>
        <w:t xml:space="preserve">Figura 2. Forest plot del modelo clínico bayesiano. Medianas posteriores y CrI95%; línea de referencia en OR=1.</w:t>
      </w:r>
    </w:p>
    <w:bookmarkEnd w:id="32"/>
    <w:bookmarkStart w:id="36" w:name="Xa2a31bf3528adfc9aa8c83e84fbcec9f446e199"/>
    <w:p>
      <w:pPr>
        <w:pStyle w:val="Titre2"/>
      </w:pPr>
      <w:r>
        <w:t xml:space="preserve">4.8 Modelo obstétrico bayesiano</w:t>
      </w:r>
    </w:p>
    <w:p>
      <w:pPr>
        <w:pStyle w:val="FirstParagraph"/>
      </w:pPr>
      <w:r>
        <w:t xml:space="preserve">DPP mostró la asociación positiva de mayor magnitud (OR posterior 4,73; CrI95% 2,57–8,10; P[OR&gt;1]=1,000). Para eclampsia, el OR posterior fue 2,16 (CrI95% 0,87–4,89): aunque el CrI95% incluyó 1, el 95,2% de la masa posterior se ubicó en OR&gt;1. RPM mostró una asociación negativa (OR 0,52; CrI95% 0,36–0,74; P[OR&lt;1]=1,000), que no debe interpretarse automáticamente como efecto preventivo por la posible temporalidad inversa y las diferencias de registro clínico.</w:t>
      </w:r>
    </w:p>
    <w:p>
      <w:pPr>
        <w:pStyle w:val="BodyText"/>
      </w:pPr>
      <w:r>
        <w:rPr>
          <w:b/>
          <w:bCs/>
        </w:rPr>
        <w:t xml:space="preserve">Tabla 8. Modelo bayesiano de complicaciones obstétricas.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posterior (CrI95%)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P(OR&gt;1)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P(OR&lt;1)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 &lt;20 vs 20-34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 (0,51–1,71)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EDAD_CAT&gt;EQ35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 (0,82–1,23)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Preeclampsia vs 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 (0,76–1,30)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HTA inducida por embarazo vs 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 (0,56–1,49)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HTA preexistente vs 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0,87 (0,27–2,41)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Eclampsia vs ningún trastorno hipertensivo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2,16 (0,87–4,89)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RPM sí vs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 (0,36–0,73)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DPP sí vs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4,73 (2,57–8,10)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Hemorragia sí vs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0,86 (0,63–1,14)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Presentación vértice sí vs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 (0,62–1,63)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Nota: DPP: desprendimiento prematuro de placenta; RPM: ruptura prematura de membranas.</w:t>
      </w:r>
    </w:p>
    <w:p>
      <w:pPr>
        <w:pStyle w:val="BodyText"/>
      </w:pPr>
      <w:r>
        <w:drawing>
          <wp:inline>
            <wp:extent cx="5334000" cy="3141133"/>
            <wp:effectExtent b="0" l="0" r="0" t="0"/>
            <wp:docPr descr="Figura 3. Forest plot del modelo obstétrico bayesiano" title="" id="34" name="Picture"/>
            <a:graphic>
              <a:graphicData uri="http://schemas.openxmlformats.org/drawingml/2006/picture">
                <pic:pic>
                  <pic:nvPicPr>
                    <pic:cNvPr descr="figuras/FOREST_BAYES_OBSTETRICO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1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{width=85%}</w:t>
      </w:r>
    </w:p>
    <w:p>
      <w:pPr>
        <w:pStyle w:val="BodyText"/>
      </w:pPr>
      <w:r>
        <w:rPr>
          <w:i/>
          <w:iCs/>
        </w:rPr>
        <w:t xml:space="preserve">Figura 3. Forest plot del modelo obstétrico bayesiano. Medianas posteriores y CrI95%; línea de referencia en OR=1.</w:t>
      </w:r>
    </w:p>
    <w:bookmarkEnd w:id="36"/>
    <w:bookmarkStart w:id="37" w:name="Xd0927b199af1a3156a00ae52e97576bbefe27ec"/>
    <w:p>
      <w:pPr>
        <w:pStyle w:val="Titre2"/>
      </w:pPr>
      <w:r>
        <w:t xml:space="preserve">4.9 Atención prenatal, psicoprofilaxis y acompañamiento</w:t>
      </w:r>
    </w:p>
    <w:p>
      <w:pPr>
        <w:pStyle w:val="FirstParagraph"/>
      </w:pPr>
      <w:r>
        <w:t xml:space="preserve">Las asociaciones negativas de controles, sesiones y acompañamiento permanecieron claras en el modelo principal. Al ajustar por edad gestacional, la estimación para controles se atenuó a OR 0,80 (CrI95% 0,72–0,89), la correspondiente a sesiones se aproximó a 1 (OR 0,93; CrI95% 0,84–1,04) y acompañamiento también se aproximó a 1 (OR 0,99; CrI95% 0,79–1,25). Esta variación muestra dependencia de la especificación y es compatible con confusión por tiempo gestacional disponible.</w:t>
      </w:r>
    </w:p>
    <w:bookmarkEnd w:id="37"/>
    <w:bookmarkStart w:id="41" w:name="Xfb09fa4901fa317002f620b2542356da06266d4"/>
    <w:p>
      <w:pPr>
        <w:pStyle w:val="Titre2"/>
      </w:pPr>
      <w:r>
        <w:t xml:space="preserve">4.10 Análisis de sensibilidad</w:t>
      </w:r>
    </w:p>
    <w:p>
      <w:pPr>
        <w:pStyle w:val="FirstParagraph"/>
      </w:pPr>
      <w:r>
        <w:t xml:space="preserve">Los priors alternativos conservaron prácticamente las estimaciones de acompañamiento, controles y sesiones; para eclampsia, la mediana varió entre 1,44 y 1,91 y mantuvo intervalos amplios. La edad continua produjo estimaciones similares a las del modelo principal. La sensibilidad con edad gestacional modificó varias asociaciones asistenciales, como se indicó antes, por lo que no se consideró estabilidad completa frente a esta especificación. La agrupación preeclampsia/eclampsia produjo OR 1,12 (CrI95% 0,86–1,45; P[OR&gt;1]=0,801). En casos completos, seguro sí vs no tuvo OR 1,31 (CrI95% 0,85–1,94; P[OR&gt;1]=0,892; N=15.924), con pérdida de 32,6% respecto de los registros con desenlace conocido. En acompañamiento detallado, sola vs pareja tuvo OR 1,41 (CrI95% 1,13–1,79; P[OR&gt;1]=0,998).</w:t>
      </w:r>
    </w:p>
    <w:p>
      <w:pPr>
        <w:pStyle w:val="BodyText"/>
      </w:pPr>
      <w:r>
        <w:rPr>
          <w:b/>
          <w:bCs/>
        </w:rPr>
        <w:t xml:space="preserve">Tabla 9. Análisis de sensibilidad bayesiano condensado.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Análisis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P_dirección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Eclampsia vs ningún trastorno hipertensivo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0,62–3,89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Acompañada vs sola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0,58–0,86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Controles prenatales, por 1 DE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0,57–0,68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Sesiones de psicoprofilaxis, por 1 DE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0,68–0,84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Escéptico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Eclampsia vs ningún trastorno hipertensivo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0,64–3,01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Escéptico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Acompañada vs sola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0,59–0,87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Escéptico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Controles prenatales, por 1 DE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0,57–0,68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Escéptico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Sesiones de psicoprofilaxis, por 1 DE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0,69–0,84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Amplio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Eclampsia vs ningún trastorno hipertensivo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0,63–4,71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Amplio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Acompañada vs sola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0,58–0,86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Amplio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Controles prenatales, por 1 DE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0,57–0,68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Amplio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Sesiones de psicoprofilaxis, por 1 DE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0,68–0,84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Ajustado por edad gestacional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Acompañada vs sola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0,79–1,25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Ajustado por edad gestacional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Controles prenatales, por 1 DE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0,72–0,89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Ajustado por edad gestacional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Sesiones de psicoprofilaxis, por 1 DE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0,83–1,04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Ajustado por edad gestacional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Edad gestacional, por 1 DE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0,54–0,60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Hipertensión agrupada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Preeclampsia/eclampsia vs 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0,86–1,45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Seguro, casos completos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Seguro sí vs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0,85–1,94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Acompañamiento detallado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Familiar vs pareja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0,61–1,06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Acompañamiento detallado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Otro vs pareja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0,96–1,65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Acompañamiento detallado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 vs pareja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1,13–1,79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0,998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Nota: Se muestran estimaciones seleccionadas; las tablas completas están en el suplemento.</w:t>
      </w:r>
    </w:p>
    <w:p>
      <w:pPr>
        <w:pStyle w:val="BodyText"/>
      </w:pPr>
      <w:r>
        <w:drawing>
          <wp:inline>
            <wp:extent cx="5334000" cy="9186333"/>
            <wp:effectExtent b="0" l="0" r="0" t="0"/>
            <wp:docPr descr="Figura 4. Sensibilidad de las estimaciones a los priors" title="" id="39" name="Picture"/>
            <a:graphic>
              <a:graphicData uri="http://schemas.openxmlformats.org/drawingml/2006/picture">
                <pic:pic>
                  <pic:nvPicPr>
                    <pic:cNvPr descr="figuras/FOREST_SENSIBILIDAD_PRIOR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86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{width=85%}</w:t>
      </w:r>
    </w:p>
    <w:p>
      <w:pPr>
        <w:pStyle w:val="BodyText"/>
      </w:pPr>
      <w:r>
        <w:rPr>
          <w:i/>
          <w:iCs/>
        </w:rPr>
        <w:t xml:space="preserve">Figura 4. Sensibilidad de las estimaciones a los priors. Comparación de medianas posteriores y CrI95% bajo tres esquemas preespecificados.</w:t>
      </w:r>
    </w:p>
    <w:bookmarkEnd w:id="41"/>
    <w:bookmarkStart w:id="42" w:name="X7952efad7af3f61a566af2bfeb1ffaf47606b2b"/>
    <w:p>
      <w:pPr>
        <w:pStyle w:val="Titre2"/>
      </w:pPr>
      <w:r>
        <w:t xml:space="preserve">4.11 Diagnóstico de modelos bayesianos</w:t>
      </w:r>
    </w:p>
    <w:p>
      <w:pPr>
        <w:pStyle w:val="FirstParagraph"/>
      </w:pPr>
      <w:r>
        <w:t xml:space="preserve">Se ajustaron diez modelos. El R-hat máximo fue 1,0013; el ESS bulk mínimo fue 8.664 y el ESS tail mínimo 7.153. No se observaron divergencias ni excedencias de profundidad de árbol registradas. Las trazas y los gráficos de rango no mostraron patrones visuales importantes de falta de mezcla. Los chequeos predictivos posteriores compararon el número de eventos observado con réplicas de la distribución posterior; no revelaron discrepancias globales evidentes para ese estadístico, aunque estos chequeos no demuestran por sí solos adecuación en todas las dimensiones.</w:t>
      </w:r>
    </w:p>
    <w:p>
      <w:pPr>
        <w:pStyle w:val="BodyText"/>
      </w:pPr>
      <w:r>
        <w:rPr>
          <w:b/>
          <w:bCs/>
        </w:rPr>
        <w:t xml:space="preserve">Tabla 11. Diagnósticos de los modelos bayesianos.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R-hat 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 bulk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 tail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BAYES_ACOMPANAMIENTO_DETALLE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BAYES_CLINICO_INGRESO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BAYES_HIPERTENSION_AGRUPADA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BAYES_OBSTETRICO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BAYES_PRINCIPAL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BAYES_PRIOR_AMPLIO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BAYES_PRIOR_ESCEPTICO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BAYES_SEGURO_SENSIBILIDAD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BAYES_SENS_EDAD_CONTINUA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BAYES_SENS_EDAD_GESTACIONAL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Nota: Estado OK requirió R-hat ≤1,01 y cero divergencias; ESS se presenta para los parámetros principales.</w:t>
      </w:r>
    </w:p>
    <w:bookmarkEnd w:id="42"/>
    <w:bookmarkStart w:id="46" w:name="X9878ccb5ddfc7a3b1d5344b8d42d82fc5458a7d"/>
    <w:p>
      <w:pPr>
        <w:pStyle w:val="Titre2"/>
      </w:pPr>
      <w:r>
        <w:t xml:space="preserve">4.12 Comparación frecuentista-bayesiana</w:t>
      </w:r>
    </w:p>
    <w:p>
      <w:pPr>
        <w:pStyle w:val="FirstParagraph"/>
      </w:pPr>
      <w:r>
        <w:t xml:space="preserve">Los enfoques coincidieron en la dirección de DPP, riesgo alto e inminente, acompañamiento, controles, psicoprofilaxis y RPM. La estimación bayesiana obstétrica de eclampsia fue positiva pero más regularizada y más incierta que la estimación frecuentista. Las probabilidades posteriores describen masa de la distribución y no son equivalentes a p-valores.</w:t>
      </w:r>
    </w:p>
    <w:p>
      <w:pPr>
        <w:pStyle w:val="BodyText"/>
      </w:pPr>
      <w:r>
        <w:rPr>
          <w:b/>
          <w:bCs/>
        </w:rPr>
        <w:t xml:space="preserve">Tabla 10. Comparación de resultados frecuentistas y bayesianos.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frecuentista (IC95%)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bayesiano (CrI95%)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6.25 (3.59–10.87)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4,73 (2,57–8,10)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Obstétrico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Eclampsia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 (0.60–1.24)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 (0,82–1,40)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Obstétrico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 (1.32–2.03)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1,60 (1,29–1,98)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Clínico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 inminente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 (1.33–2.69)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1,81 (1,29–2,51)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Clínico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Acompañamiento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 (0.58–0.86)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 (0,58–0,86)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Controles prenatales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 (0.81–0.87)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 (0,57–0,68)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Psicoprofilaxis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 (0.83–0.92)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 (0,68–0,84)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 (0.35–0.74)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 (0,36–0,73)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Obstétrico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Nota: IC95% corresponde al análisis frecuentista; CrI95% al bayesiano. No deben interpretarse p y P dirección como medidas equivalentes.</w:t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Figura 5. Comparación frecuentista y bayesiana" title="" id="44" name="Picture"/>
            <a:graphic>
              <a:graphicData uri="http://schemas.openxmlformats.org/drawingml/2006/picture">
                <pic:pic>
                  <pic:nvPicPr>
                    <pic:cNvPr descr="figuras/FOREST_COMPARACION_FREC_BAYE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{width=85%}</w:t>
      </w:r>
    </w:p>
    <w:p>
      <w:pPr>
        <w:pStyle w:val="BodyText"/>
      </w:pPr>
      <w:r>
        <w:rPr>
          <w:i/>
          <w:iCs/>
        </w:rPr>
        <w:t xml:space="preserve">Figura 5. Comparación frecuentista y bayesiana. Se comparan estimaciones puntuales en escala logarítmica; las diferencias reflejan especificaciones y regularización.</w:t>
      </w:r>
    </w:p>
    <w:bookmarkEnd w:id="46"/>
    <w:bookmarkEnd w:id="47"/>
    <w:sectPr w:officer="true">
      <w:footerReference r:id="rId9" w:type="default"/>
      <w:pgMar w:bottom="1417" w:footer="720" w:gutter="720" w:header="720" w:left="1417" w:right="1417" w:top="1417"/>
      <w:cols/>
      <w:type w:val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Normal"/>
      <w:jc w:val="center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/>
      <w:fldChar w:fldCharType="begin" w:dirty="true"/>
    </w:r>
    <w:r>
      <w:rPr/>
      <w:instrText xml:space="preserve" w:dirty="true">PAGE</w:instrText>
    </w:r>
    <w:r>
      <w:rPr/>
      <w:fldChar w:fldCharType="end" w:dirty="true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hanging="360" w:left="360"/>
      </w:pPr>
    </w:lvl>
    <w:lvl w:ilvl="1">
      <w:start w:val="1"/>
      <w:numFmt w:val="decimal"/>
      <w:pStyle w:val="Titre2"/>
      <w:lvlText w:val="%1.%2."/>
      <w:lvlJc w:val="left"/>
      <w:pPr>
        <w:ind w:hanging="432" w:left="792"/>
      </w:pPr>
    </w:lvl>
    <w:lvl w:ilvl="2">
      <w:start w:val="1"/>
      <w:numFmt w:val="decimal"/>
      <w:pStyle w:val="Titre3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3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s"/>
      </w:rPr>
    </w:rPrDefault>
    <w:pPrDefault>
      <w:pPr>
        <w:spacing w:line="36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color="auto" w:space="1" w:sz="4" w:val="single"/>
      </w:pBdr>
      <w:spacing w:before="48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="Times New Roman" w:cs="Times New Roman" w:eastAsia="Times New Roman" w:hAnsi="Times New Roman"/>
      <w:b/>
      <w:bCs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strong" w:type="character">
    <w:name w:val="strong"/>
    <w:basedOn w:val="Policepardfaut"/>
    <w:uiPriority w:val="1"/>
    <w:qFormat/>
    <w:rsid w:val="007B3E96"/>
    <w:rPr>
      <w:b/>
    </w:rPr>
  </w:style>
  <w:style w:customStyle="1" w:styleId="centered" w:type="paragraph">
    <w:name w:val="centered"/>
    <w:basedOn w:val="Normal"/>
    <w:qFormat/>
    <w:rsid w:val="001D75AB"/>
    <w:pPr>
      <w:jc w:val="center"/>
    </w:pPr>
  </w:style>
  <w:style w:customStyle="1" w:styleId="tabletemplate" w:type="table">
    <w:name w:val="table_template"/>
    <w:basedOn w:val="TableauNormal"/>
    <w:uiPriority w:val="59"/>
    <w:rsid w:val="00F12158"/>
    <w:pPr>
      <w:jc w:val="right"/>
    </w:pPr>
    <w:tblPr>
      <w:jc w:val="center"/>
      <w:tblBorders>
        <w:top w:color="auto" w:space="0" w:sz="8" w:val="single"/>
        <w:bottom w:color="auto" w:space="0" w:sz="8" w:val="single"/>
        <w:insideH w:color="auto" w:space="0" w:sz="8" w:val="single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  <w:tl2br w:val="nil"/>
          <w:tr2bl w:val="nil"/>
        </w:tcBorders>
      </w:tcPr>
    </w:tblStylePr>
  </w:style>
  <w:style w:styleId="Listeclaire-Accent2" w:type="table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customStyle="1" w:styleId="Titre1Car" w:type="character">
    <w:name w:val="Titre 1 Car"/>
    <w:basedOn w:val="Policepardfaut"/>
    <w:link w:val="Titre1"/>
    <w:uiPriority w:val="9"/>
    <w:rsid w:val="00362E65"/>
    <w:rPr>
      <w:rFonts w:ascii="Times New Roman" w:cs="Times New Roman" w:eastAsia="Times New Roman" w:hAnsi="Times New Roman"/>
      <w:b/>
      <w:bCs/>
      <w:sz w:val="32"/>
      <w:szCs w:val="32"/>
    </w:rPr>
  </w:style>
  <w:style w:customStyle="1" w:styleId="Titre2Car" w:type="character">
    <w:name w:val="Titre 2 Car"/>
    <w:basedOn w:val="Policepardfaut"/>
    <w:link w:val="Titre2"/>
    <w:uiPriority w:val="9"/>
    <w:semiHidden/>
    <w:rsid w:val="00362E65"/>
    <w:rPr>
      <w:rFonts w:ascii="Times New Roman" w:cs="Times New Roman" w:eastAsia="Times New Roman" w:hAnsi="Times New Roman"/>
      <w:b/>
      <w:bCs/>
      <w:sz w:val="26"/>
      <w:szCs w:val="26"/>
    </w:rPr>
  </w:style>
  <w:style w:customStyle="1" w:styleId="Titre3Car" w:type="character">
    <w:name w:val="Titre 3 Car"/>
    <w:basedOn w:val="Policepardfaut"/>
    <w:link w:val="Titre3"/>
    <w:uiPriority w:val="9"/>
    <w:semiHidden/>
    <w:rsid w:val="00362E65"/>
    <w:rPr>
      <w:rFonts w:ascii="Times New Roman" w:cs="Times New Roman" w:eastAsia="Times New Roman" w:hAnsi="Times New Roman"/>
      <w:b/>
      <w:bCs/>
    </w:rPr>
  </w:style>
  <w:style w:customStyle="1" w:styleId="ImageCaption" w:type="paragraph">
    <w:name w:val="Image Caption"/>
    <w:basedOn w:val="Normal"/>
    <w:qFormat/>
    <w:rsid w:val="00AE18EF"/>
    <w:pPr>
      <w:jc w:val="center"/>
    </w:pPr>
    <w:rPr>
      <w:b/>
      <w:i/>
    </w:rPr>
  </w:style>
  <w:style w:customStyle="1" w:styleId="TableCaption" w:type="paragraph">
    <w:name w:val="Table Caption"/>
    <w:basedOn w:val="ImageCaption"/>
    <w:qFormat/>
    <w:rsid w:val="00AE18EF"/>
  </w:style>
  <w:style w:styleId="Tableauprofessionnel" w:type="table">
    <w:name w:val="Table Professional"/>
    <w:basedOn w:val="TableauNormal"/>
    <w:uiPriority w:val="99"/>
    <w:semiHidden/>
    <w:unhideWhenUsed/>
    <w:rsid w:val="00C31EE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auto"/>
      </w:rPr>
      <w:tblPr/>
      <w:tcPr>
        <w:shd w:color="000000" w:fill="FFFFFF" w:val="solid"/>
      </w:tcPr>
    </w:tblStylePr>
  </w:style>
  <w:style w:styleId="TM1" w:type="paragraph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styleId="TM2" w:type="paragraph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FB63E7"/>
    <w:rPr>
      <w:rFonts w:ascii="Times New Roman" w:cs="Times New Roman" w:eastAsia="Times New Roman" w:hAnsi="Times New Roman"/>
      <w:sz w:val="18"/>
      <w:szCs w:val="18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FB63E7"/>
    <w:rPr>
      <w:rFonts w:ascii="Times New Roman" w:cs="Times New Roman" w:eastAsia="Times New Roman" w:hAnsi="Times New Roman"/>
      <w:sz w:val="18"/>
      <w:szCs w:val="18"/>
    </w:rPr>
  </w:style>
  <w:style w:customStyle="1" w:styleId="referenceid" w:type="character">
    <w:name w:val="reference_id"/>
    <w:basedOn w:val="Policepardfaut"/>
    <w:uiPriority w:val="1"/>
    <w:rsid w:val="00457CF1"/>
    <w:rPr>
      <w:vertAlign w:val="superscript"/>
    </w:rPr>
  </w:style>
  <w:style w:customStyle="1" w:styleId="graphictitle" w:type="paragraph">
    <w:name w:val="graphic title"/>
    <w:basedOn w:val="ImageCaption"/>
    <w:next w:val="Normal"/>
    <w:rsid w:val="0035500D"/>
  </w:style>
  <w:style w:customStyle="1" w:styleId="tabletitle" w:type="paragraph">
    <w:name w:val="table title"/>
    <w:basedOn w:val="TableCaption"/>
    <w:next w:val="Normal"/>
    <w:rsid w:val="00901463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25" Target="media/rId25.png" /><Relationship Type="http://schemas.openxmlformats.org/officeDocument/2006/relationships/image" Id="rId43" Target="media/rId43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Sección de resultados completa</dc:title>
  <dc:creator/>
  <dc:language>es</dc:language>
  <cp:keywords/>
  <dcterms:created xsi:type="dcterms:W3CDTF">2026-08-10T20:52:31Z</dcterms:created>
  <dcterms:modified xsi:type="dcterms:W3CDTF">2026-08-10T20:52:31Z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