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Tendencia</w:t>
      </w:r>
      <w:r>
        <w:t xml:space="preserve"> </w:t>
      </w:r>
      <w:r>
        <w:t xml:space="preserve">temporal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sífilis</w:t>
      </w:r>
      <w:r>
        <w:t xml:space="preserve"> </w:t>
      </w:r>
      <w:r>
        <w:t xml:space="preserve">congénita</w:t>
      </w:r>
      <w:r>
        <w:t xml:space="preserve"> </w:t>
      </w:r>
      <w:r>
        <w:t xml:space="preserve">y</w:t>
      </w:r>
      <w:r>
        <w:t xml:space="preserve"> </w:t>
      </w:r>
      <w:r>
        <w:t xml:space="preserve">cambios</w:t>
      </w:r>
      <w:r>
        <w:t xml:space="preserve"> </w:t>
      </w:r>
      <w:r>
        <w:t xml:space="preserve">en</w:t>
      </w:r>
      <w:r>
        <w:t xml:space="preserve"> </w:t>
      </w:r>
      <w:r>
        <w:t xml:space="preserve">la</w:t>
      </w:r>
      <w:r>
        <w:t xml:space="preserve"> </w:t>
      </w:r>
      <w:r>
        <w:t xml:space="preserve">nacionalidad</w:t>
      </w:r>
      <w:r>
        <w:t xml:space="preserve"> </w:t>
      </w:r>
      <w:r>
        <w:t xml:space="preserve">materna</w:t>
      </w:r>
      <w:r>
        <w:t xml:space="preserve"> </w:t>
      </w:r>
      <w:r>
        <w:t xml:space="preserve">en</w:t>
      </w:r>
      <w:r>
        <w:t xml:space="preserve"> </w:t>
      </w:r>
      <w:r>
        <w:t xml:space="preserve">un</w:t>
      </w:r>
      <w:r>
        <w:t xml:space="preserve"> </w:t>
      </w:r>
      <w:r>
        <w:t xml:space="preserve">hospital</w:t>
      </w:r>
      <w:r>
        <w:t xml:space="preserve"> </w:t>
      </w:r>
      <w:r>
        <w:t xml:space="preserve">de</w:t>
      </w:r>
      <w:r>
        <w:t xml:space="preserve"> </w:t>
      </w:r>
      <w:r>
        <w:t xml:space="preserve">referencia</w:t>
      </w:r>
      <w:r>
        <w:t xml:space="preserve"> </w:t>
      </w:r>
      <w:r>
        <w:t xml:space="preserve">de</w:t>
      </w:r>
      <w:r>
        <w:t xml:space="preserve"> </w:t>
      </w:r>
      <w:r>
        <w:t xml:space="preserve">Ecuador,</w:t>
      </w:r>
      <w:r>
        <w:t xml:space="preserve"> </w:t>
      </w:r>
      <w:r>
        <w:t xml:space="preserve">2009–2024</w:t>
      </w:r>
    </w:p>
    <w:p>
      <w:pPr>
        <w:pStyle w:val="Subtitle"/>
      </w:pPr>
      <w:r>
        <w:t xml:space="preserve">Metodología,</w:t>
      </w:r>
      <w:r>
        <w:t xml:space="preserve"> </w:t>
      </w:r>
      <w:r>
        <w:t xml:space="preserve">tablas</w:t>
      </w:r>
      <w:r>
        <w:t xml:space="preserve"> </w:t>
      </w:r>
      <w:r>
        <w:t xml:space="preserve">y</w:t>
      </w:r>
      <w:r>
        <w:t xml:space="preserve"> </w:t>
      </w:r>
      <w:r>
        <w:t xml:space="preserve">figuras</w:t>
      </w:r>
    </w:p>
    <w:p>
      <w:pPr>
        <w:pStyle w:val="Date"/>
      </w:pPr>
      <w:r>
        <w:t xml:space="preserve">10</w:t>
      </w:r>
      <w:r>
        <w:t xml:space="preserve"> </w:t>
      </w:r>
      <w:r>
        <w:t xml:space="preserve">de</w:t>
      </w:r>
      <w:r>
        <w:t xml:space="preserve"> </w:t>
      </w:r>
      <w:r>
        <w:t xml:space="preserve">agosto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20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La sífilis congénita continúa siendo un problema prevenible de salud pública y</w:t>
      </w:r>
      <w:r>
        <w:t xml:space="preserve"> </w:t>
      </w:r>
      <w:r>
        <w:t xml:space="preserve">un marcador de brechas en el tamizaje prenatal, el tratamiento materno oportuno</w:t>
      </w:r>
      <w:r>
        <w:t xml:space="preserve"> </w:t>
      </w:r>
      <w:r>
        <w:t xml:space="preserve">y el seguimiento perinatal. El objetivo de este análisis fue describir la</w:t>
      </w:r>
      <w:r>
        <w:t xml:space="preserve"> </w:t>
      </w:r>
      <w:r>
        <w:t xml:space="preserve">tendencia temporal de la sífilis congénita en un hospital de referencia de</w:t>
      </w:r>
      <w:r>
        <w:t xml:space="preserve"> </w:t>
      </w:r>
      <w:r>
        <w:t xml:space="preserve">Ecuador (HGOIA) entre 2009 y 2024, evaluar los cambios en la composición por</w:t>
      </w:r>
      <w:r>
        <w:t xml:space="preserve"> </w:t>
      </w:r>
      <w:r>
        <w:t xml:space="preserve">nacionalidad materna y caracterizar la adecuación del control prenatal.</w:t>
      </w:r>
    </w:p>
    <w:bookmarkEnd w:id="20"/>
    <w:bookmarkStart w:id="27" w:name="métodos"/>
    <w:p>
      <w:pPr>
        <w:pStyle w:val="Heading1"/>
      </w:pPr>
      <w:r>
        <w:t xml:space="preserve">Métodos</w:t>
      </w:r>
    </w:p>
    <w:bookmarkStart w:id="21" w:name="diseño-y-población"/>
    <w:p>
      <w:pPr>
        <w:pStyle w:val="Heading2"/>
      </w:pPr>
      <w:r>
        <w:t xml:space="preserve">Diseño y población</w:t>
      </w:r>
    </w:p>
    <w:p>
      <w:pPr>
        <w:pStyle w:val="FirstParagraph"/>
      </w:pPr>
      <w:r>
        <w:t xml:space="preserve">Estudio retrospectivo descriptivo de todos los casos de sífilis congénita</w:t>
      </w:r>
      <w:r>
        <w:t xml:space="preserve"> </w:t>
      </w:r>
      <w:r>
        <w:t xml:space="preserve">diagnosticados en el HGOIA entre 2009 y 2024 (n = 255</w:t>
      </w:r>
      <w:r>
        <w:t xml:space="preserve"> </w:t>
      </w:r>
      <w:r>
        <w:t xml:space="preserve">casos). El desenlace de inclusión (</w:t>
      </w:r>
      <w:r>
        <w:rPr>
          <w:rStyle w:val="VerbatimChar"/>
        </w:rPr>
        <w:t xml:space="preserve">BEBE.sifilis.congenita = 1</w:t>
      </w:r>
      <w:r>
        <w:t xml:space="preserve">) es el criterio</w:t>
      </w:r>
      <w:r>
        <w:t xml:space="preserve"> </w:t>
      </w:r>
      <w:r>
        <w:t xml:space="preserve">diagnóstico de la cohorte, no una variable observada con variabilidad interna.</w:t>
      </w:r>
    </w:p>
    <w:bookmarkEnd w:id="21"/>
    <w:bookmarkStart w:id="22" w:name="fuentes-de-datos-y-denominadores"/>
    <w:p>
      <w:pPr>
        <w:pStyle w:val="Heading2"/>
      </w:pPr>
      <w:r>
        <w:t xml:space="preserve">Fuentes de datos y denominadores</w:t>
      </w:r>
    </w:p>
    <w:p>
      <w:pPr>
        <w:pStyle w:val="FirstParagraph"/>
      </w:pPr>
      <w:r>
        <w:t xml:space="preserve">Los numeradores (casos) provienen de la base individual de casos de sífilis</w:t>
      </w:r>
      <w:r>
        <w:t xml:space="preserve"> </w:t>
      </w:r>
      <w:r>
        <w:t xml:space="preserve">congénita del HGOIA (</w:t>
      </w:r>
      <w:r>
        <w:rPr>
          <w:rStyle w:val="VerbatimChar"/>
        </w:rPr>
        <w:t xml:space="preserve">SIFILIS_hgoia2009-2024.csv</w:t>
      </w:r>
      <w:r>
        <w:t xml:space="preserve">, 255 registros, un caso por</w:t>
      </w:r>
      <w:r>
        <w:t xml:space="preserve"> </w:t>
      </w:r>
      <w:r>
        <w:t xml:space="preserve">fila). Los denominadores (nacidos vivos anuales, totales y por nacionalidad</w:t>
      </w:r>
      <w:r>
        <w:t xml:space="preserve"> </w:t>
      </w:r>
      <w:r>
        <w:t xml:space="preserve">materna) provienen de la base de partos por país de origen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Partos_pais_origen_2014-2025_HGOIA.csv</w:t>
      </w:r>
      <w:r>
        <w:t xml:space="preserve">, formato ancho por país × año</w:t>
      </w:r>
      <w:r>
        <w:t xml:space="preserve"> </w:t>
      </w:r>
      <w:r>
        <w:t xml:space="preserve">2009-2024). Ambas bases fueron auditadas de forma cruzada y automatizada</w:t>
      </w:r>
      <w:r>
        <w:t xml:space="preserve"> </w:t>
      </w:r>
      <w:r>
        <w:t xml:space="preserve">(</w:t>
      </w:r>
      <w:r>
        <w:rPr>
          <w:rStyle w:val="VerbatimChar"/>
        </w:rPr>
        <w:t xml:space="preserve">R/01_auditoria_datos.R</w:t>
      </w:r>
      <w:r>
        <w:t xml:space="preserve">): la suma de partos por país individual coincide</w:t>
      </w:r>
      <w:r>
        <w:t xml:space="preserve"> </w:t>
      </w:r>
      <w:r>
        <w:t xml:space="preserve">exactamente con la fila resumen</w:t>
      </w:r>
      <w:r>
        <w:t xml:space="preserve"> </w:t>
      </w:r>
      <w:r>
        <w:t xml:space="preserve">“</w:t>
      </w:r>
      <w:r>
        <w:t xml:space="preserve">Total extranjeras</w:t>
      </w:r>
      <w:r>
        <w:t xml:space="preserve">”</w:t>
      </w:r>
      <w:r>
        <w:t xml:space="preserve"> </w:t>
      </w:r>
      <w:r>
        <w:t xml:space="preserve">en los 16 años (diferencia</w:t>
      </w:r>
      <w:r>
        <w:t xml:space="preserve"> </w:t>
      </w:r>
      <w:r>
        <w:t xml:space="preserve">= 0), y no se detectaron inconsistencias internas. El total de nacidos vivos</w:t>
      </w:r>
      <w:r>
        <w:t xml:space="preserve"> </w:t>
      </w:r>
      <w:r>
        <w:t xml:space="preserve">del periodo 2009-2024 es</w:t>
      </w:r>
      <w:r>
        <w:t xml:space="preserve"> </w:t>
      </w:r>
      <w:r>
        <w:t xml:space="preserve">111.742</w:t>
      </w:r>
      <w:r>
        <w:t xml:space="preserve"> </w:t>
      </w:r>
      <w:r>
        <w:t xml:space="preserve">(detalle anual en la Tabla A1 del anexo); esta cifra, derivada directamente de</w:t>
      </w:r>
      <w:r>
        <w:t xml:space="preserve"> </w:t>
      </w:r>
      <w:r>
        <w:t xml:space="preserve">las bases vigentes, es la fuente única de denominadores para todo el</w:t>
      </w:r>
      <w:r>
        <w:t xml:space="preserve"> </w:t>
      </w:r>
      <w:r>
        <w:t xml:space="preserve">análisis.</w:t>
      </w:r>
    </w:p>
    <w:bookmarkEnd w:id="22"/>
    <w:bookmarkStart w:id="23" w:name="definiciones-operativas"/>
    <w:p>
      <w:pPr>
        <w:pStyle w:val="Heading2"/>
      </w:pPr>
      <w:r>
        <w:t xml:space="preserve">Definiciones operativas</w:t>
      </w:r>
    </w:p>
    <w:p>
      <w:pPr>
        <w:pStyle w:val="FirstParagraph"/>
      </w:pPr>
      <w:r>
        <w:t xml:space="preserve">A partir de la auditoría exhaustiva del diccionario de variables de la base de</w:t>
      </w:r>
      <w:r>
        <w:t xml:space="preserve"> </w:t>
      </w:r>
      <w:r>
        <w:t xml:space="preserve">casos (</w:t>
      </w:r>
      <w:r>
        <w:rPr>
          <w:rStyle w:val="VerbatimChar"/>
        </w:rPr>
        <w:t xml:space="preserve">R/02_diccionario_y_auditoria_variables.R</w:t>
      </w:r>
      <w:r>
        <w:t xml:space="preserve">, 74 variables), se</w:t>
      </w:r>
      <w:r>
        <w:t xml:space="preserve"> </w:t>
      </w:r>
      <w:r>
        <w:t xml:space="preserve">identificaron pares de variables clínicamente relacionadas pero no idénticas.</w:t>
      </w:r>
      <w:r>
        <w:t xml:space="preserve"> </w:t>
      </w:r>
      <w:r>
        <w:t xml:space="preserve">Se fijaron las siguientes definiciones operativas para este análisis: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Trastorno hipertensivo del embarazo</w:t>
      </w:r>
      <w:r>
        <w:t xml:space="preserve">:</w:t>
      </w:r>
      <w:r>
        <w:t xml:space="preserve"> </w:t>
      </w:r>
      <w:r>
        <w:rPr>
          <w:rStyle w:val="VerbatimChar"/>
        </w:rPr>
        <w:t xml:space="preserve">TRASTORNOS.HIPERTENSIVOS.CATEGORIA</w:t>
      </w:r>
      <w:r>
        <w:t xml:space="preserve"> </w:t>
      </w:r>
      <w:r>
        <w:t xml:space="preserve">(diagnóstico categorizado del embarazo actual), en lugar de</w:t>
      </w:r>
      <w:r>
        <w:t xml:space="preserve"> </w:t>
      </w:r>
      <w:r>
        <w:rPr>
          <w:rStyle w:val="VerbatimChar"/>
        </w:rPr>
        <w:t xml:space="preserve">Preclampsia.personal</w:t>
      </w:r>
      <w:r>
        <w:t xml:space="preserve"> </w:t>
      </w:r>
      <w:r>
        <w:t xml:space="preserve">(discordante en 36/253 casos, posible antecedente de</w:t>
      </w:r>
      <w:r>
        <w:t xml:space="preserve"> </w:t>
      </w:r>
      <w:r>
        <w:t xml:space="preserve">embarazos previos).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Restricción de crecimiento fetal</w:t>
      </w:r>
      <w:r>
        <w:t xml:space="preserve">: categoría</w:t>
      </w:r>
      <w:r>
        <w:t xml:space="preserve"> </w:t>
      </w:r>
      <w:r>
        <w:t xml:space="preserve">“</w:t>
      </w:r>
      <w:r>
        <w:t xml:space="preserve">pequeño</w:t>
      </w:r>
      <w:r>
        <w:t xml:space="preserve">”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PESO.EG.CATEGORIA</w:t>
      </w:r>
      <w:r>
        <w:t xml:space="preserve"> </w:t>
      </w:r>
      <w:r>
        <w:t xml:space="preserve">(clasificación peso/edad gestacional), en lugar del</w:t>
      </w:r>
      <w:r>
        <w:t xml:space="preserve"> </w:t>
      </w:r>
      <w:r>
        <w:t xml:space="preserve">diagnóstico clínico</w:t>
      </w:r>
      <w:r>
        <w:t xml:space="preserve"> </w:t>
      </w:r>
      <w:r>
        <w:rPr>
          <w:rStyle w:val="VerbatimChar"/>
        </w:rPr>
        <w:t xml:space="preserve">RCIU</w:t>
      </w:r>
      <w:r>
        <w:t xml:space="preserve"> </w:t>
      </w:r>
      <w:r>
        <w:t xml:space="preserve">(discordante en 5 casos).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Defecto congénito</w:t>
      </w:r>
      <w:r>
        <w:t xml:space="preserve">:</w:t>
      </w:r>
      <w:r>
        <w:t xml:space="preserve"> </w:t>
      </w:r>
      <w:r>
        <w:rPr>
          <w:rStyle w:val="VerbatimChar"/>
        </w:rPr>
        <w:t xml:space="preserve">Defectos.congenitos.CODIGO</w:t>
      </w:r>
      <w:r>
        <w:t xml:space="preserve">, variable binaria</w:t>
      </w:r>
      <w:r>
        <w:t xml:space="preserve"> </w:t>
      </w:r>
      <w:r>
        <w:t xml:space="preserve">(presente/ausente), en lugar de la desagregación por sistema afectado</w:t>
      </w:r>
      <w:r>
        <w:t xml:space="preserve"> </w:t>
      </w:r>
      <w:r>
        <w:t xml:space="preserve">(</w:t>
      </w:r>
      <w:r>
        <w:rPr>
          <w:rStyle w:val="VerbatimChar"/>
        </w:rPr>
        <w:t xml:space="preserve">SISTEMA.AFECTADO</w:t>
      </w:r>
      <w:r>
        <w:t xml:space="preserve">), que fragmenta los 21 casos positivos en categorías con</w:t>
      </w:r>
      <w:r>
        <w:t xml:space="preserve"> </w:t>
      </w:r>
      <w:r>
        <w:t xml:space="preserve">n ≤ 7.</w:t>
      </w:r>
    </w:p>
    <w:bookmarkEnd w:id="23"/>
    <w:bookmarkStart w:id="24" w:name="adecuación-del-control-prenatal"/>
    <w:p>
      <w:pPr>
        <w:pStyle w:val="Heading2"/>
      </w:pPr>
      <w:r>
        <w:t xml:space="preserve">Adecuación del control prenatal</w:t>
      </w:r>
    </w:p>
    <w:p>
      <w:pPr>
        <w:pStyle w:val="FirstParagraph"/>
      </w:pPr>
      <w:r>
        <w:t xml:space="preserve">Se clasificó la adecuación del control prenatal según la recomendación vigente</w:t>
      </w:r>
      <w:r>
        <w:t xml:space="preserve"> </w:t>
      </w:r>
      <w:r>
        <w:t xml:space="preserve">de la OMS:</w:t>
      </w:r>
      <w:r>
        <w:t xml:space="preserve"> </w:t>
      </w:r>
      <w:r>
        <w:rPr>
          <w:b/>
          <w:bCs/>
        </w:rPr>
        <w:t xml:space="preserve">subóptimo</w:t>
      </w:r>
      <w:r>
        <w:t xml:space="preserve"> </w:t>
      </w:r>
      <w:r>
        <w:t xml:space="preserve">si el número de consultas prenatales registradas fue</w:t>
      </w:r>
      <w:r>
        <w:t xml:space="preserve"> </w:t>
      </w:r>
      <w:r>
        <w:t xml:space="preserve">menor a 8, y</w:t>
      </w:r>
      <w:r>
        <w:t xml:space="preserve"> </w:t>
      </w:r>
      <w:r>
        <w:rPr>
          <w:b/>
          <w:bCs/>
        </w:rPr>
        <w:t xml:space="preserve">adecuado</w:t>
      </w:r>
      <w:r>
        <w:t xml:space="preserve"> </w:t>
      </w:r>
      <w:r>
        <w:t xml:space="preserve">si fue de 8 o más.</w:t>
      </w:r>
    </w:p>
    <w:bookmarkEnd w:id="24"/>
    <w:bookmarkStart w:id="25" w:name="periodos-de-comparación"/>
    <w:p>
      <w:pPr>
        <w:pStyle w:val="Heading2"/>
      </w:pPr>
      <w:r>
        <w:t xml:space="preserve">Periodos de comparación</w:t>
      </w:r>
    </w:p>
    <w:p>
      <w:pPr>
        <w:pStyle w:val="FirstParagraph"/>
      </w:pPr>
      <w:r>
        <w:t xml:space="preserve">Se compararon tres periodos, definidos a priori según la evolución observada</w:t>
      </w:r>
      <w:r>
        <w:t xml:space="preserve"> </w:t>
      </w:r>
      <w:r>
        <w:t xml:space="preserve">del fenómeno: 2009-2017 (periodo basal), 2018-2021 y 2022-2024.</w:t>
      </w:r>
    </w:p>
    <w:bookmarkEnd w:id="25"/>
    <w:bookmarkStart w:id="26" w:name="análisis-estadístico"/>
    <w:p>
      <w:pPr>
        <w:pStyle w:val="Heading2"/>
      </w:pPr>
      <w:r>
        <w:t xml:space="preserve">Análisis estadístico</w:t>
      </w:r>
    </w:p>
    <w:p>
      <w:pPr>
        <w:pStyle w:val="FirstParagraph"/>
      </w:pPr>
      <w:r>
        <w:t xml:space="preserve">Las variables continuas se describen con mediana y rango intercuartílico</w:t>
      </w:r>
      <w:r>
        <w:t xml:space="preserve"> </w:t>
      </w:r>
      <w:r>
        <w:t xml:space="preserve">(RIC); las categóricas, con frecuencia absoluta y porcentaje. Las tasas</w:t>
      </w:r>
      <w:r>
        <w:t xml:space="preserve"> </w:t>
      </w:r>
      <w:r>
        <w:t xml:space="preserve">anuales y por periodo se expresaron por 1000 nacidos vivos, con intervalos de</w:t>
      </w:r>
      <w:r>
        <w:t xml:space="preserve"> </w:t>
      </w:r>
      <w:r>
        <w:t xml:space="preserve">confianza del 95% (IC95%) exactos de Poisson. La comparación entre periodos se</w:t>
      </w:r>
      <w:r>
        <w:t xml:space="preserve"> </w:t>
      </w:r>
      <w:r>
        <w:t xml:space="preserve">realizó mediante regresión de Poisson con offset del logaritmo de los nacidos</w:t>
      </w:r>
      <w:r>
        <w:t xml:space="preserve"> </w:t>
      </w:r>
      <w:r>
        <w:t xml:space="preserve">vivos, tomando 2009-2017 como categoría de referencia, y se reporta como razón</w:t>
      </w:r>
      <w:r>
        <w:t xml:space="preserve"> </w:t>
      </w:r>
      <w:r>
        <w:t xml:space="preserve">de tasas de incidencia (IRR) con IC95% y valor de p. La tendencia temporal de</w:t>
      </w:r>
      <w:r>
        <w:t xml:space="preserve"> </w:t>
      </w:r>
      <w:r>
        <w:t xml:space="preserve">la proporción de casos en madres extranjeras se evaluó con una prueba de</w:t>
      </w:r>
      <w:r>
        <w:t xml:space="preserve"> </w:t>
      </w:r>
      <w:r>
        <w:t xml:space="preserve">tendencia para proporciones (chi-cuadrado de tendencia lineal). Todos los</w:t>
      </w:r>
      <w:r>
        <w:t xml:space="preserve"> </w:t>
      </w:r>
      <w:r>
        <w:t xml:space="preserve">análisis se realizaron en R.</w:t>
      </w:r>
    </w:p>
    <w:p>
      <w:r>
        <w:br w:type="page"/>
      </w:r>
    </w:p>
    <w:bookmarkEnd w:id="26"/>
    <w:bookmarkEnd w:id="27"/>
    <w:bookmarkStart w:id="41" w:name="resultados"/>
    <w:p>
      <w:pPr>
        <w:pStyle w:val="Heading1"/>
      </w:pPr>
      <w:r>
        <w:t xml:space="preserve">Resultados</w:t>
      </w:r>
    </w:p>
    <w:bookmarkStart w:id="28" w:name="características-generales-de-la-cohorte"/>
    <w:p>
      <w:pPr>
        <w:pStyle w:val="Heading2"/>
      </w:pPr>
      <w:r>
        <w:t xml:space="preserve">Características generales de la cohorte</w:t>
      </w:r>
    </w:p>
    <w:p>
      <w:pPr>
        <w:pStyle w:val="FirstParagraph"/>
      </w:pPr>
      <w:r>
        <w:t xml:space="preserve">Se identificaron 255 casos de sífilis congénita entre</w:t>
      </w:r>
      <w:r>
        <w:t xml:space="preserve"> </w:t>
      </w:r>
      <w:r>
        <w:t xml:space="preserve">111.742 nacidos</w:t>
      </w:r>
      <w:r>
        <w:t xml:space="preserve"> </w:t>
      </w:r>
      <w:r>
        <w:t xml:space="preserve">vivos en el periodo 2009-2024, para una tasa global de</w:t>
      </w:r>
      <w:r>
        <w:t xml:space="preserve"> </w:t>
      </w:r>
      <w:r>
        <w:t xml:space="preserve">2.28 por 1000 nacidos vivos (IC95%</w:t>
      </w:r>
      <w:r>
        <w:t xml:space="preserve"> </w:t>
      </w:r>
      <w:r>
        <w:t xml:space="preserve">2.01–2.58).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Características de los 255 casos de sífilis congénita, HGOIA 2009-2024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699"/>
        <w:gridCol w:w="2258"/>
      </w:tblGrid>
      <w:tr>
        <w:trPr>
          <w:trHeight w:val="536" w:hRule="auto"/>
          <w:tblHeader/>
        </w:trPr>
        header 1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 (%) / mediana [RIC]</w:t>
            </w:r>
          </w:p>
        </w:tc>
      </w:tr>
      <w:tr>
        <w:trPr>
          <w:trHeight w:val="538" w:hRule="auto"/>
        </w:trPr>
        body 1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Origen materno extranjero, n (%)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 (14.1%)</w:t>
            </w:r>
          </w:p>
        </w:tc>
      </w:tr>
      <w:tr>
        <w:trPr>
          <w:trHeight w:val="53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Edad materna (años),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26.0 [21.0-32.0]</w:t>
            </w:r>
          </w:p>
        </w:tc>
      </w:tr>
      <w:tr>
        <w:trPr>
          <w:trHeight w:val="53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Gestas previas,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 [1.0-3.0]</w:t>
            </w:r>
          </w:p>
        </w:tc>
      </w:tr>
      <w:tr>
        <w:trPr>
          <w:trHeight w:val="53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Consultas prenatales,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6.0 [4.0-8.0]</w:t>
            </w:r>
          </w:p>
        </w:tc>
      </w:tr>
      <w:tr>
        <w:trPr>
          <w:trHeight w:val="53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Control prenatal &lt;8 consultas,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178 (70.9%)</w:t>
            </w:r>
          </w:p>
        </w:tc>
      </w:tr>
      <w:tr>
        <w:trPr>
          <w:trHeight w:val="53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Parto por cesárea,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105 (41.2%)</w:t>
            </w:r>
          </w:p>
        </w:tc>
      </w:tr>
      <w:tr>
        <w:trPr>
          <w:trHeight w:val="53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Trastorno hipertensivo del embarazo,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 (11.1%)</w:t>
            </w:r>
          </w:p>
        </w:tc>
      </w:tr>
      <w:tr>
        <w:trPr>
          <w:trHeight w:val="53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Edad gestacional al nacer (semanas),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39.0 [37.0-39.0]</w:t>
            </w:r>
          </w:p>
        </w:tc>
      </w:tr>
      <w:tr>
        <w:trPr>
          <w:trHeight w:val="53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Peso al nacer (gramos), mediana [RIC]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2925.0 [2616.0-3232.5]</w:t>
            </w:r>
          </w:p>
        </w:tc>
      </w:tr>
      <w:tr>
        <w:trPr>
          <w:trHeight w:val="53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Pequeño para edad gestacional (restricción de crecimiento),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 (21.2%)</w:t>
            </w:r>
          </w:p>
        </w:tc>
      </w:tr>
      <w:tr>
        <w:trPr>
          <w:trHeight w:val="53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Defecto congénito,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 (8.2%)</w:t>
            </w:r>
          </w:p>
        </w:tc>
      </w:tr>
      <w:tr>
        <w:trPr>
          <w:trHeight w:val="53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Egreso: fallece,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 (0.8%)</w:t>
            </w:r>
          </w:p>
        </w:tc>
      </w:tr>
      <w:tr>
        <w:trPr>
          <w:trHeight w:val="538" w:hRule="auto"/>
        </w:trPr>
        body13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Egreso: traslado, n (%)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 (1.2%)</w:t>
            </w:r>
          </w:p>
        </w:tc>
      </w:tr>
    </w:tbl>
    <w:bookmarkEnd w:id="28"/>
    <w:bookmarkStart w:id="32" w:name="tendencia-temporal-de-la-tasa-anual"/>
    <w:p>
      <w:pPr>
        <w:pStyle w:val="Heading2"/>
      </w:pPr>
      <w:r>
        <w:t xml:space="preserve">Tendencia temporal de la tasa anual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Figura 1. Tasa anual de sífilis congénita por 1000 nacidos vivos, HGOIA 2009-2024." title="" id="30" name="Picture"/>
            <a:graphic>
              <a:graphicData uri="http://schemas.openxmlformats.org/drawingml/2006/picture">
                <pic:pic>
                  <pic:nvPicPr>
                    <pic:cNvPr descr="/home/debian/Proyectos/Sifilis/informe/informe_sifilis_congenita_files/figures/fig1_tasa_anua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1. Tasa anual de sífilis congénita por 1000 nacidos vivos, HGOIA 2009-2024.</w:t>
      </w:r>
    </w:p>
    <w:p>
      <w:pPr>
        <w:pStyle w:val="BodyText"/>
      </w:pPr>
      <w:r>
        <w:t xml:space="preserve">La tasa anual alcanzó su máximo en 2021, con</w:t>
      </w:r>
      <w:r>
        <w:t xml:space="preserve"> </w:t>
      </w:r>
      <w:r>
        <w:t xml:space="preserve">28 casos y</w:t>
      </w:r>
      <w:r>
        <w:t xml:space="preserve"> </w:t>
      </w:r>
      <w:r>
        <w:t xml:space="preserve">6.64 por 1000 nacidos vivos.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Comparación de la tasa de sífilis congénita por periodo (referencia: 2009-2017)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0"/>
        <w:gridCol w:w="773"/>
        <w:gridCol w:w="829"/>
        <w:gridCol w:w="1486"/>
        <w:gridCol w:w="1954"/>
        <w:gridCol w:w="1708"/>
        <w:gridCol w:w="955"/>
      </w:tblGrid>
      <w:tr>
        <w:trPr>
          <w:trHeight w:val="536" w:hRule="auto"/>
          <w:tblHeader/>
        </w:trPr>
        header1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Periodo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Años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Casos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Nacidos vivos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Tasa x1000 (IC95%)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IRR (IC95%)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Valor p</w:t>
            </w:r>
          </w:p>
        </w:tc>
      </w:tr>
      <w:tr>
        <w:trPr>
          <w:trHeight w:val="531" w:hRule="auto"/>
        </w:trPr>
        body1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2009-2017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148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82.174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1.80 (1.52-2.12)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1,00 (referencia)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</w:t>
            </w:r>
          </w:p>
        </w:tc>
      </w:tr>
      <w:tr>
        <w:trPr>
          <w:trHeight w:val="53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2018-2021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4.15 (3.28-5.18)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2.30 (1.74-3.02)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31" w:hRule="auto"/>
        </w:trPr>
        body3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2022-2024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10.771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2.69 (1.80-3.87)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1.49 (0.98-2.19)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0.048</w:t>
            </w:r>
          </w:p>
        </w:tc>
      </w:tr>
    </w:tbl>
    <w:p>
      <w:pPr>
        <w:pStyle w:val="BodyText"/>
      </w:pPr>
      <w:r>
        <w:t xml:space="preserve">En comparación con 2009-2017, el periodo 2018-2021 mostró un aumento</w:t>
      </w:r>
      <w:r>
        <w:t xml:space="preserve"> </w:t>
      </w:r>
      <w:r>
        <w:t xml:space="preserve">significativo de la tasa (IRR 2.30; IC95%</w:t>
      </w:r>
      <w:r>
        <w:t xml:space="preserve"> </w:t>
      </w:r>
      <w:r>
        <w:t xml:space="preserve">1.74-3.02;</w:t>
      </w:r>
      <w:r>
        <w:t xml:space="preserve"> </w:t>
      </w:r>
      <w:r>
        <w:t xml:space="preserve">p&lt;0.001), mientras que 2022-2024 no difirió</w:t>
      </w:r>
      <w:r>
        <w:t xml:space="preserve"> </w:t>
      </w:r>
      <w:r>
        <w:t xml:space="preserve">significativamente del periodo basal (IRR 1.49; IC95%</w:t>
      </w:r>
      <w:r>
        <w:t xml:space="preserve"> </w:t>
      </w:r>
      <w:r>
        <w:t xml:space="preserve">0.98-2.19;</w:t>
      </w:r>
      <w:r>
        <w:t xml:space="preserve"> </w:t>
      </w:r>
      <w:r>
        <w:t xml:space="preserve">p0.048).</w:t>
      </w:r>
    </w:p>
    <w:bookmarkEnd w:id="32"/>
    <w:bookmarkStart w:id="36" w:name="Xed092fc8e41104ea36b084880b920ceea0b8f1d"/>
    <w:p>
      <w:pPr>
        <w:pStyle w:val="Heading2"/>
      </w:pPr>
      <w:r>
        <w:t xml:space="preserve">Cambios en la composición por nacionalidad materna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Figura 2. Proporción de casos de sífilis congénita en madres extranjeras, HGOIA 2009-2024." title="" id="34" name="Picture"/>
            <a:graphic>
              <a:graphicData uri="http://schemas.openxmlformats.org/drawingml/2006/picture">
                <pic:pic>
                  <pic:nvPicPr>
                    <pic:cNvPr descr="/home/debian/Proyectos/Sifilis/informe/informe_sifilis_congenita_files/figures/fig2_tendencia_extranjera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2. Proporción de casos de sífilis congénita en madres extranjeras, HGOIA 2009-2024.</w:t>
      </w:r>
    </w:p>
    <w:p>
      <w:pPr>
        <w:pStyle w:val="BodyText"/>
      </w:pPr>
      <w:r>
        <w:t xml:space="preserve">La proporción de casos en hijos de madres extranjeras aumentó de</w:t>
      </w:r>
      <w:r>
        <w:t xml:space="preserve"> </w:t>
      </w:r>
      <w:r>
        <w:t xml:space="preserve">4.3% en 2009 a un</w:t>
      </w:r>
      <w:r>
        <w:t xml:space="preserve"> </w:t>
      </w:r>
      <w:r>
        <w:t xml:space="preserve">máximo de 45.5% en</w:t>
      </w:r>
      <w:r>
        <w:t xml:space="preserve"> </w:t>
      </w:r>
      <w:r>
        <w:t xml:space="preserve">2023</w:t>
      </w:r>
      <w:r>
        <w:t xml:space="preserve"> </w:t>
      </w:r>
      <w:r>
        <w:t xml:space="preserve">(prueba de tendencia, p&lt;0.001).</w:t>
      </w:r>
    </w:p>
    <w:bookmarkEnd w:id="36"/>
    <w:bookmarkStart w:id="40" w:name="adecuación-del-control-prenatal-1"/>
    <w:p>
      <w:pPr>
        <w:pStyle w:val="Heading2"/>
      </w:pPr>
      <w:r>
        <w:t xml:space="preserve">Adecuación del control prenatal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Figura 3. Adecuación del control prenatal (criterio OMS: ≥8 controles)." title="" id="38" name="Picture"/>
            <a:graphic>
              <a:graphicData uri="http://schemas.openxmlformats.org/drawingml/2006/picture">
                <pic:pic>
                  <pic:nvPicPr>
                    <pic:cNvPr descr="/home/debian/Proyectos/Sifilis/informe/informe_sifilis_congenita_files/figures/fig3_adecuacion_cp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 Adecuación del control prenatal (criterio OMS: ≥8 controles).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Adecuación del control prenatal, HGOIA 2009-2024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15"/>
        <w:gridCol w:w="661"/>
        <w:gridCol w:w="712"/>
      </w:tblGrid>
      <w:tr>
        <w:trPr>
          <w:trHeight w:val="529" w:hRule="auto"/>
          <w:tblHeader/>
        </w:trPr>
        header1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Adecuación del control prenatal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%</w:t>
            </w:r>
          </w:p>
        </w:tc>
      </w:tr>
      <w:tr>
        <w:trPr>
          <w:trHeight w:val="536" w:hRule="auto"/>
        </w:trPr>
        body1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&lt;8 controles (subóptimo)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70.9</w:t>
            </w:r>
          </w:p>
        </w:tc>
      </w:tr>
      <w:tr>
        <w:trPr>
          <w:trHeight w:val="53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≥8 controles (adecuado)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29.1</w:t>
            </w:r>
          </w:p>
        </w:tc>
      </w:tr>
      <w:tr>
        <w:trPr>
          <w:trHeight w:val="498" w:hRule="auto"/>
        </w:trPr>
        body3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Sin dato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</w:t>
            </w:r>
          </w:p>
        </w:tc>
      </w:tr>
    </w:tbl>
    <w:p>
      <w:pPr>
        <w:pStyle w:val="BodyText"/>
      </w:pPr>
      <w:r>
        <w:t xml:space="preserve">El 70.9%</w:t>
      </w:r>
      <w:r>
        <w:t xml:space="preserve"> </w:t>
      </w:r>
      <w:r>
        <w:t xml:space="preserve">de las gestantes tuvo un control prenatal subóptimo (&lt;8 consultas).</w:t>
      </w:r>
    </w:p>
    <w:bookmarkEnd w:id="40"/>
    <w:bookmarkEnd w:id="41"/>
    <w:bookmarkStart w:id="42" w:name="conclusiones-preliminares"/>
    <w:p>
      <w:pPr>
        <w:pStyle w:val="Heading1"/>
      </w:pPr>
      <w:r>
        <w:t xml:space="preserve">Conclusiones preliminares</w:t>
      </w:r>
    </w:p>
    <w:p>
      <w:pPr>
        <w:pStyle w:val="FirstParagraph"/>
      </w:pPr>
      <w:r>
        <w:t xml:space="preserve">La sífilis congénita mostró un incremento temporal importante entre 2018 y</w:t>
      </w:r>
      <w:r>
        <w:t xml:space="preserve"> </w:t>
      </w:r>
      <w:r>
        <w:t xml:space="preserve">2021, con pico en 2021 y descenso posterior. Este patrón se acompañó de una</w:t>
      </w:r>
      <w:r>
        <w:t xml:space="preserve"> </w:t>
      </w:r>
      <w:r>
        <w:t xml:space="preserve">alta frecuencia de control prenatal subóptimo y de cambios en la composición</w:t>
      </w:r>
      <w:r>
        <w:t xml:space="preserve"> </w:t>
      </w:r>
      <w:r>
        <w:t xml:space="preserve">por nacionalidad materna, con una proporción creciente de casos en madres</w:t>
      </w:r>
      <w:r>
        <w:t xml:space="preserve"> </w:t>
      </w:r>
      <w:r>
        <w:t xml:space="preserve">extranjeras. Estos hallazgos son preliminares y están sujetos a la</w:t>
      </w:r>
      <w:r>
        <w:t xml:space="preserve"> </w:t>
      </w:r>
      <w:r>
        <w:t xml:space="preserve">interpretación clínica del investigador principal.</w:t>
      </w:r>
    </w:p>
    <w:p>
      <w:r>
        <w:br w:type="page"/>
      </w:r>
    </w:p>
    <w:bookmarkEnd w:id="42"/>
    <w:bookmarkStart w:id="43" w:name="anexo.-tabla-completa-de-tasas-anuales"/>
    <w:p>
      <w:pPr>
        <w:pStyle w:val="Heading1"/>
      </w:pPr>
      <w:r>
        <w:t xml:space="preserve">Anexo. Tabla completa de tasas anuales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A1. Tasa anual de sífilis congénita por 1000 nacidos vivos, con IC95% exacto de Poisson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63"/>
        <w:gridCol w:w="829"/>
        <w:gridCol w:w="1486"/>
        <w:gridCol w:w="1954"/>
      </w:tblGrid>
      <w:tr>
        <w:trPr>
          <w:trHeight w:val="536" w:hRule="auto"/>
          <w:tblHeader/>
        </w:trPr>
        header 1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Año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Casos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Nacidos vivos</w:t>
            </w:r>
          </w:p>
        </w:tc>
        <w:tc>
          <w:tcPr>
            <w:tcBorders>
              <w:bottom w:val="single" w:sz="12" w:space="0" w:color="C3C2B7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Tasa x1000 (IC95%)</w:t>
            </w:r>
          </w:p>
        </w:tc>
      </w:tr>
      <w:tr>
        <w:trPr>
          <w:trHeight w:val="531" w:hRule="auto"/>
        </w:trPr>
        body 1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11.472</w:t>
            </w:r>
          </w:p>
        </w:tc>
        <w:tc>
          <w:tcPr>
            <w:tcBorders>
              <w:bottom w:val="none" w:sz="0" w:space="0" w:color="000000"/>
              <w:top w:val="single" w:sz="12" w:space="0" w:color="C3C2B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2.00 (1.27-3.01)</w:t>
            </w:r>
          </w:p>
        </w:tc>
      </w:tr>
      <w:tr>
        <w:trPr>
          <w:trHeight w:val="53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2.32 (1.53-3.38)</w:t>
            </w:r>
          </w:p>
        </w:tc>
      </w:tr>
      <w:tr>
        <w:trPr>
          <w:trHeight w:val="53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 (0.63-2.01)</w:t>
            </w:r>
          </w:p>
        </w:tc>
      </w:tr>
      <w:tr>
        <w:trPr>
          <w:trHeight w:val="53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9.742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2.57 (1.66-3.79)</w:t>
            </w:r>
          </w:p>
        </w:tc>
      </w:tr>
      <w:tr>
        <w:trPr>
          <w:trHeight w:val="53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9.980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1.10 (0.55-1.97)</w:t>
            </w:r>
          </w:p>
        </w:tc>
      </w:tr>
      <w:tr>
        <w:trPr>
          <w:trHeight w:val="53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8.923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1.79 (1.02-2.91)</w:t>
            </w:r>
          </w:p>
        </w:tc>
      </w:tr>
      <w:tr>
        <w:trPr>
          <w:trHeight w:val="53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7.699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1.43 (0.71-2.56)</w:t>
            </w:r>
          </w:p>
        </w:tc>
      </w:tr>
      <w:tr>
        <w:trPr>
          <w:trHeight w:val="53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6.008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1.83 (0.91-3.28)</w:t>
            </w:r>
          </w:p>
        </w:tc>
      </w:tr>
      <w:tr>
        <w:trPr>
          <w:trHeight w:val="53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5.683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1.94 (0.97-3.46)</w:t>
            </w:r>
          </w:p>
        </w:tc>
      </w:tr>
      <w:tr>
        <w:trPr>
          <w:trHeight w:val="53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5.131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2.73 (1.49-4.58)</w:t>
            </w:r>
          </w:p>
        </w:tc>
      </w:tr>
      <w:tr>
        <w:trPr>
          <w:trHeight w:val="53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4.212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4.75 (2.90-7.33)</w:t>
            </w:r>
          </w:p>
        </w:tc>
      </w:tr>
      <w:tr>
        <w:trPr>
          <w:trHeight w:val="53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5.236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3.06 (1.75-4.96)</w:t>
            </w:r>
          </w:p>
        </w:tc>
      </w:tr>
      <w:tr>
        <w:trPr>
          <w:trHeight w:val="53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4.218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6.64 (4.41-9.59)</w:t>
            </w:r>
          </w:p>
        </w:tc>
      </w:tr>
      <w:tr>
        <w:trPr>
          <w:trHeight w:val="53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4.305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3.25 (1.78-5.46)</w:t>
            </w:r>
          </w:p>
        </w:tc>
      </w:tr>
      <w:tr>
        <w:trPr>
          <w:trHeight w:val="53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4.108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2.68 (1.34-4.79)</w:t>
            </w:r>
          </w:p>
        </w:tc>
      </w:tr>
      <w:tr>
        <w:trPr>
          <w:trHeight w:val="531" w:hRule="auto"/>
        </w:trPr>
        body16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2.358</w:t>
            </w:r>
          </w:p>
        </w:tc>
        <w:tc>
          <w:tcPr>
            <w:tcBorders>
              <w:bottom w:val="single" w:sz="12" w:space="0" w:color="C3C2B7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DejaVu Sans" w:eastAsia="DejaVu Sans" w:cs="DejaVu Sans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1.70 (0.46-4.34)</w:t>
            </w:r>
          </w:p>
        </w:tc>
      </w:tr>
    </w:tbl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Tendencia temporal de la sífilis congénita y cambios en la nacionalidad materna en un hospital de referencia de Ecuador, 2009–2024</dc:title>
  <dc:creator/>
  <cp:keywords/>
  <dcterms:created xsi:type="dcterms:W3CDTF">2026-08-10T20:48:29Z</dcterms:created>
  <dcterms:modified xsi:type="dcterms:W3CDTF">2026-08-10T20:48:29Z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de agosto de 2026</vt:lpwstr>
  </property>
  <property fmtid="{D5CDD505-2E9C-101B-9397-08002B2CF9AE}" pid="3" name="output">
    <vt:lpwstr/>
  </property>
  <property fmtid="{D5CDD505-2E9C-101B-9397-08002B2CF9AE}" pid="4" name="subtitle">
    <vt:lpwstr>Metodología, tablas y figuras</vt:lpwstr>
  </property>
</Properties>
</file>