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0" w:name="Xa4743784e62fe207cc401b42e87eb50dc7225b2"/>
    <w:p>
      <w:pPr>
        <w:pStyle w:val="Heading2"/>
      </w:pPr>
      <w:r>
        <w:t xml:space="preserve">title:</w:t>
      </w:r>
      <w:r>
        <w:t xml:space="preserve"> </w:t>
      </w:r>
      <w:r>
        <w:t xml:space="preserve">“</w:t>
      </w:r>
      <w:r>
        <w:t xml:space="preserve">Factores maternos, clínicos y de atención asociados con muerte fetal: análisis frecuentista y bayesiano de registros obstétricos</w:t>
      </w:r>
      <w:r>
        <w:t xml:space="preserve">”</w:t>
      </w:r>
    </w:p>
    <w:p>
      <w:pPr>
        <w:pStyle w:val="FirstParagraph"/>
      </w:pPr>
      <w:r>
        <w:t xml:space="preserve">lang: es</w:t>
      </w:r>
      <w:r>
        <w:br/>
      </w:r>
      <w:r>
        <w:t xml:space="preserve">toc: true</w:t>
      </w:r>
      <w:r>
        <w:br/>
      </w:r>
      <w:r>
        <w:t xml:space="preserve">toc-title: Contenido</w:t>
      </w:r>
    </w:p>
    <w:p>
      <w:pPr>
        <w:pStyle w:val="BodyText"/>
      </w:pPr>
      <w:r>
        <w:rPr>
          <w:b/>
          <w:bCs/>
        </w:rPr>
        <w:t xml:space="preserve">Título corto:</w:t>
      </w:r>
      <w:r>
        <w:t xml:space="preserve"> </w:t>
      </w:r>
      <w:r>
        <w:t xml:space="preserve">Factores asociados con muerte fetal</w:t>
      </w:r>
    </w:p>
    <w:p>
      <w:pPr>
        <w:pStyle w:val="BodyText"/>
      </w:pPr>
      <w:r>
        <w:rPr>
          <w:b/>
          <w:bCs/>
        </w:rPr>
        <w:t xml:space="preserve">Autores:</w:t>
      </w:r>
      <w:r>
        <w:t xml:space="preserve"> </w:t>
      </w:r>
      <w:r>
        <w:t xml:space="preserve">[COMPLETAR]</w:t>
      </w:r>
      <w:r>
        <w:rPr>
          <w:b/>
          <w:bCs/>
        </w:rPr>
        <w:t xml:space="preserve">Afiliaciones:</w:t>
      </w:r>
      <w:r>
        <w:t xml:space="preserve"> </w:t>
      </w:r>
      <w:r>
        <w:t xml:space="preserve">[COMPLETAR]</w:t>
      </w:r>
      <w:r>
        <w:rPr>
          <w:b/>
          <w:bCs/>
        </w:rPr>
        <w:t xml:space="preserve">Autor de correspondencia:</w:t>
      </w:r>
      <w:r>
        <w:t xml:space="preserve"> </w:t>
      </w:r>
      <w:r>
        <w:t xml:space="preserve">[COMPLETAR]</w:t>
      </w:r>
      <w:r>
        <w:rPr>
          <w:b/>
          <w:bCs/>
        </w:rPr>
        <w:t xml:space="preserve">Institución, ciudad, país y periodo:</w:t>
      </w:r>
      <w:r>
        <w:t xml:space="preserve"> </w:t>
      </w:r>
      <w:r>
        <w:t xml:space="preserve">[COMPLETAR]</w:t>
      </w:r>
    </w:p>
    <w:p>
      <w:pPr>
        <w:pStyle w:val="BodyText"/>
      </w:pPr>
      <w:r>
        <w:rPr>
          <w:b/>
          <w:bCs/>
        </w:rPr>
        <w:t xml:space="preserve">Palabras clave:</w:t>
      </w:r>
      <w:r>
        <w:t xml:space="preserve"> </w:t>
      </w:r>
      <w:r>
        <w:t xml:space="preserve">muerte fetal; óbito fetal; atención prenatal; desprendimiento prematuro de placenta; eclampsia; regresión logística; análisis bayesiano.</w:t>
      </w:r>
    </w:p>
    <w:bookmarkEnd w:id="20"/>
    <w:bookmarkStart w:id="21" w:name="resumen"/>
    <w:p>
      <w:pPr>
        <w:pStyle w:val="Heading1"/>
      </w:pPr>
      <w:r>
        <w:t xml:space="preserve">Resumen</w:t>
      </w:r>
    </w:p>
    <w:p>
      <w:pPr>
        <w:pStyle w:val="FirstParagraph"/>
      </w:pPr>
      <w:r>
        <w:rPr>
          <w:b/>
          <w:bCs/>
        </w:rPr>
        <w:t xml:space="preserve">Introducción.</w:t>
      </w:r>
      <w:r>
        <w:t xml:space="preserve"> </w:t>
      </w:r>
      <w:r>
        <w:t xml:space="preserve">La muerte fetal es un desenlace obstétrico de alta relevancia clínica cuya ocurrencia puede relacionarse con características maternas, sociales, asistenciales y complicaciones obstétricas. La interpretación de registros transversales exige distinguir asociación de causalidad.</w:t>
      </w:r>
    </w:p>
    <w:p>
      <w:pPr>
        <w:pStyle w:val="BodyText"/>
      </w:pPr>
      <w:r>
        <w:rPr>
          <w:b/>
          <w:bCs/>
        </w:rPr>
        <w:t xml:space="preserve">Objetivo.</w:t>
      </w:r>
      <w:r>
        <w:t xml:space="preserve"> </w:t>
      </w:r>
      <w:r>
        <w:t xml:space="preserve">Evaluar asociaciones con muerte fetal mediante modelos de regresión logística frecuentista y bayesiana.</w:t>
      </w:r>
    </w:p>
    <w:p>
      <w:pPr>
        <w:pStyle w:val="BodyText"/>
      </w:pPr>
      <w:r>
        <w:rPr>
          <w:b/>
          <w:bCs/>
        </w:rPr>
        <w:t xml:space="preserve">Métodos.</w:t>
      </w:r>
      <w:r>
        <w:t xml:space="preserve"> </w:t>
      </w:r>
      <w:r>
        <w:t xml:space="preserve">Estudio transversal analítico basado en 23.848 registros fetales; 23.642 tuvieron desenlace conocido. Se estimaron odds ratios (OR) frecuentistas y posteriores. El modelo bayesiano principal usó familia Bernoulli, enlace logit y priors regularizadores Normal(0; 0,7) para los coeficientes. Se realizaron sensibilidades de prior y de especificación.</w:t>
      </w:r>
      <w:r>
        <w:t xml:space="preserve"> Como análisis adicional, se construyó una adherencia operacional según controles observados/esperados por edad gestacional; el ajuste por edad gestacional se trató como sensibilidad.</w:t>
      </w:r>
    </w:p>
    <w:p>
      <w:pPr>
        <w:pStyle w:val="BodyText"/>
      </w:pPr>
      <w:r>
        <w:rPr>
          <w:b/>
          <w:bCs/>
        </w:rPr>
        <w:t xml:space="preserve">Resultados.</w:t>
      </w:r>
      <w:r>
        <w:t xml:space="preserve"> </w:t>
      </w:r>
      <w:r>
        <w:t>Se registraron 489 muertes fetales y 23.153 registros sin muerte fetal. El DPP mostró la asociación positiva de mayor magnitud (OR posterior 4,73; CrI95% 2,57–8,10; P[OR&gt;1]=1,000). El riesgo alto e inminente al ingreso, interpretado como marcador clínico y no como exposición etiológica, presentó OR posteriores de 1,60 y 1,81. Para eclampsia, el OR posterior obstétrico fue 2,16 (CrI95% 0,87–4,89; P[OR&gt;1]=0,952). Controles prenatales, psicoprofilaxis, acompañamiento y RPM mostraron asociaciones negativas. Los diez modelos tuvieron R-hat máximo de 1,0013 y cero divergencias.</w:t>
      </w:r>
      <w:r>
        <w:t xml:space="preserve"> En 23.442 registros completos, la mortalidad fue 1,56% con adherencia buena, 1,47% con adherencia parcial y 3,35% con adherencia baja. Para baja frente a buena, el OR crudo fue 2,18 (IC95% 1,72–2,77) y el OR ajustado por edad gestacional, considerado sensibilidad, fue 1,84 (IC95% 1,43–2,38).</w:t>
      </w:r>
    </w:p>
    <w:p>
      <w:pPr>
        <w:pStyle w:val="BodyText"/>
      </w:pPr>
      <w:r>
        <w:rPr>
          <w:b/>
          <w:bCs/>
        </w:rPr>
        <w:t xml:space="preserve">Conclusiones.</w:t>
      </w:r>
      <w:r>
        <w:t xml:space="preserve"> </w:t>
      </w:r>
      <w:r>
        <w:t>DPP mostró una asociación positiva clara; las categorías de mayor gravedad al ingreso también se asociaron positivamente y se interpretaron como marcadores clínicos, no como exposiciones etiológicas con muerte fetal. La distribución posterior de eclampsia favoreció una asociación positiva, aunque con incertidumbre amplia. Las asociaciones negativas observadas no demuestran efectos preventivos y deben interpretarse considerando temporalidad, selección y calidad del registro.</w:t>
      </w:r>
    </w:p>
    <w:bookmarkEnd w:id="21"/>
    <w:bookmarkStart w:id="22" w:name="introducción"/>
    <w:p>
      <w:pPr>
        <w:pStyle w:val="Heading1"/>
      </w:pPr>
      <w:r>
        <w:t xml:space="preserve">1. Introducción</w:t>
      </w:r>
    </w:p>
    <w:p>
      <w:pPr>
        <w:pStyle w:val="FirstParagraph"/>
      </w:pPr>
      <w:r>
        <w:t>La muerte fetal constituye un desenlace obstétrico de gran trascendencia para las personas gestantes, sus familias y los servicios de salud. Su estudio requiere integrar procesos maternos, placentarios, fetales y asistenciales que pueden coexistir o registrarse en momentos distintos del episodio obstétrico [1,2]. En bases clínicas secundarias, esta complejidad se acompaña de variabilidad en la completitud y precisión de las variables, por lo que la interpretación debe considerar tanto la fuerza de las asociaciones como su temporalidad y la incertidumbre de medición.</w:t>
      </w:r>
    </w:p>
    <w:p>
      <w:pPr>
        <w:pStyle w:val="BodyText"/>
      </w:pPr>
      <w:r>
        <w:t xml:space="preserve">La investigación basada en registros permite estudiar desenlaces infrecuentes en poblaciones numerosas y examinar simultáneamente diversos dominios clínicos. Sin embargo, el significado de cada variable depende del momento en que fue registrada, de los criterios operativos usados por el servicio y de la disponibilidad diferencial de información. Una categoría clínica documentada al ingreso, durante el trabajo de parto o después de conocerse el desenlace no representa necesariamente una exposición antecedente. La separación analítica por dominios ayuda a evitar ajustes indiscriminados entre variables que podrían pertenecer a etapas distintas del proceso obstétrico.</w:t>
      </w:r>
    </w:p>
    <w:p>
      <w:pPr>
        <w:pStyle w:val="BodyText"/>
      </w:pPr>
      <w:r>
        <w:t>Entre las complicaciones placentarias, el desprendimiento prematuro de placenta (DPP) representa un evento clínico grave y se ha relacionado con desenlaces fetales adversos [3]. Los trastornos hipertensivos del embarazo también son relevantes, pero sus categorías pueden contener pocos registros o eventos, en especial la eclampsia. En esas circunstancias, los modelos convencionales pueden producir estimaciones inestables; la regularización bayesiana ofrece una forma explícita de moderar estimaciones extremas sin utilizar los resultados de la propia base para construir los priors.</w:t>
      </w:r>
    </w:p>
    <w:p>
      <w:pPr>
        <w:pStyle w:val="BodyText"/>
      </w:pPr>
      <w:r>
        <w:t>La edad materna, la infección de vías urinarias y los trastornos hipertensivos representan dimensiones maternas heterogéneas. Sus asociaciones pueden estar entrelazadas con la oportunidad de atención, la gravedad clínica y otras características no medidas. Por ello, una estimación ajustada debe entenderse como una asociación condicional a las covariables incorporadas, no como una propiedad biológica aislada ni como evidencia suficiente de una vía causal [4].</w:t>
      </w:r>
    </w:p>
    <w:p>
      <w:pPr>
        <w:pStyle w:val="BodyText"/>
      </w:pPr>
      <w:r>
        <w:t>La atención prenatal, la psicoprofilaxis y el acompañamiento capturan dimensiones diferentes del contacto con los servicios y del soporte social. Una asociación negativa entre estas variables y las odds de muerte fetal no implica por sí misma un efecto preventivo. Puede reflejar acceso, continuidad, adherencia, condiciones socioeconómicas, tiempo gestacional disponible o selección de pacientes [4]. Esta precaución es igualmente importante para variables registradas cerca del desenlace, como la ruptura prematura de membranas (RPM), el riesgo al ingreso o las complicaciones intraparto.</w:t>
      </w:r>
    </w:p>
    <w:p>
      <w:pPr>
        <w:pStyle w:val="BodyText"/>
      </w:pPr>
      <w:r>
        <w:t xml:space="preserve">El número de controles prenatales depende, además, del tiempo durante el cual el embarazo permaneció en observación. Ajustar por edad gestacional puede modificar su estimación, pero esa sensibilidad tampoco resuelve automáticamente la estructura temporal: la edad gestacional puede actuar como indicador de tiempo disponible, estar relacionada con el desenlace y formar parte de procesos clínicos intermedios. Presentar ambas especificaciones permite mostrar esta dependencia sin elegir retrospectivamente la que ofrezca la asociación más intensa.</w:t>
      </w:r>
    </w:p>
    <w:p>
      <w:pPr>
        <w:pStyle w:val="BodyText"/>
      </w:pPr>
      <w:r>
        <w:t xml:space="preserve">El riesgo clínico al ingreso puede sintetizar gravedad y oportunidad de llegada, pero no necesariamente precede de forma independiente a todos los procesos que culminan en el desenlace. Del mismo modo, una asociación negativa de RPM podría originarse en temporalidad inversa, clasificación diferencial o patrones de registro. Por ello, los modelos por dominios permiten describir señales asociativas sin convertirlas en estimaciones causales.</w:t>
      </w:r>
    </w:p>
    <w:p>
      <w:pPr>
        <w:pStyle w:val="BodyText"/>
      </w:pPr>
      <w:r>
        <w:t xml:space="preserve">El análisis frecuentista proporciona OR, intervalos de confianza y pruebas de hipótesis, mientras que el análisis bayesiano permite describir directamente la distribución posterior de cada asociación, sus intervalos creíbles y la probabilidad de una dirección determinada. Ambos enfoques responden preguntas inferenciales distintas y su presentación conjunta facilita valorar dirección, magnitud e incertidumbre sin equiparar p-valores con probabilidades posteriores.</w:t>
      </w:r>
    </w:p>
    <w:p>
      <w:pPr>
        <w:pStyle w:val="BodyText"/>
      </w:pPr>
      <w:r>
        <w:t xml:space="preserve">Los priors regularizadores son especialmente útiles cuando existen categorías con pocos eventos, porque incorporan de forma transparente una preferencia inicial por estimaciones moderadas sin imponer una dirección. Los chequeos predictivos previos permiten examinar sus implicaciones antes del ajuste, mientras que los chequeos posteriores valoran si réplicas generadas por el modelo reproducen características relevantes de los datos. Estas herramientas complementan, pero no sustituyen, la evaluación de convergencia y la consideración clínica del modelo [REFERENCIA PENDIENTE].</w:t>
      </w:r>
    </w:p>
    <w:p>
      <w:pPr>
        <w:pStyle w:val="BodyText"/>
      </w:pPr>
      <w:r>
        <w:t xml:space="preserve">Este estudio integra análisis descriptivos, asociaciones crudas, modelos logísticos frecuentistas por dominios y modelos bayesianos preespecificados con análisis de sensibilidad. El propósito es caracterizar las asociaciones observadas entre factores maternos, sociales, asistenciales, clínicos y obstétricos y la presencia de muerte fetal en los registros disponibles, manteniendo explícitas las restricciones de un diseño transversal y de datos secundarios.</w:t>
      </w:r>
    </w:p>
    <w:bookmarkEnd w:id="22"/>
    <w:bookmarkStart w:id="25" w:name="objetivos"/>
    <w:p>
      <w:pPr>
        <w:pStyle w:val="Heading1"/>
      </w:pPr>
      <w:r>
        <w:t xml:space="preserve">2. Objetivos</w:t>
      </w:r>
    </w:p>
    <w:bookmarkStart w:id="23" w:name="objetivo-general"/>
    <w:p>
      <w:pPr>
        <w:pStyle w:val="Heading2"/>
      </w:pPr>
      <w:r>
        <w:t xml:space="preserve">2.1 Objetivo general</w:t>
      </w:r>
    </w:p>
    <w:p>
      <w:pPr>
        <w:pStyle w:val="FirstParagraph"/>
      </w:pPr>
      <w:r>
        <w:t xml:space="preserve">Evaluar la asociación entre características maternas, sociales, de atención prenatal y complicaciones obstétricas y la presencia de muerte fetal en los registros analizados mediante modelos de regresión logística frecuentista y bayesiana.</w:t>
      </w:r>
    </w:p>
    <w:bookmarkEnd w:id="23"/>
    <w:bookmarkStart w:id="24" w:name="objetivos-específicos"/>
    <w:p>
      <w:pPr>
        <w:pStyle w:val="Heading2"/>
      </w:pPr>
      <w:r>
        <w:t xml:space="preserve">2.2 Objetivos específicos</w:t>
      </w:r>
    </w:p>
    <w:p>
      <w:pPr>
        <w:pStyle w:val="Compact"/>
        <w:numPr>
          <w:ilvl w:val="0"/>
          <w:numId w:val="1001"/>
        </w:numPr>
      </w:pPr>
      <w:r>
        <w:t xml:space="preserve">Describir las características de los registros y la disponibilidad de información.</w:t>
      </w:r>
    </w:p>
    <w:p>
      <w:pPr>
        <w:pStyle w:val="Compact"/>
        <w:numPr>
          <w:ilvl w:val="0"/>
          <w:numId w:val="1001"/>
        </w:numPr>
      </w:pPr>
      <w:r>
        <w:t xml:space="preserve">Estimar asociaciones crudas con el desenlace.</w:t>
      </w:r>
    </w:p>
    <w:p>
      <w:pPr>
        <w:pStyle w:val="Compact"/>
        <w:numPr>
          <w:ilvl w:val="0"/>
          <w:numId w:val="1001"/>
        </w:numPr>
      </w:pPr>
      <w:r>
        <w:t xml:space="preserve">Estimar asociaciones ajustadas en dominios sociales y de atención, materno-clínicos y obstétricos.</w:t>
      </w:r>
    </w:p>
    <w:p>
      <w:pPr>
        <w:pStyle w:val="Compact"/>
        <w:numPr>
          <w:ilvl w:val="0"/>
          <w:numId w:val="1001"/>
        </w:numPr>
      </w:pPr>
      <w:r>
        <w:t xml:space="preserve">Cuantificar OR posteriores, intervalos creíbles del 95% y probabilidades posteriores de dirección.</w:t>
      </w:r>
    </w:p>
    <w:p>
      <w:pPr>
        <w:pStyle w:val="Compact"/>
        <w:numPr>
          <w:ilvl w:val="0"/>
          <w:numId w:val="1001"/>
        </w:numPr>
      </w:pPr>
      <w:r>
        <w:t xml:space="preserve">Evaluar sensibilidad a priors y especificaciones alternativas.</w:t>
      </w:r>
    </w:p>
    <w:p>
      <w:pPr>
        <w:pStyle w:val="Compact"/>
        <w:numPr>
          <w:ilvl w:val="0"/>
          <w:numId w:val="1001"/>
        </w:numPr>
      </w:pPr>
      <w:r>
        <w:t xml:space="preserve">Comparar la consistencia direccional y la incertidumbre entre los análisis frecuentista y bayesiano.</w:t>
      </w:r>
    </w:p>
    <w:bookmarkEnd w:id="24"/>
    <w:bookmarkEnd w:id="25"/>
    <w:bookmarkStart w:id="39" w:name="métodos"/>
    <w:p>
      <w:pPr>
        <w:pStyle w:val="Heading1"/>
      </w:pPr>
      <w:r>
        <w:t xml:space="preserve">3. Métodos</w:t>
      </w:r>
    </w:p>
    <w:bookmarkStart w:id="26" w:name="diseño-del-estudio"/>
    <w:p>
      <w:pPr>
        <w:pStyle w:val="Heading2"/>
      </w:pPr>
      <w:r>
        <w:t xml:space="preserve">3.1 Diseño del estudio</w:t>
      </w:r>
    </w:p>
    <w:p>
      <w:pPr>
        <w:pStyle w:val="FirstParagraph"/>
      </w:pPr>
      <w:r>
        <w:t xml:space="preserve">Estudio transversal analítico basado en registros. No se asumió seguimiento longitudinal ni se formularon efectos causales.</w:t>
      </w:r>
    </w:p>
    <w:bookmarkEnd w:id="26"/>
    <w:bookmarkStart w:id="27" w:name="fuente-de-datos-y-escenario"/>
    <w:p>
      <w:pPr>
        <w:pStyle w:val="Heading2"/>
      </w:pPr>
      <w:r>
        <w:t xml:space="preserve">3.2 Fuente de datos y escenario</w:t>
      </w:r>
    </w:p>
    <w:p>
      <w:pPr>
        <w:pStyle w:val="FirstParagraph"/>
      </w:pPr>
      <w:r>
        <w:t xml:space="preserve">Se utilizó la base analítica derivada de los registros disponibles en [COMPLETAR: institución, ciudad y país] durante [COMPLETAR: periodo]. La fuente primaria exacta, el proceso institucional de captura y los responsables del registro deben completarse antes del envío.</w:t>
      </w:r>
    </w:p>
    <w:bookmarkEnd w:id="27"/>
    <w:bookmarkStart w:id="28" w:name="población-y-unidad-de-análisis"/>
    <w:p>
      <w:pPr>
        <w:pStyle w:val="Heading2"/>
      </w:pPr>
      <w:r>
        <w:t xml:space="preserve">3.3 Población y unidad de análisis</w:t>
      </w:r>
    </w:p>
    <w:p>
      <w:pPr>
        <w:pStyle w:val="FirstParagraph"/>
      </w:pPr>
      <w:r>
        <w:t xml:space="preserve">La base contenía 23.848 registros fetales. Se incluyeron 23.642 con desenlace conocido en los análisis de muerte fetal; 206 tenían desenlace faltante. La unidad de análisis fue el registro fetal. Los 206 registros identificados como embarazo múltiple coincidieron con desenlace faltante, por lo que la estructura y disponibilidad del registro impidieron estimar su asociación con muerte fetal. Esta coincidencia no permite clasificar por sí sola el mecanismo de ausencia como MCAR, MAR o MNAR.</w:t>
      </w:r>
    </w:p>
    <w:bookmarkEnd w:id="28"/>
    <w:bookmarkStart w:id="29" w:name="desenlace"/>
    <w:p>
      <w:pPr>
        <w:pStyle w:val="Heading2"/>
      </w:pPr>
      <w:r>
        <w:t xml:space="preserve">3.4 Desenlace</w:t>
      </w:r>
    </w:p>
    <w:p>
      <w:pPr>
        <w:pStyle w:val="FirstParagraph"/>
      </w:pPr>
      <w:r>
        <w:t xml:space="preserve">El desenlace fue MUERTE_FETAL_BINARIA, codificado como 0 (no) y 1 (sí), derivado de la variable de muerte intrauterina según el pipeline analítico documentado. Los valores sin clasificación se mantuvieron como faltantes.</w:t>
      </w:r>
    </w:p>
    <w:bookmarkEnd w:id="29"/>
    <w:bookmarkStart w:id="30" w:name="variables"/>
    <w:p>
      <w:pPr>
        <w:pStyle w:val="Heading2"/>
      </w:pPr>
      <w:r>
        <w:t xml:space="preserve">3.5 Variables</w:t>
      </w:r>
    </w:p>
    <w:p>
      <w:pPr>
        <w:pStyle w:val="FirstParagraph"/>
      </w:pPr>
      <w:r>
        <w:t xml:space="preserve">Las variables maternas fueron edad, trastornos hipertensivos e infección de vías urinarias (IVU); las sociales fueron pareja estable, instrucción, acompañamiento y seguro; las de atención fueron controles prenatales y sesiones de psicoprofilaxis; la variable clínica fue riesgo al ingreso; y las obstétricas fueron RPM, DPP, hemorragia y presentación fetal.</w:t>
      </w:r>
      <w:r>
        <w:t xml:space="preserve"> Las categorías de riesgo al ingreso son evaluaciones clínicas realizadas al momento de la atención; se presentan para caracterizar la gravedad clínica asociada con los casos y no como exposiciones etiológicas independientes ni como estimaciones causales.</w:t>
      </w:r>
    </w:p>
    <w:bookmarkEnd w:id="30"/>
    <w:bookmarkStart w:id="31" w:name="control-de-calidad-y-recodificación"/>
    <w:p>
      <w:pPr>
        <w:pStyle w:val="Heading2"/>
      </w:pPr>
      <w:r>
        <w:t xml:space="preserve">3.6 Control de calidad y recodificación</w:t>
      </w:r>
    </w:p>
    <w:p>
      <w:pPr>
        <w:pStyle w:val="FirstParagraph"/>
      </w:pPr>
      <w:r>
        <w:t xml:space="preserve">EDAD_ANALITICA se construyó sin modificar EDAD_NUM: valores menores de 10 o mayores de 60 años se trataron como faltantes (247 registros). Su rango fue 10–58 años, media 30,49 y mediana 30; las categorías fueron 20–34 años (referencia), &lt;20 y ≥35 años. En SCORE_ANALITICO, valores &gt;20 fueron tratados como faltantes; el máximo analítico fue 12 y hubo 56 faltantes. EDAD_GESTACIONAL_ANALITICA varió entre 20 y 42,6 semanas y tuvo 194 faltantes. En acompañamiento,</w:t>
      </w:r>
      <w:r>
        <w:t xml:space="preserve"> </w:t>
      </w:r>
      <w:r>
        <w:t xml:space="preserve">“</w:t>
      </w:r>
      <w:r>
        <w:t xml:space="preserve">SOLA</w:t>
      </w:r>
      <w:r>
        <w:t xml:space="preserve">”</w:t>
      </w:r>
      <w:r>
        <w:t xml:space="preserve"> </w:t>
      </w:r>
      <w:r>
        <w:t xml:space="preserve">se codificó como no acompañada; pareja, familiar u otro como acompañada; y</w:t>
      </w:r>
      <w:r>
        <w:t xml:space="preserve"> </w:t>
      </w:r>
      <w:r>
        <w:t xml:space="preserve">“</w:t>
      </w:r>
      <w:r>
        <w:t xml:space="preserve">0</w:t>
      </w:r>
      <w:r>
        <w:t xml:space="preserve">”</w:t>
      </w:r>
      <w:r>
        <w:t xml:space="preserve"> </w:t>
      </w:r>
      <w:r>
        <w:t xml:space="preserve">como faltante por no ser interpretable. Seguro presentó cerca de 31% de faltantes y se reservó para sensibilidad de casos completos.</w:t>
      </w:r>
    </w:p>
    <w:bookmarkEnd w:id="31"/>
    <w:bookmarkStart w:id="32" w:name="datos-faltantes"/>
    <w:p>
      <w:pPr>
        <w:pStyle w:val="Heading2"/>
      </w:pPr>
      <w:r>
        <w:t xml:space="preserve">3.7 Datos faltantes</w:t>
      </w:r>
    </w:p>
    <w:p>
      <w:pPr>
        <w:pStyle w:val="FirstParagraph"/>
      </w:pPr>
      <w:r>
        <w:t xml:space="preserve">No se realizó imputación múltiple. Cada modelo utilizó casos con desenlace y covariables completas para su fórmula. Por ello, el tamaño analítico varió entre modelos y no se compararon directamente mediante LOO modelos basados en conjuntos diferentes de observaciones.</w:t>
      </w:r>
    </w:p>
    <w:bookmarkEnd w:id="32"/>
    <w:bookmarkStart w:id="33" w:name="análisis-descriptivo-y-frecuentista"/>
    <w:p>
      <w:pPr>
        <w:pStyle w:val="Heading2"/>
      </w:pPr>
      <w:r>
        <w:t xml:space="preserve">3.8 Análisis descriptivo y frecuentista</w:t>
      </w:r>
    </w:p>
    <w:p>
      <w:pPr>
        <w:pStyle w:val="FirstParagraph"/>
      </w:pPr>
      <w:r>
        <w:t>Se calcularon frecuencias absolutas y relativas para variables categóricas y resúmenes de variables continuas. La proporción de muertes fetales entre registros con desenlace conocido se describió como frecuencia relativa del desenlace. Se estimaron OR crudos con IC95%, pruebas de chi-cuadrado y pruebas exactas de Fisher para exposiciones escasas. Se ajustaron regresiones logísticas por dominios: A, social/atención prenatal; B, materno-clínico; C, obstétrico; y D, seguro como sensibilidad.</w:t>
      </w:r>
      <w:r/>
    </w:p>
    <w:p>
      <w:pPr>
        <w:pStyle w:val="Heading2"/>
      </w:pPr>
      <w:r>
        <w:t>3.8.1 Adecuación o adherencia a los controles prenatales</w:t>
      </w:r>
    </w:p>
    <w:p>
      <w:pPr>
        <w:pStyle w:val="BodyText"/>
      </w:pPr>
      <w:r>
        <w:t>Para el análisis adicional de adherencia se dividieron los controles observados por los esperados según la especificación operacional: &lt;13 semanas=1, 13–&lt;20=2, 20–&lt;28=3, 28–&lt;36=6 y ≥36=8. La adherencia se clasificó como buena (≥80%), parcial (≥50% y &lt;80%) o baja (&lt;50%), sin truncar valores &gt;100%. Se utilizaron casos completos para desenlace, edad gestacional analítica y controles. Se calcularon IC95% binomiales de Wilson y regresiones logísticas cruda y ajustada por edad gestacional estandarizada; esta última se interpretó como sensibilidad por la dependencia estructural del indicador respecto de la edad gestacional.</w:t>
      </w:r>
      <w:r>
        <w:t xml:space="preserve"> El número observado procedió de NO_CONTROLES_NUM y la edad gestacional, expresada en semanas, de EDAD_GESTACIONAL_ANALITICA. La regla 1/2/3/6/8 aproximó el número acumulado esperado según la edad gestacional alcanzada y no se atribuyó como implementación textual exacta de una recomendación externa. Los valores superiores a 100% representaron más controles observados que los operacionalmente esperados; se conservaron sin truncamiento y todos permanecieron en la categoría buena. No se realizó imputación.</w:t>
      </w:r>
      <w:r>
        <w:t xml:space="preserve"> Como no hubo registros analíticos con edad gestacional menor de 20 semanas, en la población analítica real se aplicaron principalmente los puntos 20–&lt;28=3, 28–&lt;36=6 y ≥36=8 controles esperados.</w:t>
      </w:r>
    </w:p>
    <w:bookmarkEnd w:id="33"/>
    <w:bookmarkStart w:id="34" w:name="análisis-bayesiano"/>
    <w:p>
      <w:pPr>
        <w:pStyle w:val="Heading2"/>
      </w:pPr>
      <w:r>
        <w:t xml:space="preserve">3.9 Análisis bayesiano</w:t>
      </w:r>
    </w:p>
    <w:p>
      <w:pPr>
        <w:pStyle w:val="FirstParagraph"/>
      </w:pPr>
      <w:r>
        <w:t xml:space="preserve">El modelo principal fue: MUERTE_FETAL_BINARIA ~ EDAD_CAT + HIPERTENSIVOS_A + PAREJA_ESTABLE_A + INSTRUCCION_A + ACOMPANADA_BIN + CONTROLES_Z + SESIONES_Z + IVU_A. Se empleó regresión logística bayesiana con familia Bernoulli y enlace logit. Controles, sesiones y demás predictores continuos incluidos se estandarizaron.</w:t>
      </w:r>
    </w:p>
    <w:bookmarkEnd w:id="34"/>
    <w:bookmarkStart w:id="35" w:name="priors-e-inferencia"/>
    <w:p>
      <w:pPr>
        <w:pStyle w:val="Heading2"/>
      </w:pPr>
      <w:r>
        <w:t xml:space="preserve">3.10 Priors e inferencia</w:t>
      </w:r>
    </w:p>
    <w:p>
      <w:pPr>
        <w:pStyle w:val="FirstParagraph"/>
      </w:pPr>
      <w:r>
        <w:t xml:space="preserve">Para los coeficientes se especificó Normal(0; 0,7), centrado en beta=0/OR=1 y simétrico. Aproximadamente 95% de su masa corresponde a OR de 0,25–3,94. El intercepto tuvo Normal(−4; 1,5). Se evaluaron sensibilidades Normal(0; 0,5), con intercepto Normal(−4; 1), y Normal(0; 1), con intercepto Normal(−4; 2). Los priors no se construyeron con OR frecuentistas de la misma base. Se informó la mediana de exp(beta), CrI95% y P(OR&gt;1) o P(OR&lt;1). Una probabilidad posterior como 0,952 no es un p-valor.</w:t>
      </w:r>
    </w:p>
    <w:bookmarkEnd w:id="35"/>
    <w:bookmarkStart w:id="36" w:name="muestreo-chequeos-y-sensibilidad"/>
    <w:p>
      <w:pPr>
        <w:pStyle w:val="Heading2"/>
      </w:pPr>
      <w:r>
        <w:t xml:space="preserve">3.11 Muestreo, chequeos y sensibilidad</w:t>
      </w:r>
    </w:p>
    <w:p>
      <w:pPr>
        <w:pStyle w:val="FirstParagraph"/>
      </w:pPr>
      <w:r>
        <w:t xml:space="preserve">Los modelos se ajustaron con cuatro cadenas, 4.000 iteraciones por cadena, 2.000 de calentamiento, semilla 20260810, adapt_delta=0,99 y max_treedepth=15. La función preespecificada contempló reintentos más conservadores; los modelos finales no requirieron advertencias de convergencia. Se realizaron 1.000 simulaciones predictivas previas y chequeos predictivos posteriores. Se evaluaron R-hat, ESS bulk/tail, divergencias, profundidad de árbol, trazas y gráficos de rango.</w:t>
      </w:r>
    </w:p>
    <w:p>
      <w:pPr>
        <w:pStyle w:val="BodyText"/>
      </w:pPr>
      <w:r>
        <w:t xml:space="preserve">Las sensibilidades ejecutadas fueron: priors alternativos; edad continua estandarizada; ajuste por edad gestacional; modelo clínico de riesgo al ingreso; modelo obstétrico; hipertensión agrupada; seguro en casos completos; y acompañamiento detallado. La edad gestacional no se incluyó en el modelo principal: se evaluó únicamente en una sensibilidad porque puede representar tiempo gestacional disponible y formar parte de procesos intermedios; su ajuste modifica el estimando y no se interpretó automáticamente como control de confusión.</w:t>
      </w:r>
    </w:p>
    <w:bookmarkEnd w:id="36"/>
    <w:bookmarkStart w:id="37" w:name="software"/>
    <w:p>
      <w:pPr>
        <w:pStyle w:val="Heading2"/>
      </w:pPr>
      <w:r>
        <w:t xml:space="preserve">3.12 Software</w:t>
      </w:r>
    </w:p>
    <w:p>
      <w:pPr>
        <w:pStyle w:val="FirstParagraph"/>
      </w:pPr>
      <w:r>
        <w:t xml:space="preserve">Se utilizó R 4.5.0, brms 2.23.0, cmdstanr y CmdStan 2.39.0.</w:t>
      </w:r>
    </w:p>
    <w:bookmarkEnd w:id="37"/>
    <w:bookmarkStart w:id="38" w:name="aspectos-éticos"/>
    <w:p>
      <w:pPr>
        <w:pStyle w:val="Heading2"/>
      </w:pPr>
      <w:r>
        <w:t xml:space="preserve">3.13 Aspectos éticos</w:t>
      </w:r>
    </w:p>
    <w:p>
      <w:pPr>
        <w:pStyle w:val="FirstParagraph"/>
      </w:pPr>
      <w:r>
        <w:t xml:space="preserve">[COMPLETAR: comité de ética]. [COMPLETAR: número de aprobación]. [COMPLETAR: tratamiento de datos anonimizados y dispensa de consentimiento, si correspondió].</w:t>
      </w:r>
    </w:p>
    <w:bookmarkEnd w:id="38"/>
    <w:bookmarkEnd w:id="39"/>
    <w:bookmarkStart w:id="64" w:name="resultados"/>
    <w:p>
      <w:pPr>
        <w:pStyle w:val="Heading1"/>
      </w:pPr>
      <w:r>
        <w:t xml:space="preserve">4. Resultados</w:t>
      </w:r>
    </w:p>
    <w:bookmarkStart w:id="40" w:name="población-analizada"/>
    <w:p>
      <w:pPr>
        <w:pStyle w:val="Heading2"/>
      </w:pPr>
      <w:r>
        <w:t xml:space="preserve">4.1 Población analizada</w:t>
      </w:r>
    </w:p>
    <w:p>
      <w:pPr>
        <w:pStyle w:val="FirstParagraph"/>
      </w:pPr>
      <w:r>
        <w:t xml:space="preserve">De 23.848 registros, 23.642 tuvieron desenlace conocido: 489 correspondieron a muerte fetal y 23.153 a ausencia de muerte fetal; 206 registros tuvieron desenlace faltante. Entre los registros con desenlace disponible, la frecuencia relativa observada fue 2,07%.</w:t>
      </w:r>
    </w:p>
    <w:bookmarkEnd w:id="40"/>
    <w:bookmarkStart w:id="41" w:name="calidad-y-disponibilidad-de-los-datos"/>
    <w:p>
      <w:pPr>
        <w:pStyle w:val="Heading2"/>
      </w:pPr>
      <w:r>
        <w:t xml:space="preserve">4.2 Calidad y disponibilidad de los datos</w:t>
      </w:r>
    </w:p>
    <w:p>
      <w:pPr>
        <w:pStyle w:val="FirstParagraph"/>
      </w:pPr>
      <w:r>
        <w:t xml:space="preserve">Se trataron como faltantes 247 valores incompatibles de edad materna. Seguro tuvo 7.386 valores faltantes en la base original (aproximadamente 31%). En acompañamiento, 65 valores</w:t>
      </w:r>
      <w:r>
        <w:t xml:space="preserve"> </w:t>
      </w:r>
      <w:r>
        <w:t xml:space="preserve">“</w:t>
      </w:r>
      <w:r>
        <w:t xml:space="preserve">0</w:t>
      </w:r>
      <w:r>
        <w:t xml:space="preserve">”</w:t>
      </w:r>
      <w:r>
        <w:t xml:space="preserve"> </w:t>
      </w:r>
      <w:r>
        <w:t xml:space="preserve">se consideraron no interpretables. Los 206 registros identificados como embarazo múltiple carecían de desenlace por la estructura o disponibilidad del registro, lo cual impidió estimar su asociación con muerte fetal; no se asumió un mecanismo MCAR, MAR ni MNAR.</w:t>
      </w:r>
    </w:p>
    <w:bookmarkEnd w:id="41"/>
    <w:bookmarkStart w:id="42" w:name="análisis-descriptivo"/>
    <w:p>
      <w:pPr>
        <w:pStyle w:val="Heading2"/>
      </w:pPr>
      <w:r>
        <w:t xml:space="preserve">4.3 Análisis descriptivo</w:t>
      </w:r>
    </w:p>
    <w:p>
      <w:pPr>
        <w:pStyle w:val="FirstParagraph"/>
      </w:pPr>
      <w:r>
        <w:t xml:space="preserve">Las características por desenlace se presentan en la Tabla 1. La distribución mostró heterogeneidad entre variables sociales, asistenciales, clínicas y obstétricas; se priorizó la interpretación de estimaciones ajustadas y su incertidumbre.</w:t>
      </w:r>
    </w:p>
    <w:p>
      <w:pPr>
        <w:pStyle w:val="BodyText"/>
      </w:pPr>
      <w:r>
        <w:rPr>
          <w:b/>
          <w:bCs/>
        </w:rPr>
        <w:t xml:space="preserve">Tabla 1. Características de los registros según desenlace.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Categoria</w:t>
            </w:r>
          </w:p>
        </w:tc>
        <w:tc>
          <w:tcPr/>
          <w:p>
            <w:pPr>
              <w:pStyle w:val="Compact"/>
              <w:jc w:val="left"/>
            </w:pPr>
            <w:r>
              <w:t xml:space="preserve">MUERTE_FETAL_NO</w:t>
            </w:r>
          </w:p>
        </w:tc>
        <w:tc>
          <w:tcPr/>
          <w:p>
            <w:pPr>
              <w:pStyle w:val="Compact"/>
              <w:jc w:val="left"/>
            </w:pPr>
            <w:r>
              <w:t xml:space="preserve">MUERTE_FETAL_SI</w:t>
            </w:r>
          </w:p>
        </w:tc>
      </w:tr>
      <w:tr>
        <w:tc>
          <w:tcPr/>
          <w:p>
            <w:pPr>
              <w:pStyle w:val="Compact"/>
              <w:jc w:val="left"/>
            </w:pPr>
            <w:r>
              <w:t xml:space="preserve">Pareja estable</w:t>
            </w:r>
          </w:p>
        </w:tc>
        <w:tc>
          <w:tcPr/>
          <w:p>
            <w:pPr>
              <w:pStyle w:val="Compact"/>
              <w:jc w:val="left"/>
            </w:pPr>
            <w:r>
              <w:t xml:space="preserve">NO</w:t>
            </w:r>
          </w:p>
        </w:tc>
        <w:tc>
          <w:tcPr/>
          <w:p>
            <w:pPr>
              <w:pStyle w:val="Compact"/>
              <w:jc w:val="left"/>
            </w:pPr>
            <w:r>
              <w:t xml:space="preserve">16105 (69.68%)</w:t>
            </w:r>
          </w:p>
        </w:tc>
        <w:tc>
          <w:tcPr/>
          <w:p>
            <w:pPr>
              <w:pStyle w:val="Compact"/>
              <w:jc w:val="left"/>
            </w:pPr>
            <w:r>
              <w:t xml:space="preserve">350 (72.02%)</w:t>
            </w:r>
          </w:p>
        </w:tc>
      </w:tr>
      <w:tr>
        <w:tc>
          <w:tcPr/>
          <w:p>
            <w:pPr>
              <w:pStyle w:val="Compact"/>
              <w:jc w:val="left"/>
            </w:pPr>
            <w:r>
              <w:t xml:space="preserve">Pareja estable</w:t>
            </w:r>
          </w:p>
        </w:tc>
        <w:tc>
          <w:tcPr/>
          <w:p>
            <w:pPr>
              <w:pStyle w:val="Compact"/>
              <w:jc w:val="left"/>
            </w:pPr>
            <w:r>
              <w:t xml:space="preserve">SI</w:t>
            </w:r>
          </w:p>
        </w:tc>
        <w:tc>
          <w:tcPr/>
          <w:p>
            <w:pPr>
              <w:pStyle w:val="Compact"/>
              <w:jc w:val="left"/>
            </w:pPr>
            <w:r>
              <w:t>7008 (30.32%)</w:t>
            </w:r>
          </w:p>
        </w:tc>
        <w:tc>
          <w:tcPr/>
          <w:p>
            <w:pPr>
              <w:pStyle w:val="Compact"/>
              <w:jc w:val="left"/>
            </w:pPr>
            <w:r>
              <w:t>136 (27.98%)</w:t>
            </w:r>
          </w:p>
        </w:tc>
      </w:tr>
      <w:tr>
        <w:tc>
          <w:tcPr/>
          <w:p>
            <w:pPr>
              <w:pStyle w:val="Compact"/>
              <w:jc w:val="left"/>
            </w:pPr>
            <w:r>
              <w:t xml:space="preserve">Instruccion</w:t>
            </w:r>
          </w:p>
        </w:tc>
        <w:tc>
          <w:tcPr/>
          <w:p>
            <w:pPr>
              <w:pStyle w:val="Compact"/>
              <w:jc w:val="left"/>
            </w:pPr>
            <w:r>
              <w:t xml:space="preserve">SECUNDARIA</w:t>
            </w:r>
          </w:p>
        </w:tc>
        <w:tc>
          <w:tcPr/>
          <w:p>
            <w:pPr>
              <w:pStyle w:val="Compact"/>
              <w:jc w:val="left"/>
            </w:pPr>
            <w:r>
              <w:t xml:space="preserve">12702 (55.17%)</w:t>
            </w:r>
          </w:p>
        </w:tc>
        <w:tc>
          <w:tcPr/>
          <w:p>
            <w:pPr>
              <w:pStyle w:val="Compact"/>
              <w:jc w:val="left"/>
            </w:pPr>
            <w:r>
              <w:t xml:space="preserve">264 (54.10%)</w:t>
            </w:r>
          </w:p>
        </w:tc>
      </w:tr>
      <w:tr>
        <w:tc>
          <w:tcPr/>
          <w:p>
            <w:pPr>
              <w:pStyle w:val="Compact"/>
              <w:jc w:val="left"/>
            </w:pPr>
            <w:r>
              <w:t xml:space="preserve">Instruccion</w:t>
            </w:r>
          </w:p>
        </w:tc>
        <w:tc>
          <w:tcPr/>
          <w:p>
            <w:pPr>
              <w:pStyle w:val="Compact"/>
              <w:jc w:val="left"/>
            </w:pPr>
            <w:r>
              <w:t xml:space="preserve">NINGUNA</w:t>
            </w:r>
          </w:p>
        </w:tc>
        <w:tc>
          <w:tcPr/>
          <w:p>
            <w:pPr>
              <w:pStyle w:val="Compact"/>
              <w:jc w:val="left"/>
            </w:pPr>
            <w:r>
              <w:t>622 (2.70%)</w:t>
            </w:r>
          </w:p>
        </w:tc>
        <w:tc>
          <w:tcPr/>
          <w:p>
            <w:pPr>
              <w:pStyle w:val="Compact"/>
              <w:jc w:val="left"/>
            </w:pPr>
            <w:r>
              <w:t>13 (2.66%)</w:t>
            </w:r>
          </w:p>
        </w:tc>
      </w:tr>
      <w:tr>
        <w:tc>
          <w:tcPr/>
          <w:p>
            <w:pPr>
              <w:pStyle w:val="Compact"/>
              <w:jc w:val="left"/>
            </w:pPr>
            <w:r>
              <w:t xml:space="preserve">Instruccion</w:t>
            </w:r>
          </w:p>
        </w:tc>
        <w:tc>
          <w:tcPr/>
          <w:p>
            <w:pPr>
              <w:pStyle w:val="Compact"/>
              <w:jc w:val="left"/>
            </w:pPr>
            <w:r>
              <w:t xml:space="preserve">PRIMARIA</w:t>
            </w:r>
          </w:p>
        </w:tc>
        <w:tc>
          <w:tcPr/>
          <w:p>
            <w:pPr>
              <w:pStyle w:val="Compact"/>
              <w:jc w:val="left"/>
            </w:pPr>
            <w:r>
              <w:t>7617 (33.08%)</w:t>
            </w:r>
          </w:p>
        </w:tc>
        <w:tc>
          <w:tcPr/>
          <w:p>
            <w:pPr>
              <w:pStyle w:val="Compact"/>
              <w:jc w:val="left"/>
            </w:pPr>
            <w:r>
              <w:t>170 (34.84%)</w:t>
            </w:r>
          </w:p>
        </w:tc>
      </w:tr>
      <w:tr>
        <w:tc>
          <w:tcPr/>
          <w:p>
            <w:pPr>
              <w:pStyle w:val="Compact"/>
              <w:jc w:val="left"/>
            </w:pPr>
            <w:r>
              <w:t xml:space="preserve">Instruccion</w:t>
            </w:r>
          </w:p>
        </w:tc>
        <w:tc>
          <w:tcPr/>
          <w:p>
            <w:pPr>
              <w:pStyle w:val="Compact"/>
              <w:jc w:val="left"/>
            </w:pPr>
            <w:r>
              <w:t xml:space="preserve">SUPERIOR</w:t>
            </w:r>
          </w:p>
        </w:tc>
        <w:tc>
          <w:tcPr/>
          <w:p>
            <w:pPr>
              <w:pStyle w:val="Compact"/>
              <w:jc w:val="left"/>
            </w:pPr>
            <w:r>
              <w:t>2084 (9.05%)</w:t>
            </w:r>
          </w:p>
        </w:tc>
        <w:tc>
          <w:tcPr/>
          <w:p>
            <w:pPr>
              <w:pStyle w:val="Compact"/>
              <w:jc w:val="left"/>
            </w:pPr>
            <w:r>
              <w:t>41 (8.40%)</w:t>
            </w:r>
          </w:p>
        </w:tc>
      </w:tr>
      <w:tr>
        <w:tc>
          <w:tcPr/>
          <w:p>
            <w:pPr>
              <w:pStyle w:val="Compact"/>
              <w:jc w:val="left"/>
            </w:pPr>
            <w:r>
              <w:t xml:space="preserve">Acompanada</w:t>
            </w:r>
          </w:p>
        </w:tc>
        <w:tc>
          <w:tcPr/>
          <w:p>
            <w:pPr>
              <w:pStyle w:val="Compact"/>
              <w:jc w:val="left"/>
            </w:pPr>
            <w:r>
              <w:t xml:space="preserve">NO</w:t>
            </w:r>
          </w:p>
        </w:tc>
        <w:tc>
          <w:tcPr/>
          <w:p>
            <w:pPr>
              <w:pStyle w:val="Compact"/>
              <w:jc w:val="left"/>
            </w:pPr>
            <w:r>
              <w:t xml:space="preserve">5432 (23.53%)</w:t>
            </w:r>
          </w:p>
        </w:tc>
        <w:tc>
          <w:tcPr/>
          <w:p>
            <w:pPr>
              <w:pStyle w:val="Compact"/>
              <w:jc w:val="left"/>
            </w:pPr>
            <w:r>
              <w:t xml:space="preserve">151 (31.13%)</w:t>
            </w:r>
          </w:p>
        </w:tc>
      </w:tr>
      <w:tr>
        <w:tc>
          <w:tcPr/>
          <w:p>
            <w:pPr>
              <w:pStyle w:val="Compact"/>
              <w:jc w:val="left"/>
            </w:pPr>
            <w:r>
              <w:t xml:space="preserve">Acompanada</w:t>
            </w:r>
          </w:p>
        </w:tc>
        <w:tc>
          <w:tcPr/>
          <w:p>
            <w:pPr>
              <w:pStyle w:val="Compact"/>
              <w:jc w:val="left"/>
            </w:pPr>
            <w:r>
              <w:t xml:space="preserve">SI</w:t>
            </w:r>
          </w:p>
        </w:tc>
        <w:tc>
          <w:tcPr/>
          <w:p>
            <w:pPr>
              <w:pStyle w:val="Compact"/>
              <w:jc w:val="left"/>
            </w:pPr>
            <w:r>
              <w:t>17654 (76.47%)</w:t>
            </w:r>
          </w:p>
        </w:tc>
        <w:tc>
          <w:tcPr/>
          <w:p>
            <w:pPr>
              <w:pStyle w:val="Compact"/>
              <w:jc w:val="left"/>
            </w:pPr>
            <w:r>
              <w:t>334 (68.87%)</w:t>
            </w:r>
          </w:p>
        </w:tc>
      </w:tr>
      <w:tr>
        <w:tc>
          <w:tcPr/>
          <w:p>
            <w:pPr>
              <w:pStyle w:val="Compact"/>
              <w:jc w:val="left"/>
            </w:pPr>
            <w:r>
              <w:t xml:space="preserve">Riesgo al ingreso</w:t>
            </w:r>
          </w:p>
        </w:tc>
        <w:tc>
          <w:tcPr/>
          <w:p>
            <w:pPr>
              <w:pStyle w:val="Compact"/>
              <w:jc w:val="left"/>
            </w:pPr>
            <w:r>
              <w:t xml:space="preserve">RIESGO BAJO</w:t>
            </w:r>
          </w:p>
        </w:tc>
        <w:tc>
          <w:tcPr/>
          <w:p>
            <w:pPr>
              <w:pStyle w:val="Compact"/>
              <w:jc w:val="left"/>
            </w:pPr>
            <w:r>
              <w:t xml:space="preserve">8473 (36.72%)</w:t>
            </w:r>
          </w:p>
        </w:tc>
        <w:tc>
          <w:tcPr/>
          <w:p>
            <w:pPr>
              <w:pStyle w:val="Compact"/>
              <w:jc w:val="left"/>
            </w:pPr>
            <w:r>
              <w:t xml:space="preserve">128 (26.72%)</w:t>
            </w:r>
          </w:p>
        </w:tc>
      </w:tr>
      <w:tr>
        <w:tc>
          <w:tcPr/>
          <w:p>
            <w:pPr>
              <w:pStyle w:val="Compact"/>
              <w:jc w:val="left"/>
            </w:pPr>
            <w:r>
              <w:t xml:space="preserve">Riesgo al ingreso</w:t>
            </w:r>
          </w:p>
        </w:tc>
        <w:tc>
          <w:tcPr/>
          <w:p>
            <w:pPr>
              <w:pStyle w:val="Compact"/>
              <w:jc w:val="left"/>
            </w:pPr>
            <w:r>
              <w:t xml:space="preserve">RIESGO ALTO</w:t>
            </w:r>
          </w:p>
        </w:tc>
        <w:tc>
          <w:tcPr/>
          <w:p>
            <w:pPr>
              <w:pStyle w:val="Compact"/>
              <w:jc w:val="left"/>
            </w:pPr>
            <w:r>
              <w:t>10789 (46.76%)</w:t>
            </w:r>
          </w:p>
        </w:tc>
        <w:tc>
          <w:tcPr/>
          <w:p>
            <w:pPr>
              <w:pStyle w:val="Compact"/>
              <w:jc w:val="left"/>
            </w:pPr>
            <w:r>
              <w:t>253 (52.82%)</w:t>
            </w:r>
          </w:p>
        </w:tc>
      </w:tr>
      <w:tr>
        <w:tc>
          <w:tcPr/>
          <w:p>
            <w:pPr>
              <w:pStyle w:val="Compact"/>
              <w:jc w:val="left"/>
            </w:pPr>
            <w:r>
              <w:t xml:space="preserve">Riesgo al ingreso</w:t>
            </w:r>
          </w:p>
        </w:tc>
        <w:tc>
          <w:tcPr/>
          <w:p>
            <w:pPr>
              <w:pStyle w:val="Compact"/>
              <w:jc w:val="left"/>
            </w:pPr>
            <w:r>
              <w:t xml:space="preserve">RIESGO INMINENTE</w:t>
            </w:r>
          </w:p>
        </w:tc>
        <w:tc>
          <w:tcPr/>
          <w:p>
            <w:pPr>
              <w:pStyle w:val="Compact"/>
              <w:jc w:val="left"/>
            </w:pPr>
            <w:r>
              <w:t>3813 (16.52%)</w:t>
            </w:r>
          </w:p>
        </w:tc>
        <w:tc>
          <w:tcPr/>
          <w:p>
            <w:pPr>
              <w:pStyle w:val="Compact"/>
              <w:jc w:val="left"/>
            </w:pPr>
            <w:r>
              <w:t>98 (20.46%)</w:t>
            </w:r>
          </w:p>
        </w:tc>
      </w:tr>
      <w:tr>
        <w:tc>
          <w:tcPr/>
          <w:p>
            <w:pPr>
              <w:pStyle w:val="Compact"/>
              <w:jc w:val="left"/>
            </w:pPr>
            <w:r>
              <w:t xml:space="preserve">Infeccion de vias urinarias (IVU)</w:t>
            </w:r>
          </w:p>
        </w:tc>
        <w:tc>
          <w:tcPr/>
          <w:p>
            <w:pPr>
              <w:pStyle w:val="Compact"/>
              <w:jc w:val="left"/>
            </w:pPr>
            <w:r>
              <w:t xml:space="preserve">NO</w:t>
            </w:r>
          </w:p>
        </w:tc>
        <w:tc>
          <w:tcPr/>
          <w:p>
            <w:pPr>
              <w:pStyle w:val="Compact"/>
              <w:jc w:val="left"/>
            </w:pPr>
            <w:r>
              <w:t xml:space="preserve">22849 (98.69%)</w:t>
            </w:r>
          </w:p>
        </w:tc>
        <w:tc>
          <w:tcPr/>
          <w:p>
            <w:pPr>
              <w:pStyle w:val="Compact"/>
              <w:jc w:val="left"/>
            </w:pPr>
            <w:r>
              <w:t xml:space="preserve">487 (99.59%)</w:t>
            </w:r>
          </w:p>
        </w:tc>
      </w:tr>
      <w:tr>
        <w:tc>
          <w:tcPr/>
          <w:p>
            <w:pPr>
              <w:pStyle w:val="Compact"/>
              <w:jc w:val="left"/>
            </w:pPr>
            <w:r>
              <w:t xml:space="preserve">Infeccion de vias urinarias (IVU)</w:t>
            </w:r>
          </w:p>
        </w:tc>
        <w:tc>
          <w:tcPr/>
          <w:p>
            <w:pPr>
              <w:pStyle w:val="Compact"/>
              <w:jc w:val="left"/>
            </w:pPr>
            <w:r>
              <w:t xml:space="preserve">SI</w:t>
            </w:r>
          </w:p>
        </w:tc>
        <w:tc>
          <w:tcPr/>
          <w:p>
            <w:pPr>
              <w:pStyle w:val="Compact"/>
              <w:jc w:val="left"/>
            </w:pPr>
            <w:r>
              <w:t>304 (1.31%)</w:t>
            </w:r>
          </w:p>
        </w:tc>
        <w:tc>
          <w:tcPr/>
          <w:p>
            <w:pPr>
              <w:pStyle w:val="Compact"/>
              <w:jc w:val="left"/>
            </w:pPr>
            <w:r>
              <w:t>2 (0.41%)</w:t>
            </w:r>
          </w:p>
        </w:tc>
      </w:tr>
      <w:tr>
        <w:tc>
          <w:tcPr/>
          <w:p>
            <w:pPr>
              <w:pStyle w:val="Compact"/>
              <w:jc w:val="left"/>
            </w:pPr>
            <w:r>
              <w:t xml:space="preserve">Ruptura prematura de membranas (RPM)</w:t>
            </w:r>
          </w:p>
        </w:tc>
        <w:tc>
          <w:tcPr/>
          <w:p>
            <w:pPr>
              <w:pStyle w:val="Compact"/>
              <w:jc w:val="left"/>
            </w:pPr>
            <w:r>
              <w:t xml:space="preserve">NO</w:t>
            </w:r>
          </w:p>
        </w:tc>
        <w:tc>
          <w:tcPr/>
          <w:p>
            <w:pPr>
              <w:pStyle w:val="Compact"/>
              <w:jc w:val="left"/>
            </w:pPr>
            <w:r>
              <w:t xml:space="preserve">20390 (88.07%)</w:t>
            </w:r>
          </w:p>
        </w:tc>
        <w:tc>
          <w:tcPr/>
          <w:p>
            <w:pPr>
              <w:pStyle w:val="Compact"/>
              <w:jc w:val="left"/>
            </w:pPr>
            <w:r>
              <w:t xml:space="preserve">459 (93.87%)</w:t>
            </w:r>
          </w:p>
        </w:tc>
      </w:tr>
      <w:tr>
        <w:tc>
          <w:tcPr/>
          <w:p>
            <w:pPr>
              <w:pStyle w:val="Compact"/>
              <w:jc w:val="left"/>
            </w:pPr>
            <w:r>
              <w:t xml:space="preserve">Ruptura prematura de membranas (RPM)</w:t>
            </w:r>
          </w:p>
        </w:tc>
        <w:tc>
          <w:tcPr/>
          <w:p>
            <w:pPr>
              <w:pStyle w:val="Compact"/>
              <w:jc w:val="left"/>
            </w:pPr>
            <w:r>
              <w:t xml:space="preserve">SI</w:t>
            </w:r>
          </w:p>
        </w:tc>
        <w:tc>
          <w:tcPr/>
          <w:p>
            <w:pPr>
              <w:pStyle w:val="Compact"/>
              <w:jc w:val="left"/>
            </w:pPr>
            <w:r>
              <w:t>2763 (11.93%)</w:t>
            </w:r>
          </w:p>
        </w:tc>
        <w:tc>
          <w:tcPr/>
          <w:p>
            <w:pPr>
              <w:pStyle w:val="Compact"/>
              <w:jc w:val="left"/>
            </w:pPr>
            <w:r>
              <w:t>30 (6.13%)</w:t>
            </w:r>
          </w:p>
        </w:tc>
      </w:tr>
      <w:tr>
        <w:tc>
          <w:tcPr/>
          <w:p>
            <w:pPr>
              <w:pStyle w:val="Compact"/>
              <w:jc w:val="left"/>
            </w:pPr>
            <w:r>
              <w:t xml:space="preserve">Psicoprofilaxis (alguna)</w:t>
            </w:r>
          </w:p>
        </w:tc>
        <w:tc>
          <w:tcPr/>
          <w:p>
            <w:pPr>
              <w:pStyle w:val="Compact"/>
              <w:jc w:val="left"/>
            </w:pPr>
            <w:r>
              <w:t xml:space="preserve">NO</w:t>
            </w:r>
          </w:p>
        </w:tc>
        <w:tc>
          <w:tcPr/>
          <w:p>
            <w:pPr>
              <w:pStyle w:val="Compact"/>
              <w:jc w:val="left"/>
            </w:pPr>
            <w:r>
              <w:t xml:space="preserve">4002 (17.37%)</w:t>
            </w:r>
          </w:p>
        </w:tc>
        <w:tc>
          <w:tcPr/>
          <w:p>
            <w:pPr>
              <w:pStyle w:val="Compact"/>
              <w:jc w:val="left"/>
            </w:pPr>
            <w:r>
              <w:t xml:space="preserve">168 (34.85%)</w:t>
            </w:r>
          </w:p>
        </w:tc>
      </w:tr>
      <w:tr>
        <w:tc>
          <w:tcPr/>
          <w:p>
            <w:pPr>
              <w:pStyle w:val="Compact"/>
              <w:jc w:val="left"/>
            </w:pPr>
            <w:r>
              <w:t xml:space="preserve">Psicoprofilaxis (alguna)</w:t>
            </w:r>
          </w:p>
        </w:tc>
        <w:tc>
          <w:tcPr/>
          <w:p>
            <w:pPr>
              <w:pStyle w:val="Compact"/>
              <w:jc w:val="left"/>
            </w:pPr>
            <w:r>
              <w:t xml:space="preserve">SI</w:t>
            </w:r>
          </w:p>
        </w:tc>
        <w:tc>
          <w:tcPr/>
          <w:p>
            <w:pPr>
              <w:pStyle w:val="Compact"/>
              <w:jc w:val="left"/>
            </w:pPr>
            <w:r>
              <w:t>19042 (82.63%)</w:t>
            </w:r>
          </w:p>
        </w:tc>
        <w:tc>
          <w:tcPr/>
          <w:p>
            <w:pPr>
              <w:pStyle w:val="Compact"/>
              <w:jc w:val="left"/>
            </w:pPr>
            <w:r>
              <w:t>314 (65.15%)</w:t>
            </w:r>
          </w:p>
        </w:tc>
      </w:tr>
      <w:tr>
        <w:tc>
          <w:tcPr/>
          <w:p>
            <w:pPr>
              <w:pStyle w:val="Compact"/>
              <w:jc w:val="left"/>
            </w:pPr>
            <w:r>
              <w:t xml:space="preserve">Hemorragia</w:t>
            </w:r>
          </w:p>
        </w:tc>
        <w:tc>
          <w:tcPr/>
          <w:p>
            <w:pPr>
              <w:pStyle w:val="Compact"/>
              <w:jc w:val="left"/>
            </w:pPr>
            <w:r>
              <w:t xml:space="preserve">NO</w:t>
            </w:r>
          </w:p>
        </w:tc>
        <w:tc>
          <w:tcPr/>
          <w:p>
            <w:pPr>
              <w:pStyle w:val="Compact"/>
              <w:jc w:val="left"/>
            </w:pPr>
            <w:r>
              <w:t xml:space="preserve">20517 (88.62%)</w:t>
            </w:r>
          </w:p>
        </w:tc>
        <w:tc>
          <w:tcPr/>
          <w:p>
            <w:pPr>
              <w:pStyle w:val="Compact"/>
              <w:jc w:val="left"/>
            </w:pPr>
            <w:r>
              <w:t xml:space="preserve">439 (89.78%)</w:t>
            </w:r>
          </w:p>
        </w:tc>
      </w:tr>
      <w:tr>
        <w:tc>
          <w:tcPr/>
          <w:p>
            <w:pPr>
              <w:pStyle w:val="Compact"/>
              <w:jc w:val="left"/>
            </w:pPr>
            <w:r>
              <w:t xml:space="preserve">Hemorragia</w:t>
            </w:r>
          </w:p>
        </w:tc>
        <w:tc>
          <w:tcPr/>
          <w:p>
            <w:pPr>
              <w:pStyle w:val="Compact"/>
              <w:jc w:val="left"/>
            </w:pPr>
            <w:r>
              <w:t xml:space="preserve">SI</w:t>
            </w:r>
          </w:p>
        </w:tc>
        <w:tc>
          <w:tcPr/>
          <w:p>
            <w:pPr>
              <w:pStyle w:val="Compact"/>
              <w:jc w:val="left"/>
            </w:pPr>
            <w:r>
              <w:t>2635 (11.38%)</w:t>
            </w:r>
          </w:p>
        </w:tc>
        <w:tc>
          <w:tcPr/>
          <w:p>
            <w:pPr>
              <w:pStyle w:val="Compact"/>
              <w:jc w:val="left"/>
            </w:pPr>
            <w:r>
              <w:t>50 (10.22%)</w:t>
            </w:r>
          </w:p>
        </w:tc>
      </w:tr>
      <w:tr>
        <w:tc>
          <w:tcPr/>
          <w:p>
            <w:pPr>
              <w:pStyle w:val="Compact"/>
              <w:jc w:val="left"/>
            </w:pPr>
            <w:r>
              <w:t xml:space="preserve">Presentacion de vertice</w:t>
            </w:r>
          </w:p>
        </w:tc>
        <w:tc>
          <w:tcPr/>
          <w:p>
            <w:pPr>
              <w:pStyle w:val="Compact"/>
              <w:jc w:val="left"/>
            </w:pPr>
            <w:r>
              <w:t xml:space="preserve">NO</w:t>
            </w:r>
          </w:p>
        </w:tc>
        <w:tc>
          <w:tcPr/>
          <w:p>
            <w:pPr>
              <w:pStyle w:val="Compact"/>
              <w:jc w:val="left"/>
            </w:pPr>
            <w:r>
              <w:t xml:space="preserve">701 (3.03%)</w:t>
            </w:r>
          </w:p>
        </w:tc>
        <w:tc>
          <w:tcPr/>
          <w:p>
            <w:pPr>
              <w:pStyle w:val="Compact"/>
              <w:jc w:val="left"/>
            </w:pPr>
            <w:r>
              <w:t xml:space="preserve">16 (3.27%)</w:t>
            </w:r>
          </w:p>
        </w:tc>
      </w:tr>
      <w:tr>
        <w:tc>
          <w:tcPr/>
          <w:p>
            <w:pPr>
              <w:pStyle w:val="Compact"/>
              <w:jc w:val="left"/>
            </w:pPr>
            <w:r>
              <w:t xml:space="preserve">Presentacion de vertice</w:t>
            </w:r>
          </w:p>
        </w:tc>
        <w:tc>
          <w:tcPr/>
          <w:p>
            <w:pPr>
              <w:pStyle w:val="Compact"/>
              <w:jc w:val="left"/>
            </w:pPr>
            <w:r>
              <w:t xml:space="preserve">SI</w:t>
            </w:r>
          </w:p>
        </w:tc>
        <w:tc>
          <w:tcPr/>
          <w:p>
            <w:pPr>
              <w:pStyle w:val="Compact"/>
              <w:jc w:val="left"/>
            </w:pPr>
            <w:r>
              <w:t>22452 (96.97%)</w:t>
            </w:r>
          </w:p>
        </w:tc>
        <w:tc>
          <w:tcPr/>
          <w:p>
            <w:pPr>
              <w:pStyle w:val="Compact"/>
              <w:jc w:val="left"/>
            </w:pPr>
            <w:r>
              <w:t>473 (96.73%)</w:t>
            </w:r>
          </w:p>
        </w:tc>
      </w:tr>
      <w:tr>
        <w:tc>
          <w:tcPr/>
          <w:p>
            <w:pPr>
              <w:pStyle w:val="Compact"/>
              <w:jc w:val="left"/>
            </w:pPr>
            <w:r>
              <w:t xml:space="preserve">Trastornos hipertensivos</w:t>
            </w:r>
          </w:p>
        </w:tc>
        <w:tc>
          <w:tcPr/>
          <w:p>
            <w:pPr>
              <w:pStyle w:val="Compact"/>
              <w:jc w:val="left"/>
            </w:pPr>
            <w:r>
              <w:t xml:space="preserve">NINGUNO</w:t>
            </w:r>
          </w:p>
        </w:tc>
        <w:tc>
          <w:tcPr/>
          <w:p>
            <w:pPr>
              <w:pStyle w:val="Compact"/>
              <w:jc w:val="left"/>
            </w:pPr>
            <w:r>
              <w:t xml:space="preserve">19462 (84.06%)</w:t>
            </w:r>
          </w:p>
        </w:tc>
        <w:tc>
          <w:tcPr/>
          <w:p>
            <w:pPr>
              <w:pStyle w:val="Compact"/>
              <w:jc w:val="left"/>
            </w:pPr>
            <w:r>
              <w:t xml:space="preserve">405 (82.82%)</w:t>
            </w:r>
          </w:p>
        </w:tc>
      </w:tr>
      <w:tr>
        <w:tc>
          <w:tcPr/>
          <w:p>
            <w:pPr>
              <w:pStyle w:val="Compact"/>
              <w:jc w:val="left"/>
            </w:pPr>
            <w:r>
              <w:t xml:space="preserve">Trastornos hipertensivos</w:t>
            </w:r>
          </w:p>
        </w:tc>
        <w:tc>
          <w:tcPr/>
          <w:p>
            <w:pPr>
              <w:pStyle w:val="Compact"/>
              <w:jc w:val="left"/>
            </w:pPr>
            <w:r>
              <w:t xml:space="preserve">PREECLAMPSIA</w:t>
            </w:r>
          </w:p>
        </w:tc>
        <w:tc>
          <w:tcPr/>
          <w:p>
            <w:pPr>
              <w:pStyle w:val="Compact"/>
              <w:jc w:val="left"/>
            </w:pPr>
            <w:r>
              <w:t>2824 (12.20%)</w:t>
            </w:r>
          </w:p>
        </w:tc>
        <w:tc>
          <w:tcPr/>
          <w:p>
            <w:pPr>
              <w:pStyle w:val="Compact"/>
              <w:jc w:val="left"/>
            </w:pPr>
            <w:r>
              <w:t>63 (12.88%)</w:t>
            </w:r>
          </w:p>
        </w:tc>
      </w:tr>
      <w:tr>
        <w:tc>
          <w:tcPr/>
          <w:p>
            <w:pPr>
              <w:pStyle w:val="Compact"/>
              <w:jc w:val="left"/>
            </w:pPr>
            <w:r>
              <w:t xml:space="preserve">Trastornos hipertensivos</w:t>
            </w:r>
          </w:p>
        </w:tc>
        <w:tc>
          <w:tcPr/>
          <w:p>
            <w:pPr>
              <w:pStyle w:val="Compact"/>
              <w:jc w:val="left"/>
            </w:pPr>
            <w:r>
              <w:t xml:space="preserve">HTA INDUCIDA POR EL EMBARAZO</w:t>
            </w:r>
          </w:p>
        </w:tc>
        <w:tc>
          <w:tcPr/>
          <w:p>
            <w:pPr>
              <w:pStyle w:val="Compact"/>
              <w:jc w:val="left"/>
            </w:pPr>
            <w:r>
              <w:t>745 (3.22%)</w:t>
            </w:r>
          </w:p>
        </w:tc>
        <w:tc>
          <w:tcPr/>
          <w:p>
            <w:pPr>
              <w:pStyle w:val="Compact"/>
              <w:jc w:val="left"/>
            </w:pPr>
            <w:r>
              <w:t>15 (3.07%)</w:t>
            </w:r>
          </w:p>
        </w:tc>
      </w:tr>
      <w:tr>
        <w:tc>
          <w:tcPr/>
          <w:p>
            <w:pPr>
              <w:pStyle w:val="Compact"/>
              <w:jc w:val="left"/>
            </w:pPr>
            <w:r>
              <w:t xml:space="preserve">Trastornos hipertensivos</w:t>
            </w:r>
          </w:p>
        </w:tc>
        <w:tc>
          <w:tcPr/>
          <w:p>
            <w:pPr>
              <w:pStyle w:val="Compact"/>
              <w:jc w:val="left"/>
            </w:pPr>
            <w:r>
              <w:t xml:space="preserve">HTA PREEXISTENTE</w:t>
            </w:r>
          </w:p>
        </w:tc>
        <w:tc>
          <w:tcPr/>
          <w:p>
            <w:pPr>
              <w:pStyle w:val="Compact"/>
              <w:jc w:val="left"/>
            </w:pPr>
            <w:r>
              <w:t>62 (0.27%)</w:t>
            </w:r>
          </w:p>
        </w:tc>
        <w:tc>
          <w:tcPr/>
          <w:p>
            <w:pPr>
              <w:pStyle w:val="Compact"/>
              <w:jc w:val="left"/>
            </w:pPr>
            <w:r>
              <w:t>1 (0.20%)</w:t>
            </w:r>
          </w:p>
        </w:tc>
      </w:tr>
      <w:tr>
        <w:tc>
          <w:tcPr/>
          <w:p>
            <w:pPr>
              <w:pStyle w:val="Compact"/>
              <w:jc w:val="left"/>
            </w:pPr>
            <w:r>
              <w:t xml:space="preserve">Trastornos hipertensivos</w:t>
            </w:r>
          </w:p>
        </w:tc>
        <w:tc>
          <w:tcPr/>
          <w:p>
            <w:pPr>
              <w:pStyle w:val="Compact"/>
              <w:jc w:val="left"/>
            </w:pPr>
            <w:r>
              <w:t xml:space="preserve">ECLAMPSIA</w:t>
            </w:r>
          </w:p>
        </w:tc>
        <w:tc>
          <w:tcPr/>
          <w:p>
            <w:pPr>
              <w:pStyle w:val="Compact"/>
              <w:jc w:val="left"/>
            </w:pPr>
            <w:r>
              <w:t>60 (0.26%)</w:t>
            </w:r>
          </w:p>
        </w:tc>
        <w:tc>
          <w:tcPr/>
          <w:p>
            <w:pPr>
              <w:pStyle w:val="Compact"/>
              <w:jc w:val="left"/>
            </w:pPr>
            <w:r>
              <w:t>5 (1.02%)</w:t>
            </w:r>
          </w:p>
        </w:tc>
      </w:tr>
      <w:tr>
        <w:tc>
          <w:tcPr/>
          <w:p>
            <w:pPr>
              <w:pStyle w:val="Compact"/>
              <w:jc w:val="left"/>
            </w:pPr>
            <w:r>
              <w:t xml:space="preserve">Desprendimiento prematuro de placenta (DPP)</w:t>
            </w:r>
          </w:p>
        </w:tc>
        <w:tc>
          <w:tcPr/>
          <w:p>
            <w:pPr>
              <w:pStyle w:val="Compact"/>
              <w:jc w:val="left"/>
            </w:pPr>
            <w:r>
              <w:t xml:space="preserve">NO</w:t>
            </w:r>
          </w:p>
        </w:tc>
        <w:tc>
          <w:tcPr/>
          <w:p>
            <w:pPr>
              <w:pStyle w:val="Compact"/>
              <w:jc w:val="left"/>
            </w:pPr>
            <w:r>
              <w:t xml:space="preserve">23043 (99.52%)</w:t>
            </w:r>
          </w:p>
        </w:tc>
        <w:tc>
          <w:tcPr/>
          <w:p>
            <w:pPr>
              <w:pStyle w:val="Compact"/>
              <w:jc w:val="left"/>
            </w:pPr>
            <w:r>
              <w:t xml:space="preserve">474 (96.93%)</w:t>
            </w:r>
          </w:p>
        </w:tc>
      </w:tr>
      <w:tr>
        <w:tc>
          <w:tcPr/>
          <w:p>
            <w:pPr>
              <w:pStyle w:val="Compact"/>
              <w:jc w:val="left"/>
            </w:pPr>
            <w:r>
              <w:t xml:space="preserve">Desprendimiento prematuro de placenta (DPP)</w:t>
            </w:r>
          </w:p>
        </w:tc>
        <w:tc>
          <w:tcPr/>
          <w:p>
            <w:pPr>
              <w:pStyle w:val="Compact"/>
              <w:jc w:val="left"/>
            </w:pPr>
            <w:r>
              <w:t xml:space="preserve">SI</w:t>
            </w:r>
          </w:p>
        </w:tc>
        <w:tc>
          <w:tcPr/>
          <w:p>
            <w:pPr>
              <w:pStyle w:val="Compact"/>
              <w:jc w:val="left"/>
            </w:pPr>
            <w:r>
              <w:t>110 (0.48%)</w:t>
            </w:r>
          </w:p>
        </w:tc>
        <w:tc>
          <w:tcPr/>
          <w:p>
            <w:pPr>
              <w:pStyle w:val="Compact"/>
              <w:jc w:val="left"/>
            </w:pPr>
            <w:r>
              <w:t>15 (3.07%)</w:t>
            </w:r>
          </w:p>
        </w:tc>
      </w:tr>
    </w:tbl>
    <w:p>
      <w:pPr>
        <w:pStyle w:val="BodyText"/>
      </w:pPr>
      <w:r>
        <w:rPr>
          <w:i/>
          <w:iCs/>
        </w:rPr>
        <w:t xml:space="preserve">Nota: Frecuencias derivadas de la base analítica frecuentista; los denominadores pueden variar por datos faltantes.</w:t>
      </w:r>
    </w:p>
    <w:bookmarkEnd w:id="42"/>
    <w:bookmarkStart w:id="43" w:name="asociaciones-crudas-frecuentistas"/>
    <w:p>
      <w:pPr>
        <w:pStyle w:val="Heading2"/>
      </w:pPr>
      <w:r>
        <w:t xml:space="preserve">4.4 Asociaciones crudas frecuentistas</w:t>
      </w:r>
    </w:p>
    <w:p>
      <w:pPr>
        <w:pStyle w:val="FirstParagraph"/>
      </w:pPr>
      <w:r>
        <w:t xml:space="preserve">Las asociaciones crudas se resumen en la Tabla 2. DPP, eclampsia y las categorías de riesgo al ingreso mostraron asociaciones positivas destacadas. Acompañamiento, mayor número de controles, mayor número de sesiones y RPM mostraron asociaciones negativas; estas direcciones no establecen temporalidad ni causalidad.</w:t>
      </w:r>
    </w:p>
    <w:p>
      <w:pPr>
        <w:pStyle w:val="BodyText"/>
      </w:pPr>
      <w:r>
        <w:rPr>
          <w:b/>
          <w:bCs/>
        </w:rPr>
        <w:t xml:space="preserve">Tabla 2. Asociaciones crudas con muerte fetal.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Variable</w:t>
            </w:r>
          </w:p>
        </w:tc>
        <w:tc>
          <w:tcPr/>
          <w:p>
            <w:pPr>
              <w:pStyle w:val="Compact"/>
              <w:jc w:val="left"/>
            </w:pPr>
            <w:r>
              <w:t xml:space="preserve">Comparacion</w:t>
            </w:r>
          </w:p>
        </w:tc>
        <w:tc>
          <w:tcPr/>
          <w:p>
            <w:pPr>
              <w:pStyle w:val="Compact"/>
              <w:jc w:val="left"/>
            </w:pPr>
            <w:r>
              <w:t xml:space="preserve">Referencia</w:t>
            </w:r>
          </w:p>
        </w:tc>
        <w:tc>
          <w:tcPr/>
          <w:p>
            <w:pPr>
              <w:pStyle w:val="Compact"/>
              <w:jc w:val="left"/>
            </w:pPr>
            <w:r>
              <w:t xml:space="preserve">OR_crudo</w:t>
            </w:r>
          </w:p>
        </w:tc>
        <w:tc>
          <w:tcPr/>
          <w:p>
            <w:pPr>
              <w:pStyle w:val="Compact"/>
              <w:jc w:val="left"/>
            </w:pPr>
            <w:r>
              <w:t xml:space="preserve">IC95</w:t>
            </w:r>
          </w:p>
        </w:tc>
        <w:tc>
          <w:tcPr/>
          <w:p>
            <w:pPr>
              <w:pStyle w:val="Compact"/>
              <w:jc w:val="left"/>
            </w:pPr>
            <w:r>
              <w:t xml:space="preserve">p</w:t>
            </w:r>
          </w:p>
        </w:tc>
        <w:tc>
          <w:tcPr/>
          <w:p>
            <w:pPr>
              <w:pStyle w:val="Compact"/>
              <w:jc w:val="left"/>
            </w:pPr>
            <w:r>
              <w:t xml:space="preserve">Metodo</w:t>
            </w:r>
          </w:p>
        </w:tc>
        <w:tc>
          <w:tcPr/>
          <w:p>
            <w:pPr>
              <w:pStyle w:val="Compact"/>
              <w:jc w:val="left"/>
            </w:pPr>
            <w:r>
              <w:t xml:space="preserve">N_analizado</w:t>
            </w:r>
          </w:p>
        </w:tc>
      </w:tr>
      <w:tr>
        <w:tc>
          <w:tcPr/>
          <w:p>
            <w:pPr>
              <w:pStyle w:val="Compact"/>
              <w:jc w:val="left"/>
            </w:pPr>
            <w:r>
              <w:t xml:space="preserve">Pareja estable</w:t>
            </w:r>
          </w:p>
        </w:tc>
        <w:tc>
          <w:tcPr/>
          <w:p>
            <w:pPr>
              <w:pStyle w:val="Compact"/>
              <w:jc w:val="left"/>
            </w:pPr>
            <w:r>
              <w:t xml:space="preserve">SI</w:t>
            </w:r>
          </w:p>
        </w:tc>
        <w:tc>
          <w:tcPr/>
          <w:p>
            <w:pPr>
              <w:pStyle w:val="Compact"/>
              <w:jc w:val="left"/>
            </w:pPr>
            <w:r>
              <w:t xml:space="preserve">NO</w:t>
            </w:r>
          </w:p>
        </w:tc>
        <w:tc>
          <w:tcPr/>
          <w:p>
            <w:pPr>
              <w:pStyle w:val="Compact"/>
              <w:jc w:val="left"/>
            </w:pPr>
            <w:r>
              <w:t xml:space="preserve">0.89</w:t>
            </w:r>
          </w:p>
        </w:tc>
        <w:tc>
          <w:tcPr/>
          <w:p>
            <w:pPr>
              <w:pStyle w:val="Compact"/>
              <w:jc w:val="left"/>
            </w:pPr>
            <w:r>
              <w:t xml:space="preserve">0.73-1.09</w:t>
            </w:r>
          </w:p>
        </w:tc>
        <w:tc>
          <w:tcPr/>
          <w:p>
            <w:pPr>
              <w:pStyle w:val="Compact"/>
              <w:jc w:val="left"/>
            </w:pPr>
            <w:r>
              <w:t xml:space="preserve">0.267</w:t>
            </w:r>
          </w:p>
        </w:tc>
        <w:tc>
          <w:tcPr/>
          <w:p>
            <w:pPr>
              <w:pStyle w:val="Compact"/>
              <w:jc w:val="left"/>
            </w:pPr>
            <w:r>
              <w:t xml:space="preserve">Logistica</w:t>
            </w:r>
          </w:p>
        </w:tc>
        <w:tc>
          <w:tcPr/>
          <w:p>
            <w:pPr>
              <w:pStyle w:val="Compact"/>
              <w:jc w:val="left"/>
            </w:pPr>
            <w:r>
              <w:t xml:space="preserve">23599</w:t>
            </w:r>
          </w:p>
        </w:tc>
      </w:tr>
      <w:tr>
        <w:tc>
          <w:tcPr/>
          <w:p>
            <w:pPr>
              <w:pStyle w:val="Compact"/>
              <w:jc w:val="left"/>
            </w:pPr>
            <w:r>
              <w:t xml:space="preserve">SEGURO_A</w:t>
            </w:r>
          </w:p>
        </w:tc>
        <w:tc>
          <w:tcPr/>
          <w:p>
            <w:pPr>
              <w:pStyle w:val="Compact"/>
              <w:jc w:val="left"/>
            </w:pPr>
            <w:r>
              <w:t xml:space="preserve">SI</w:t>
            </w:r>
          </w:p>
        </w:tc>
        <w:tc>
          <w:tcPr/>
          <w:p>
            <w:pPr>
              <w:pStyle w:val="Compact"/>
              <w:jc w:val="left"/>
            </w:pPr>
            <w:r>
              <w:t xml:space="preserve">NO</w:t>
            </w:r>
          </w:p>
        </w:tc>
        <w:tc>
          <w:tcPr/>
          <w:p>
            <w:pPr>
              <w:pStyle w:val="Compact"/>
              <w:jc w:val="left"/>
            </w:pPr>
            <w:r>
              <w:t xml:space="preserve">1.40</w:t>
            </w:r>
          </w:p>
        </w:tc>
        <w:tc>
          <w:tcPr/>
          <w:p>
            <w:pPr>
              <w:pStyle w:val="Compact"/>
              <w:jc w:val="left"/>
            </w:pPr>
            <w:r>
              <w:t xml:space="preserve">0.94-2.09</w:t>
            </w:r>
          </w:p>
        </w:tc>
        <w:tc>
          <w:tcPr/>
          <w:p>
            <w:pPr>
              <w:pStyle w:val="Compact"/>
              <w:jc w:val="left"/>
            </w:pPr>
            <w:r>
              <w:t xml:space="preserve">0.097</w:t>
            </w:r>
          </w:p>
        </w:tc>
        <w:tc>
          <w:tcPr/>
          <w:p>
            <w:pPr>
              <w:pStyle w:val="Compact"/>
              <w:jc w:val="left"/>
            </w:pPr>
            <w:r>
              <w:t xml:space="preserve">Logistica</w:t>
            </w:r>
          </w:p>
        </w:tc>
        <w:tc>
          <w:tcPr/>
          <w:p>
            <w:pPr>
              <w:pStyle w:val="Compact"/>
              <w:jc w:val="left"/>
            </w:pPr>
            <w:r>
              <w:t xml:space="preserve">16306</w:t>
            </w:r>
          </w:p>
        </w:tc>
      </w:tr>
      <w:tr>
        <w:tc>
          <w:tcPr/>
          <w:p>
            <w:pPr>
              <w:pStyle w:val="Compact"/>
              <w:jc w:val="left"/>
            </w:pPr>
            <w:r>
              <w:t xml:space="preserve">Instruccion</w:t>
            </w:r>
          </w:p>
        </w:tc>
        <w:tc>
          <w:tcPr/>
          <w:p>
            <w:pPr>
              <w:pStyle w:val="Compact"/>
              <w:jc w:val="left"/>
            </w:pPr>
            <w:r>
              <w:t xml:space="preserve">NINGUNA</w:t>
            </w:r>
          </w:p>
        </w:tc>
        <w:tc>
          <w:tcPr/>
          <w:p>
            <w:pPr>
              <w:pStyle w:val="Compact"/>
              <w:jc w:val="left"/>
            </w:pPr>
            <w:r>
              <w:t xml:space="preserve">SECUNDARIA</w:t>
            </w:r>
          </w:p>
        </w:tc>
        <w:tc>
          <w:tcPr/>
          <w:p>
            <w:pPr>
              <w:pStyle w:val="Compact"/>
              <w:jc w:val="left"/>
            </w:pPr>
            <w:r>
              <w:t xml:space="preserve">1.01</w:t>
            </w:r>
          </w:p>
        </w:tc>
        <w:tc>
          <w:tcPr/>
          <w:p>
            <w:pPr>
              <w:pStyle w:val="Compact"/>
              <w:jc w:val="left"/>
            </w:pPr>
            <w:r>
              <w:t xml:space="preserve">0.57-1.77</w:t>
            </w:r>
          </w:p>
        </w:tc>
        <w:tc>
          <w:tcPr/>
          <w:p>
            <w:pPr>
              <w:pStyle w:val="Compact"/>
              <w:jc w:val="left"/>
            </w:pPr>
            <w:r>
              <w:t xml:space="preserve">0.985</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Instruccion</w:t>
            </w:r>
          </w:p>
        </w:tc>
        <w:tc>
          <w:tcPr/>
          <w:p>
            <w:pPr>
              <w:pStyle w:val="Compact"/>
              <w:jc w:val="left"/>
            </w:pPr>
            <w:r>
              <w:t xml:space="preserve">PRIMARIA</w:t>
            </w:r>
          </w:p>
        </w:tc>
        <w:tc>
          <w:tcPr/>
          <w:p>
            <w:pPr>
              <w:pStyle w:val="Compact"/>
              <w:jc w:val="left"/>
            </w:pPr>
            <w:r>
              <w:t xml:space="preserve">SECUNDARIA</w:t>
            </w:r>
          </w:p>
        </w:tc>
        <w:tc>
          <w:tcPr/>
          <w:p>
            <w:pPr>
              <w:pStyle w:val="Compact"/>
              <w:jc w:val="left"/>
            </w:pPr>
            <w:r>
              <w:t xml:space="preserve">1.07</w:t>
            </w:r>
          </w:p>
        </w:tc>
        <w:tc>
          <w:tcPr/>
          <w:p>
            <w:pPr>
              <w:pStyle w:val="Compact"/>
              <w:jc w:val="left"/>
            </w:pPr>
            <w:r>
              <w:t xml:space="preserve">0.88-1.30</w:t>
            </w:r>
          </w:p>
        </w:tc>
        <w:tc>
          <w:tcPr/>
          <w:p>
            <w:pPr>
              <w:pStyle w:val="Compact"/>
              <w:jc w:val="left"/>
            </w:pPr>
            <w:r>
              <w:t xml:space="preserve">0.474</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Instruccion</w:t>
            </w:r>
          </w:p>
        </w:tc>
        <w:tc>
          <w:tcPr/>
          <w:p>
            <w:pPr>
              <w:pStyle w:val="Compact"/>
              <w:jc w:val="left"/>
            </w:pPr>
            <w:r>
              <w:t xml:space="preserve">SUPERIOR</w:t>
            </w:r>
          </w:p>
        </w:tc>
        <w:tc>
          <w:tcPr/>
          <w:p>
            <w:pPr>
              <w:pStyle w:val="Compact"/>
              <w:jc w:val="left"/>
            </w:pPr>
            <w:r>
              <w:t xml:space="preserve">SECUNDARIA</w:t>
            </w:r>
          </w:p>
        </w:tc>
        <w:tc>
          <w:tcPr/>
          <w:p>
            <w:pPr>
              <w:pStyle w:val="Compact"/>
              <w:jc w:val="left"/>
            </w:pPr>
            <w:r>
              <w:t xml:space="preserve">0.95</w:t>
            </w:r>
          </w:p>
        </w:tc>
        <w:tc>
          <w:tcPr/>
          <w:p>
            <w:pPr>
              <w:pStyle w:val="Compact"/>
              <w:jc w:val="left"/>
            </w:pPr>
            <w:r>
              <w:t xml:space="preserve">0.68-1.32</w:t>
            </w:r>
          </w:p>
        </w:tc>
        <w:tc>
          <w:tcPr/>
          <w:p>
            <w:pPr>
              <w:pStyle w:val="Compact"/>
              <w:jc w:val="left"/>
            </w:pPr>
            <w:r>
              <w:t xml:space="preserve">0.746</w:t>
            </w:r>
          </w:p>
        </w:tc>
        <w:tc>
          <w:tcPr/>
          <w:p>
            <w:pPr>
              <w:pStyle w:val="Compact"/>
              <w:jc w:val="left"/>
            </w:pPr>
            <w:r>
              <w:t xml:space="preserve">Logistica</w:t>
            </w:r>
          </w:p>
        </w:tc>
        <w:tc>
          <w:tcPr/>
          <w:p>
            <w:pPr>
              <w:pStyle w:val="Compact"/>
              <w:jc w:val="left"/>
            </w:pPr>
            <w:r>
              <w:t xml:space="preserve">23513</w:t>
            </w:r>
          </w:p>
        </w:tc>
      </w:tr>
      <w:tr>
        <w:tc>
          <w:tcPr/>
          <w:p>
            <w:pPr>
              <w:pStyle w:val="Compact"/>
              <w:jc w:val="left"/>
            </w:pPr>
            <w:r>
              <w:t xml:space="preserve">Acompanada</w:t>
            </w:r>
          </w:p>
        </w:tc>
        <w:tc>
          <w:tcPr/>
          <w:p>
            <w:pPr>
              <w:pStyle w:val="Compact"/>
              <w:jc w:val="left"/>
            </w:pPr>
            <w:r>
              <w:t xml:space="preserve">SI</w:t>
            </w:r>
          </w:p>
        </w:tc>
        <w:tc>
          <w:tcPr/>
          <w:p>
            <w:pPr>
              <w:pStyle w:val="Compact"/>
              <w:jc w:val="left"/>
            </w:pPr>
            <w:r>
              <w:t xml:space="preserve">NO</w:t>
            </w:r>
          </w:p>
        </w:tc>
        <w:tc>
          <w:tcPr/>
          <w:p>
            <w:pPr>
              <w:pStyle w:val="Compact"/>
              <w:jc w:val="left"/>
            </w:pPr>
            <w:r>
              <w:t xml:space="preserve">0.68</w:t>
            </w:r>
          </w:p>
        </w:tc>
        <w:tc>
          <w:tcPr/>
          <w:p>
            <w:pPr>
              <w:pStyle w:val="Compact"/>
              <w:jc w:val="left"/>
            </w:pPr>
            <w:r>
              <w:t xml:space="preserve">0.56-0.83</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FAMILIAR</w:t>
            </w:r>
          </w:p>
        </w:tc>
        <w:tc>
          <w:tcPr/>
          <w:p>
            <w:pPr>
              <w:pStyle w:val="Compact"/>
              <w:jc w:val="left"/>
            </w:pPr>
            <w:r>
              <w:t xml:space="preserve">PAREJA</w:t>
            </w:r>
          </w:p>
        </w:tc>
        <w:tc>
          <w:tcPr/>
          <w:p>
            <w:pPr>
              <w:pStyle w:val="Compact"/>
              <w:jc w:val="left"/>
            </w:pPr>
            <w:r>
              <w:t xml:space="preserve">0.84</w:t>
            </w:r>
          </w:p>
        </w:tc>
        <w:tc>
          <w:tcPr/>
          <w:p>
            <w:pPr>
              <w:pStyle w:val="Compact"/>
              <w:jc w:val="left"/>
            </w:pPr>
            <w:r>
              <w:t xml:space="preserve">0.64-1.09</w:t>
            </w:r>
          </w:p>
        </w:tc>
        <w:tc>
          <w:tcPr/>
          <w:p>
            <w:pPr>
              <w:pStyle w:val="Compact"/>
              <w:jc w:val="left"/>
            </w:pPr>
            <w:r>
              <w:t xml:space="preserve">0.195</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OTRO</w:t>
            </w:r>
          </w:p>
        </w:tc>
        <w:tc>
          <w:tcPr/>
          <w:p>
            <w:pPr>
              <w:pStyle w:val="Compact"/>
              <w:jc w:val="left"/>
            </w:pPr>
            <w:r>
              <w:t xml:space="preserve">PAREJA</w:t>
            </w:r>
          </w:p>
        </w:tc>
        <w:tc>
          <w:tcPr/>
          <w:p>
            <w:pPr>
              <w:pStyle w:val="Compact"/>
              <w:jc w:val="left"/>
            </w:pPr>
            <w:r>
              <w:t xml:space="preserve">1.50</w:t>
            </w:r>
          </w:p>
        </w:tc>
        <w:tc>
          <w:tcPr/>
          <w:p>
            <w:pPr>
              <w:pStyle w:val="Compact"/>
              <w:jc w:val="left"/>
            </w:pPr>
            <w:r>
              <w:t xml:space="preserve">1.15-1.96</w:t>
            </w:r>
          </w:p>
        </w:tc>
        <w:tc>
          <w:tcPr/>
          <w:p>
            <w:pPr>
              <w:pStyle w:val="Compact"/>
              <w:jc w:val="left"/>
            </w:pPr>
            <w:r>
              <w:t xml:space="preserve">0.002</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Acompanamiento (detalle)</w:t>
            </w:r>
          </w:p>
        </w:tc>
        <w:tc>
          <w:tcPr/>
          <w:p>
            <w:pPr>
              <w:pStyle w:val="Compact"/>
              <w:jc w:val="left"/>
            </w:pPr>
            <w:r>
              <w:t xml:space="preserve">SOLA</w:t>
            </w:r>
          </w:p>
        </w:tc>
        <w:tc>
          <w:tcPr/>
          <w:p>
            <w:pPr>
              <w:pStyle w:val="Compact"/>
              <w:jc w:val="left"/>
            </w:pPr>
            <w:r>
              <w:t xml:space="preserve">PAREJA</w:t>
            </w:r>
          </w:p>
        </w:tc>
        <w:tc>
          <w:tcPr/>
          <w:p>
            <w:pPr>
              <w:pStyle w:val="Compact"/>
              <w:jc w:val="left"/>
            </w:pPr>
            <w:r>
              <w:t xml:space="preserve">1.53</w:t>
            </w:r>
          </w:p>
        </w:tc>
        <w:tc>
          <w:tcPr/>
          <w:p>
            <w:pPr>
              <w:pStyle w:val="Compact"/>
              <w:jc w:val="left"/>
            </w:pPr>
            <w:r>
              <w:t xml:space="preserve">1.22-1.91</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23571</w:t>
            </w:r>
          </w:p>
        </w:tc>
      </w:tr>
      <w:tr>
        <w:tc>
          <w:tcPr/>
          <w:p>
            <w:pPr>
              <w:pStyle w:val="Compact"/>
              <w:jc w:val="left"/>
            </w:pPr>
            <w:r>
              <w:t xml:space="preserve">Riesgo al ingreso</w:t>
            </w:r>
          </w:p>
        </w:tc>
        <w:tc>
          <w:tcPr/>
          <w:p>
            <w:pPr>
              <w:pStyle w:val="Compact"/>
              <w:jc w:val="left"/>
            </w:pPr>
            <w:r>
              <w:t xml:space="preserve">RIESGO ALTO</w:t>
            </w:r>
          </w:p>
        </w:tc>
        <w:tc>
          <w:tcPr/>
          <w:p>
            <w:pPr>
              <w:pStyle w:val="Compact"/>
              <w:jc w:val="left"/>
            </w:pPr>
            <w:r>
              <w:t xml:space="preserve">RIESGO BAJO</w:t>
            </w:r>
          </w:p>
        </w:tc>
        <w:tc>
          <w:tcPr/>
          <w:p>
            <w:pPr>
              <w:pStyle w:val="Compact"/>
              <w:jc w:val="left"/>
            </w:pPr>
            <w:r>
              <w:t xml:space="preserve">1.55</w:t>
            </w:r>
          </w:p>
        </w:tc>
        <w:tc>
          <w:tcPr/>
          <w:p>
            <w:pPr>
              <w:pStyle w:val="Compact"/>
              <w:jc w:val="left"/>
            </w:pPr>
            <w:r>
              <w:t xml:space="preserve">1.25-1.92</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23554</w:t>
            </w:r>
          </w:p>
        </w:tc>
      </w:tr>
      <w:tr>
        <w:tc>
          <w:tcPr/>
          <w:p>
            <w:pPr>
              <w:pStyle w:val="Compact"/>
              <w:jc w:val="left"/>
            </w:pPr>
            <w:r>
              <w:t xml:space="preserve">Riesgo al ingreso</w:t>
            </w:r>
          </w:p>
        </w:tc>
        <w:tc>
          <w:tcPr/>
          <w:p>
            <w:pPr>
              <w:pStyle w:val="Compact"/>
              <w:jc w:val="left"/>
            </w:pPr>
            <w:r>
              <w:t xml:space="preserve">RIESGO INMINENTE</w:t>
            </w:r>
          </w:p>
        </w:tc>
        <w:tc>
          <w:tcPr/>
          <w:p>
            <w:pPr>
              <w:pStyle w:val="Compact"/>
              <w:jc w:val="left"/>
            </w:pPr>
            <w:r>
              <w:t xml:space="preserve">RIESGO BAJO</w:t>
            </w:r>
          </w:p>
        </w:tc>
        <w:tc>
          <w:tcPr/>
          <w:p>
            <w:pPr>
              <w:pStyle w:val="Compact"/>
              <w:jc w:val="left"/>
            </w:pPr>
            <w:r>
              <w:t xml:space="preserve">1.70</w:t>
            </w:r>
          </w:p>
        </w:tc>
        <w:tc>
          <w:tcPr/>
          <w:p>
            <w:pPr>
              <w:pStyle w:val="Compact"/>
              <w:jc w:val="left"/>
            </w:pPr>
            <w:r>
              <w:t xml:space="preserve">1.30-2.22</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23554</w:t>
            </w:r>
          </w:p>
        </w:tc>
      </w:tr>
      <w:tr>
        <w:tc>
          <w:tcPr/>
          <w:p>
            <w:pPr>
              <w:pStyle w:val="Compact"/>
              <w:jc w:val="left"/>
            </w:pPr>
            <w:r>
              <w:t xml:space="preserve">Infeccion de vias urinarias (IVU)</w:t>
            </w:r>
          </w:p>
        </w:tc>
        <w:tc>
          <w:tcPr/>
          <w:p>
            <w:pPr>
              <w:pStyle w:val="Compact"/>
              <w:jc w:val="left"/>
            </w:pPr>
            <w:r>
              <w:t xml:space="preserve">SI</w:t>
            </w:r>
          </w:p>
        </w:tc>
        <w:tc>
          <w:tcPr/>
          <w:p>
            <w:pPr>
              <w:pStyle w:val="Compact"/>
              <w:jc w:val="left"/>
            </w:pPr>
            <w:r>
              <w:t xml:space="preserve">NO</w:t>
            </w:r>
          </w:p>
        </w:tc>
        <w:tc>
          <w:tcPr/>
          <w:p>
            <w:pPr>
              <w:pStyle w:val="Compact"/>
              <w:jc w:val="left"/>
            </w:pPr>
            <w:r>
              <w:t xml:space="preserve">0.31</w:t>
            </w:r>
          </w:p>
        </w:tc>
        <w:tc>
          <w:tcPr/>
          <w:p>
            <w:pPr>
              <w:pStyle w:val="Compact"/>
              <w:jc w:val="left"/>
            </w:pPr>
            <w:r>
              <w:t xml:space="preserve">0.08-1.24</w:t>
            </w:r>
          </w:p>
        </w:tc>
        <w:tc>
          <w:tcPr/>
          <w:p>
            <w:pPr>
              <w:pStyle w:val="Compact"/>
              <w:jc w:val="left"/>
            </w:pPr>
            <w:r>
              <w:t xml:space="preserve">0.098</w:t>
            </w:r>
          </w:p>
        </w:tc>
        <w:tc>
          <w:tcPr/>
          <w:p>
            <w:pPr>
              <w:pStyle w:val="Compact"/>
              <w:jc w:val="left"/>
            </w:pPr>
            <w:r>
              <w:t xml:space="preserve">Fisher</w:t>
            </w:r>
          </w:p>
        </w:tc>
        <w:tc>
          <w:tcPr/>
          <w:p>
            <w:pPr>
              <w:pStyle w:val="Compact"/>
              <w:jc w:val="left"/>
            </w:pPr>
            <w:r>
              <w:t xml:space="preserve">23642</w:t>
            </w:r>
          </w:p>
        </w:tc>
      </w:tr>
      <w:tr>
        <w:tc>
          <w:tcPr/>
          <w:p>
            <w:pPr>
              <w:pStyle w:val="Compact"/>
              <w:jc w:val="left"/>
            </w:pPr>
            <w:r>
              <w:t xml:space="preserve">Ruptura prematura de membranas (RPM)</w:t>
            </w:r>
          </w:p>
        </w:tc>
        <w:tc>
          <w:tcPr/>
          <w:p>
            <w:pPr>
              <w:pStyle w:val="Compact"/>
              <w:jc w:val="left"/>
            </w:pPr>
            <w:r>
              <w:t xml:space="preserve">SI</w:t>
            </w:r>
          </w:p>
        </w:tc>
        <w:tc>
          <w:tcPr/>
          <w:p>
            <w:pPr>
              <w:pStyle w:val="Compact"/>
              <w:jc w:val="left"/>
            </w:pPr>
            <w:r>
              <w:t xml:space="preserve">NO</w:t>
            </w:r>
          </w:p>
        </w:tc>
        <w:tc>
          <w:tcPr/>
          <w:p>
            <w:pPr>
              <w:pStyle w:val="Compact"/>
              <w:jc w:val="left"/>
            </w:pPr>
            <w:r>
              <w:t xml:space="preserve">0.48</w:t>
            </w:r>
          </w:p>
        </w:tc>
        <w:tc>
          <w:tcPr/>
          <w:p>
            <w:pPr>
              <w:pStyle w:val="Compact"/>
              <w:jc w:val="left"/>
            </w:pPr>
            <w:r>
              <w:t xml:space="preserve">0.33-0.70</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Psicoprofilaxis (alguna)</w:t>
            </w:r>
          </w:p>
        </w:tc>
        <w:tc>
          <w:tcPr/>
          <w:p>
            <w:pPr>
              <w:pStyle w:val="Compact"/>
              <w:jc w:val="left"/>
            </w:pPr>
            <w:r>
              <w:t xml:space="preserve">SI</w:t>
            </w:r>
          </w:p>
        </w:tc>
        <w:tc>
          <w:tcPr/>
          <w:p>
            <w:pPr>
              <w:pStyle w:val="Compact"/>
              <w:jc w:val="left"/>
            </w:pPr>
            <w:r>
              <w:t xml:space="preserve">NO</w:t>
            </w:r>
          </w:p>
        </w:tc>
        <w:tc>
          <w:tcPr/>
          <w:p>
            <w:pPr>
              <w:pStyle w:val="Compact"/>
              <w:jc w:val="left"/>
            </w:pPr>
            <w:r>
              <w:t xml:space="preserve">0.39</w:t>
            </w:r>
          </w:p>
        </w:tc>
        <w:tc>
          <w:tcPr/>
          <w:p>
            <w:pPr>
              <w:pStyle w:val="Compact"/>
              <w:jc w:val="left"/>
            </w:pPr>
            <w:r>
              <w:t xml:space="preserve">0.32-0.48</w:t>
            </w:r>
          </w:p>
        </w:tc>
        <w:tc>
          <w:tcPr/>
          <w:p>
            <w:pPr>
              <w:pStyle w:val="Compact"/>
              <w:jc w:val="left"/>
            </w:pPr>
            <w:r>
              <w:t xml:space="preserve">&lt;0.001</w:t>
            </w:r>
          </w:p>
        </w:tc>
        <w:tc>
          <w:tcPr/>
          <w:p>
            <w:pPr>
              <w:pStyle w:val="Compact"/>
              <w:jc w:val="left"/>
            </w:pPr>
            <w:r>
              <w:t xml:space="preserve">Logistica</w:t>
            </w:r>
          </w:p>
        </w:tc>
        <w:tc>
          <w:tcPr/>
          <w:p>
            <w:pPr>
              <w:pStyle w:val="Compact"/>
              <w:jc w:val="left"/>
            </w:pPr>
            <w:r>
              <w:t xml:space="preserve">23526</w:t>
            </w:r>
          </w:p>
        </w:tc>
      </w:tr>
      <w:tr>
        <w:tc>
          <w:tcPr/>
          <w:p>
            <w:pPr>
              <w:pStyle w:val="Compact"/>
              <w:jc w:val="left"/>
            </w:pPr>
            <w:r>
              <w:t xml:space="preserve">Hemorragia</w:t>
            </w:r>
          </w:p>
        </w:tc>
        <w:tc>
          <w:tcPr/>
          <w:p>
            <w:pPr>
              <w:pStyle w:val="Compact"/>
              <w:jc w:val="left"/>
            </w:pPr>
            <w:r>
              <w:t xml:space="preserve">SI</w:t>
            </w:r>
          </w:p>
        </w:tc>
        <w:tc>
          <w:tcPr/>
          <w:p>
            <w:pPr>
              <w:pStyle w:val="Compact"/>
              <w:jc w:val="left"/>
            </w:pPr>
            <w:r>
              <w:t xml:space="preserve">NO</w:t>
            </w:r>
          </w:p>
        </w:tc>
        <w:tc>
          <w:tcPr/>
          <w:p>
            <w:pPr>
              <w:pStyle w:val="Compact"/>
              <w:jc w:val="left"/>
            </w:pPr>
            <w:r>
              <w:t xml:space="preserve">0.89</w:t>
            </w:r>
          </w:p>
        </w:tc>
        <w:tc>
          <w:tcPr/>
          <w:p>
            <w:pPr>
              <w:pStyle w:val="Compact"/>
              <w:jc w:val="left"/>
            </w:pPr>
            <w:r>
              <w:t xml:space="preserve">0.66-1.19</w:t>
            </w:r>
          </w:p>
        </w:tc>
        <w:tc>
          <w:tcPr/>
          <w:p>
            <w:pPr>
              <w:pStyle w:val="Compact"/>
              <w:jc w:val="left"/>
            </w:pPr>
            <w:r>
              <w:t xml:space="preserve">0.425</w:t>
            </w:r>
          </w:p>
        </w:tc>
        <w:tc>
          <w:tcPr/>
          <w:p>
            <w:pPr>
              <w:pStyle w:val="Compact"/>
              <w:jc w:val="left"/>
            </w:pPr>
            <w:r>
              <w:t xml:space="preserve">Fisher</w:t>
            </w:r>
          </w:p>
        </w:tc>
        <w:tc>
          <w:tcPr/>
          <w:p>
            <w:pPr>
              <w:pStyle w:val="Compact"/>
              <w:jc w:val="left"/>
            </w:pPr>
            <w:r>
              <w:t xml:space="preserve">23641</w:t>
            </w:r>
          </w:p>
        </w:tc>
      </w:tr>
      <w:tr>
        <w:tc>
          <w:tcPr/>
          <w:p>
            <w:pPr>
              <w:pStyle w:val="Compact"/>
              <w:jc w:val="left"/>
            </w:pPr>
            <w:r>
              <w:t xml:space="preserve">Presentacion de vertice</w:t>
            </w:r>
          </w:p>
        </w:tc>
        <w:tc>
          <w:tcPr/>
          <w:p>
            <w:pPr>
              <w:pStyle w:val="Compact"/>
              <w:jc w:val="left"/>
            </w:pPr>
            <w:r>
              <w:t xml:space="preserve">SI</w:t>
            </w:r>
          </w:p>
        </w:tc>
        <w:tc>
          <w:tcPr/>
          <w:p>
            <w:pPr>
              <w:pStyle w:val="Compact"/>
              <w:jc w:val="left"/>
            </w:pPr>
            <w:r>
              <w:t xml:space="preserve">NO</w:t>
            </w:r>
          </w:p>
        </w:tc>
        <w:tc>
          <w:tcPr/>
          <w:p>
            <w:pPr>
              <w:pStyle w:val="Compact"/>
              <w:jc w:val="left"/>
            </w:pPr>
            <w:r>
              <w:t xml:space="preserve">0.92</w:t>
            </w:r>
          </w:p>
        </w:tc>
        <w:tc>
          <w:tcPr/>
          <w:p>
            <w:pPr>
              <w:pStyle w:val="Compact"/>
              <w:jc w:val="left"/>
            </w:pPr>
            <w:r>
              <w:t xml:space="preserve">0.56-1.53</w:t>
            </w:r>
          </w:p>
        </w:tc>
        <w:tc>
          <w:tcPr/>
          <w:p>
            <w:pPr>
              <w:pStyle w:val="Compact"/>
              <w:jc w:val="left"/>
            </w:pPr>
            <w:r>
              <w:t xml:space="preserve">0.755</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PREECLAMPSIA</w:t>
            </w:r>
          </w:p>
        </w:tc>
        <w:tc>
          <w:tcPr/>
          <w:p>
            <w:pPr>
              <w:pStyle w:val="Compact"/>
              <w:jc w:val="left"/>
            </w:pPr>
            <w:r>
              <w:t xml:space="preserve">NINGUNO</w:t>
            </w:r>
          </w:p>
        </w:tc>
        <w:tc>
          <w:tcPr/>
          <w:p>
            <w:pPr>
              <w:pStyle w:val="Compact"/>
              <w:jc w:val="left"/>
            </w:pPr>
            <w:r>
              <w:t xml:space="preserve">1.07</w:t>
            </w:r>
          </w:p>
        </w:tc>
        <w:tc>
          <w:tcPr/>
          <w:p>
            <w:pPr>
              <w:pStyle w:val="Compact"/>
              <w:jc w:val="left"/>
            </w:pPr>
            <w:r>
              <w:t xml:space="preserve">0.82-1.40</w:t>
            </w:r>
          </w:p>
        </w:tc>
        <w:tc>
          <w:tcPr/>
          <w:p>
            <w:pPr>
              <w:pStyle w:val="Compact"/>
              <w:jc w:val="left"/>
            </w:pPr>
            <w:r>
              <w:t xml:space="preserve">0.611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HTA INDUCIDA POR EL EMBARAZO</w:t>
            </w:r>
          </w:p>
        </w:tc>
        <w:tc>
          <w:tcPr/>
          <w:p>
            <w:pPr>
              <w:pStyle w:val="Compact"/>
              <w:jc w:val="left"/>
            </w:pPr>
            <w:r>
              <w:t xml:space="preserve">NINGUNO</w:t>
            </w:r>
          </w:p>
        </w:tc>
        <w:tc>
          <w:tcPr/>
          <w:p>
            <w:pPr>
              <w:pStyle w:val="Compact"/>
              <w:jc w:val="left"/>
            </w:pPr>
            <w:r>
              <w:t xml:space="preserve">0.97</w:t>
            </w:r>
          </w:p>
        </w:tc>
        <w:tc>
          <w:tcPr/>
          <w:p>
            <w:pPr>
              <w:pStyle w:val="Compact"/>
              <w:jc w:val="left"/>
            </w:pPr>
            <w:r>
              <w:t xml:space="preserve">0.57-1.63</w:t>
            </w:r>
          </w:p>
        </w:tc>
        <w:tc>
          <w:tcPr/>
          <w:p>
            <w:pPr>
              <w:pStyle w:val="Compact"/>
              <w:jc w:val="left"/>
            </w:pPr>
            <w:r>
              <w:t xml:space="preserve">0.901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HTA PREEXISTENTE</w:t>
            </w:r>
          </w:p>
        </w:tc>
        <w:tc>
          <w:tcPr/>
          <w:p>
            <w:pPr>
              <w:pStyle w:val="Compact"/>
              <w:jc w:val="left"/>
            </w:pPr>
            <w:r>
              <w:t xml:space="preserve">NINGUNO</w:t>
            </w:r>
          </w:p>
        </w:tc>
        <w:tc>
          <w:tcPr/>
          <w:p>
            <w:pPr>
              <w:pStyle w:val="Compact"/>
              <w:jc w:val="left"/>
            </w:pPr>
            <w:r>
              <w:t xml:space="preserve">0.78</w:t>
            </w:r>
          </w:p>
        </w:tc>
        <w:tc>
          <w:tcPr/>
          <w:p>
            <w:pPr>
              <w:pStyle w:val="Compact"/>
              <w:jc w:val="left"/>
            </w:pPr>
            <w:r>
              <w:t xml:space="preserve">0.11-5.60</w:t>
            </w:r>
          </w:p>
        </w:tc>
        <w:tc>
          <w:tcPr/>
          <w:p>
            <w:pPr>
              <w:pStyle w:val="Compact"/>
              <w:jc w:val="left"/>
            </w:pPr>
            <w:r>
              <w:t xml:space="preserve">0.801</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Trastornos hipertensivos</w:t>
            </w:r>
          </w:p>
        </w:tc>
        <w:tc>
          <w:tcPr/>
          <w:p>
            <w:pPr>
              <w:pStyle w:val="Compact"/>
              <w:jc w:val="left"/>
            </w:pPr>
            <w:r>
              <w:t xml:space="preserve">ECLAMPSIA</w:t>
            </w:r>
          </w:p>
        </w:tc>
        <w:tc>
          <w:tcPr/>
          <w:p>
            <w:pPr>
              <w:pStyle w:val="Compact"/>
              <w:jc w:val="left"/>
            </w:pPr>
            <w:r>
              <w:t xml:space="preserve">NINGUNO</w:t>
            </w:r>
          </w:p>
        </w:tc>
        <w:tc>
          <w:tcPr/>
          <w:p>
            <w:pPr>
              <w:pStyle w:val="Compact"/>
              <w:jc w:val="left"/>
            </w:pPr>
            <w:r>
              <w:t xml:space="preserve">4.00</w:t>
            </w:r>
          </w:p>
        </w:tc>
        <w:tc>
          <w:tcPr/>
          <w:p>
            <w:pPr>
              <w:pStyle w:val="Compact"/>
              <w:jc w:val="left"/>
            </w:pPr>
            <w:r>
              <w:t xml:space="preserve">1.60-10.02</w:t>
            </w:r>
          </w:p>
        </w:tc>
        <w:tc>
          <w:tcPr/>
          <w:p>
            <w:pPr>
              <w:pStyle w:val="Compact"/>
              <w:jc w:val="left"/>
            </w:pPr>
            <w:r>
              <w:t xml:space="preserve">0.003</w:t>
            </w:r>
          </w:p>
        </w:tc>
        <w:tc>
          <w:tcPr/>
          <w:p>
            <w:pPr>
              <w:pStyle w:val="Compact"/>
              <w:jc w:val="left"/>
            </w:pPr>
            <w:r>
              <w:t xml:space="preserve">Logistica</w:t>
            </w:r>
          </w:p>
        </w:tc>
        <w:tc>
          <w:tcPr/>
          <w:p>
            <w:pPr>
              <w:pStyle w:val="Compact"/>
              <w:jc w:val="left"/>
            </w:pPr>
            <w:r>
              <w:t xml:space="preserve">23642</w:t>
            </w:r>
          </w:p>
        </w:tc>
      </w:tr>
      <w:tr>
        <w:tc>
          <w:tcPr/>
          <w:p>
            <w:pPr>
              <w:pStyle w:val="Compact"/>
              <w:jc w:val="left"/>
            </w:pPr>
            <w:r>
              <w:t xml:space="preserve">Desprendimiento prematuro de placenta (DPP)</w:t>
            </w:r>
          </w:p>
        </w:tc>
        <w:tc>
          <w:tcPr/>
          <w:p>
            <w:pPr>
              <w:pStyle w:val="Compact"/>
              <w:jc w:val="left"/>
            </w:pPr>
            <w:r>
              <w:t xml:space="preserve">SI</w:t>
            </w:r>
          </w:p>
        </w:tc>
        <w:tc>
          <w:tcPr/>
          <w:p>
            <w:pPr>
              <w:pStyle w:val="Compact"/>
              <w:jc w:val="left"/>
            </w:pPr>
            <w:r>
              <w:t xml:space="preserve">NO</w:t>
            </w:r>
          </w:p>
        </w:tc>
        <w:tc>
          <w:tcPr/>
          <w:p>
            <w:pPr>
              <w:pStyle w:val="Compact"/>
              <w:jc w:val="left"/>
            </w:pPr>
            <w:r>
              <w:t xml:space="preserve">6.63</w:t>
            </w:r>
          </w:p>
        </w:tc>
        <w:tc>
          <w:tcPr/>
          <w:p>
            <w:pPr>
              <w:pStyle w:val="Compact"/>
              <w:jc w:val="left"/>
            </w:pPr>
            <w:r>
              <w:t xml:space="preserve">3.84-11.46</w:t>
            </w:r>
          </w:p>
        </w:tc>
        <w:tc>
          <w:tcPr/>
          <w:p>
            <w:pPr>
              <w:pStyle w:val="Compact"/>
              <w:jc w:val="left"/>
            </w:pPr>
            <w:r>
              <w:t xml:space="preserve">&lt;0.001</w:t>
            </w:r>
          </w:p>
        </w:tc>
        <w:tc>
          <w:tcPr/>
          <w:p>
            <w:pPr>
              <w:pStyle w:val="Compact"/>
              <w:jc w:val="left"/>
            </w:pPr>
            <w:r>
              <w:t xml:space="preserve">Fisher</w:t>
            </w:r>
          </w:p>
        </w:tc>
        <w:tc>
          <w:tcPr/>
          <w:p>
            <w:pPr>
              <w:pStyle w:val="Compact"/>
              <w:jc w:val="left"/>
            </w:pPr>
            <w:r>
              <w:t xml:space="preserve">23642</w:t>
            </w:r>
          </w:p>
        </w:tc>
      </w:tr>
    </w:tbl>
    <w:p>
      <w:pPr>
        <w:pStyle w:val="BodyText"/>
      </w:pPr>
      <w:r>
        <w:rPr>
          <w:i/>
          <w:iCs/>
        </w:rPr>
        <w:t xml:space="preserve">Nota: OR: odds ratio; IC95%: intervalo de confianza del 95%. Las pruebas exactas completas se presentan en el suplemento.</w:t>
      </w:r>
    </w:p>
    <w:bookmarkEnd w:id="43"/>
    <w:bookmarkStart w:id="44" w:name="modelos-frecuentistas-ajustados"/>
    <w:p>
      <w:pPr>
        <w:pStyle w:val="Heading2"/>
      </w:pPr>
      <w:r>
        <w:t xml:space="preserve">4.5 Modelos frecuentistas ajustados</w:t>
      </w:r>
    </w:p>
    <w:p>
      <w:pPr>
        <w:pStyle w:val="FirstParagraph"/>
      </w:pPr>
      <w:r>
        <w:t xml:space="preserve">En el modelo social y de atención, estar acompañada se asoció con menores odds (aOR 0,70; IC95% 0,58–0,86), al igual que cada control prenatal adicional (aOR 0,84; IC95% 0,81–0,87) y cada sesión adicional (aOR 0,87; IC95% 0,83–0,92). En el modelo clínico, riesgo alto tuvo aOR 1,64 (IC95% 1,32–2,03) y riesgo inminente aOR 1,89 (IC95% 1,33–2,69). En el modelo obstétrico, DPP tuvo aOR 6,25 (IC95% 3,59–10,87), eclampsia aOR 3,37 (IC95% 1,32–8,61) y RPM aOR 0,51 (IC95% 0,35–0,74).</w:t>
      </w:r>
    </w:p>
    <w:p>
      <w:pPr>
        <w:pStyle w:val="BodyText"/>
      </w:pPr>
      <w:r>
        <w:rPr>
          <w:b/>
          <w:bCs/>
        </w:rPr>
        <w:t xml:space="preserve">Tabla 3. Modelo frecuentista social y de atención prenatal.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0.97</w:t>
            </w:r>
          </w:p>
        </w:tc>
        <w:tc>
          <w:tcPr/>
          <w:p>
            <w:pPr>
              <w:pStyle w:val="Compact"/>
              <w:jc w:val="left"/>
            </w:pPr>
            <w:r>
              <w:t xml:space="preserve">0.49-1.91</w:t>
            </w:r>
          </w:p>
        </w:tc>
        <w:tc>
          <w:tcPr/>
          <w:p>
            <w:pPr>
              <w:pStyle w:val="Compact"/>
              <w:jc w:val="left"/>
            </w:pPr>
            <w:r>
              <w:t xml:space="preserve">0.933</w:t>
            </w:r>
          </w:p>
        </w:tc>
        <w:tc>
          <w:tcPr/>
          <w:p>
            <w:pPr>
              <w:pStyle w:val="Compact"/>
              <w:jc w:val="left"/>
            </w:pPr>
            <w:r>
              <w:t xml:space="preserve">23095</w:t>
            </w:r>
          </w:p>
        </w:tc>
      </w:tr>
      <w:tr>
        <w:tc>
          <w:tcPr/>
          <w:p>
            <w:pPr>
              <w:pStyle w:val="Compact"/>
              <w:jc w:val="left"/>
            </w:pPr>
            <w:r>
              <w:t xml:space="preserve">Edad materna &gt;=35 vs 20-34</w:t>
            </w:r>
          </w:p>
        </w:tc>
        <w:tc>
          <w:tcPr/>
          <w:p>
            <w:pPr>
              <w:pStyle w:val="Compact"/>
              <w:jc w:val="left"/>
            </w:pPr>
            <w:r>
              <w:t xml:space="preserve">1.03</w:t>
            </w:r>
          </w:p>
        </w:tc>
        <w:tc>
          <w:tcPr/>
          <w:p>
            <w:pPr>
              <w:pStyle w:val="Compact"/>
              <w:jc w:val="left"/>
            </w:pPr>
            <w:r>
              <w:t xml:space="preserve">0.83-1.28</w:t>
            </w:r>
          </w:p>
        </w:tc>
        <w:tc>
          <w:tcPr/>
          <w:p>
            <w:pPr>
              <w:pStyle w:val="Compact"/>
              <w:jc w:val="left"/>
            </w:pPr>
            <w:r>
              <w:t xml:space="preserve">0.786</w:t>
            </w:r>
          </w:p>
        </w:tc>
        <w:tc>
          <w:tcPr/>
          <w:p>
            <w:pPr>
              <w:pStyle w:val="Compact"/>
              <w:jc w:val="left"/>
            </w:pPr>
            <w:r>
              <w:t xml:space="preserve">23095</w:t>
            </w:r>
          </w:p>
        </w:tc>
      </w:tr>
      <w:tr>
        <w:tc>
          <w:tcPr/>
          <w:p>
            <w:pPr>
              <w:pStyle w:val="Compact"/>
              <w:jc w:val="left"/>
            </w:pPr>
            <w:r>
              <w:t xml:space="preserve">Pareja estable si vs no</w:t>
            </w:r>
          </w:p>
        </w:tc>
        <w:tc>
          <w:tcPr/>
          <w:p>
            <w:pPr>
              <w:pStyle w:val="Compact"/>
              <w:jc w:val="left"/>
            </w:pPr>
            <w:r>
              <w:t xml:space="preserve">0.95</w:t>
            </w:r>
          </w:p>
        </w:tc>
        <w:tc>
          <w:tcPr/>
          <w:p>
            <w:pPr>
              <w:pStyle w:val="Compact"/>
              <w:jc w:val="left"/>
            </w:pPr>
            <w:r>
              <w:t xml:space="preserve">0.77-1.17</w:t>
            </w:r>
          </w:p>
        </w:tc>
        <w:tc>
          <w:tcPr/>
          <w:p>
            <w:pPr>
              <w:pStyle w:val="Compact"/>
              <w:jc w:val="left"/>
            </w:pPr>
            <w:r>
              <w:t xml:space="preserve">0.627</w:t>
            </w:r>
          </w:p>
        </w:tc>
        <w:tc>
          <w:tcPr/>
          <w:p>
            <w:pPr>
              <w:pStyle w:val="Compact"/>
              <w:jc w:val="left"/>
            </w:pPr>
            <w:r>
              <w:t xml:space="preserve">23095</w:t>
            </w:r>
          </w:p>
        </w:tc>
      </w:tr>
      <w:tr>
        <w:tc>
          <w:tcPr/>
          <w:p>
            <w:pPr>
              <w:pStyle w:val="Compact"/>
              <w:jc w:val="left"/>
            </w:pPr>
            <w:r>
              <w:t xml:space="preserve">Sin instruccion vs secundaria</w:t>
            </w:r>
          </w:p>
        </w:tc>
        <w:tc>
          <w:tcPr/>
          <w:p>
            <w:pPr>
              <w:pStyle w:val="Compact"/>
              <w:jc w:val="left"/>
            </w:pPr>
            <w:r>
              <w:t xml:space="preserve">0.93</w:t>
            </w:r>
          </w:p>
        </w:tc>
        <w:tc>
          <w:tcPr/>
          <w:p>
            <w:pPr>
              <w:pStyle w:val="Compact"/>
              <w:jc w:val="left"/>
            </w:pPr>
            <w:r>
              <w:t xml:space="preserve">0.53-1.64</w:t>
            </w:r>
          </w:p>
        </w:tc>
        <w:tc>
          <w:tcPr/>
          <w:p>
            <w:pPr>
              <w:pStyle w:val="Compact"/>
              <w:jc w:val="left"/>
            </w:pPr>
            <w:r>
              <w:t xml:space="preserve">0.805</w:t>
            </w:r>
          </w:p>
        </w:tc>
        <w:tc>
          <w:tcPr/>
          <w:p>
            <w:pPr>
              <w:pStyle w:val="Compact"/>
              <w:jc w:val="left"/>
            </w:pPr>
            <w:r>
              <w:t xml:space="preserve">23095</w:t>
            </w:r>
          </w:p>
        </w:tc>
      </w:tr>
      <w:tr>
        <w:tc>
          <w:tcPr/>
          <w:p>
            <w:pPr>
              <w:pStyle w:val="Compact"/>
              <w:jc w:val="left"/>
            </w:pPr>
            <w:r>
              <w:t xml:space="preserve">Primaria vs secundaria</w:t>
            </w:r>
          </w:p>
        </w:tc>
        <w:tc>
          <w:tcPr/>
          <w:p>
            <w:pPr>
              <w:pStyle w:val="Compact"/>
              <w:jc w:val="left"/>
            </w:pPr>
            <w:r>
              <w:t xml:space="preserve">0.97</w:t>
            </w:r>
          </w:p>
        </w:tc>
        <w:tc>
          <w:tcPr/>
          <w:p>
            <w:pPr>
              <w:pStyle w:val="Compact"/>
              <w:jc w:val="left"/>
            </w:pPr>
            <w:r>
              <w:t xml:space="preserve">0.80-1.19</w:t>
            </w:r>
          </w:p>
        </w:tc>
        <w:tc>
          <w:tcPr/>
          <w:p>
            <w:pPr>
              <w:pStyle w:val="Compact"/>
              <w:jc w:val="left"/>
            </w:pPr>
            <w:r>
              <w:t xml:space="preserve">0.801</w:t>
            </w:r>
          </w:p>
        </w:tc>
        <w:tc>
          <w:tcPr/>
          <w:p>
            <w:pPr>
              <w:pStyle w:val="Compact"/>
              <w:jc w:val="left"/>
            </w:pPr>
            <w:r>
              <w:t xml:space="preserve">23095</w:t>
            </w:r>
          </w:p>
        </w:tc>
      </w:tr>
      <w:tr>
        <w:tc>
          <w:tcPr/>
          <w:p>
            <w:pPr>
              <w:pStyle w:val="Compact"/>
              <w:jc w:val="left"/>
            </w:pPr>
            <w:r>
              <w:t xml:space="preserve">Superior vs secundaria</w:t>
            </w:r>
          </w:p>
        </w:tc>
        <w:tc>
          <w:tcPr/>
          <w:p>
            <w:pPr>
              <w:pStyle w:val="Compact"/>
              <w:jc w:val="left"/>
            </w:pPr>
            <w:r>
              <w:t xml:space="preserve">1.16</w:t>
            </w:r>
          </w:p>
        </w:tc>
        <w:tc>
          <w:tcPr/>
          <w:p>
            <w:pPr>
              <w:pStyle w:val="Compact"/>
              <w:jc w:val="left"/>
            </w:pPr>
            <w:r>
              <w:t xml:space="preserve">0.83-1.62</w:t>
            </w:r>
          </w:p>
        </w:tc>
        <w:tc>
          <w:tcPr/>
          <w:p>
            <w:pPr>
              <w:pStyle w:val="Compact"/>
              <w:jc w:val="left"/>
            </w:pPr>
            <w:r>
              <w:t xml:space="preserve">0.398</w:t>
            </w:r>
          </w:p>
        </w:tc>
        <w:tc>
          <w:tcPr/>
          <w:p>
            <w:pPr>
              <w:pStyle w:val="Compact"/>
              <w:jc w:val="left"/>
            </w:pPr>
            <w:r>
              <w:t xml:space="preserve">23095</w:t>
            </w:r>
          </w:p>
        </w:tc>
      </w:tr>
      <w:tr>
        <w:tc>
          <w:tcPr/>
          <w:p>
            <w:pPr>
              <w:pStyle w:val="Compact"/>
              <w:jc w:val="left"/>
            </w:pPr>
            <w:r>
              <w:t xml:space="preserve">Acompanada vs sola</w:t>
            </w:r>
          </w:p>
        </w:tc>
        <w:tc>
          <w:tcPr/>
          <w:p>
            <w:pPr>
              <w:pStyle w:val="Compact"/>
              <w:jc w:val="left"/>
            </w:pPr>
            <w:r>
              <w:t xml:space="preserve">0.70</w:t>
            </w:r>
          </w:p>
        </w:tc>
        <w:tc>
          <w:tcPr/>
          <w:p>
            <w:pPr>
              <w:pStyle w:val="Compact"/>
              <w:jc w:val="left"/>
            </w:pPr>
            <w:r>
              <w:t xml:space="preserve">0.58-0.86</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Numero de controles prenatales, por cada control adicional</w:t>
            </w:r>
          </w:p>
        </w:tc>
        <w:tc>
          <w:tcPr/>
          <w:p>
            <w:pPr>
              <w:pStyle w:val="Compact"/>
              <w:jc w:val="left"/>
            </w:pPr>
            <w:r>
              <w:t xml:space="preserve">0.84</w:t>
            </w:r>
          </w:p>
        </w:tc>
        <w:tc>
          <w:tcPr/>
          <w:p>
            <w:pPr>
              <w:pStyle w:val="Compact"/>
              <w:jc w:val="left"/>
            </w:pPr>
            <w:r>
              <w:t xml:space="preserve">0.81-0.87</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Numero de sesiones de psicoprofilaxis, por cada sesion adicional</w:t>
            </w:r>
          </w:p>
        </w:tc>
        <w:tc>
          <w:tcPr/>
          <w:p>
            <w:pPr>
              <w:pStyle w:val="Compact"/>
              <w:jc w:val="left"/>
            </w:pPr>
            <w:r>
              <w:t xml:space="preserve">0.87</w:t>
            </w:r>
          </w:p>
        </w:tc>
        <w:tc>
          <w:tcPr/>
          <w:p>
            <w:pPr>
              <w:pStyle w:val="Compact"/>
              <w:jc w:val="left"/>
            </w:pPr>
            <w:r>
              <w:t xml:space="preserve">0.83-0.92</w:t>
            </w:r>
          </w:p>
        </w:tc>
        <w:tc>
          <w:tcPr/>
          <w:p>
            <w:pPr>
              <w:pStyle w:val="Compact"/>
              <w:jc w:val="left"/>
            </w:pPr>
            <w:r>
              <w:t xml:space="preserve">&lt;0.001</w:t>
            </w:r>
          </w:p>
        </w:tc>
        <w:tc>
          <w:tcPr/>
          <w:p>
            <w:pPr>
              <w:pStyle w:val="Compact"/>
              <w:jc w:val="left"/>
            </w:pPr>
            <w:r>
              <w:t xml:space="preserve">23095</w:t>
            </w:r>
          </w:p>
        </w:tc>
      </w:tr>
      <w:tr>
        <w:tc>
          <w:tcPr/>
          <w:p>
            <w:pPr>
              <w:pStyle w:val="Compact"/>
              <w:jc w:val="left"/>
            </w:pPr>
            <w:r>
              <w:t xml:space="preserve">IVU si vs no</w:t>
            </w:r>
          </w:p>
        </w:tc>
        <w:tc>
          <w:tcPr/>
          <w:p>
            <w:pPr>
              <w:pStyle w:val="Compact"/>
              <w:jc w:val="left"/>
            </w:pPr>
            <w:r>
              <w:t xml:space="preserve">0.32</w:t>
            </w:r>
          </w:p>
        </w:tc>
        <w:tc>
          <w:tcPr/>
          <w:p>
            <w:pPr>
              <w:pStyle w:val="Compact"/>
              <w:jc w:val="left"/>
            </w:pPr>
            <w:r>
              <w:t xml:space="preserve">0.08-1.29</w:t>
            </w:r>
          </w:p>
        </w:tc>
        <w:tc>
          <w:tcPr/>
          <w:p>
            <w:pPr>
              <w:pStyle w:val="Compact"/>
              <w:jc w:val="left"/>
            </w:pPr>
            <w:r>
              <w:t xml:space="preserve">0.108</w:t>
            </w:r>
          </w:p>
        </w:tc>
        <w:tc>
          <w:tcPr/>
          <w:p>
            <w:pPr>
              <w:pStyle w:val="Compact"/>
              <w:jc w:val="left"/>
            </w:pPr>
            <w:r>
              <w:t xml:space="preserve">23095</w:t>
            </w:r>
          </w:p>
        </w:tc>
      </w:tr>
    </w:tbl>
    <w:p>
      <w:pPr>
        <w:pStyle w:val="BodyText"/>
      </w:pPr>
      <w:r>
        <w:rPr>
          <w:i/>
          <w:iCs/>
        </w:rPr>
        <w:t xml:space="preserve">Nota: aOR: odds ratio ajustado; IC95%: intervalo de confianza del 95%.</w:t>
      </w:r>
    </w:p>
    <w:p>
      <w:pPr>
        <w:pStyle w:val="BodyText"/>
      </w:pPr>
      <w:r>
        <w:rPr>
          <w:b/>
          <w:bCs/>
        </w:rPr>
        <w:t xml:space="preserve">Tabla 4. Modelo frecuentista materno-clínico.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0.90</w:t>
            </w:r>
          </w:p>
        </w:tc>
        <w:tc>
          <w:tcPr/>
          <w:p>
            <w:pPr>
              <w:pStyle w:val="Compact"/>
              <w:jc w:val="left"/>
            </w:pPr>
            <w:r>
              <w:t xml:space="preserve">0.46-1.76</w:t>
            </w:r>
          </w:p>
        </w:tc>
        <w:tc>
          <w:tcPr/>
          <w:p>
            <w:pPr>
              <w:pStyle w:val="Compact"/>
              <w:jc w:val="left"/>
            </w:pPr>
            <w:r>
              <w:t xml:space="preserve">0.756</w:t>
            </w:r>
          </w:p>
        </w:tc>
        <w:tc>
          <w:tcPr/>
          <w:p>
            <w:pPr>
              <w:pStyle w:val="Compact"/>
              <w:jc w:val="left"/>
            </w:pPr>
            <w:r>
              <w:t xml:space="preserve">23272</w:t>
            </w:r>
          </w:p>
        </w:tc>
      </w:tr>
      <w:tr>
        <w:tc>
          <w:tcPr/>
          <w:p>
            <w:pPr>
              <w:pStyle w:val="Compact"/>
              <w:jc w:val="left"/>
            </w:pPr>
            <w:r>
              <w:t xml:space="preserve">Edad materna &gt;=35 vs 20-34</w:t>
            </w:r>
          </w:p>
        </w:tc>
        <w:tc>
          <w:tcPr/>
          <w:p>
            <w:pPr>
              <w:pStyle w:val="Compact"/>
              <w:jc w:val="left"/>
            </w:pPr>
            <w:r>
              <w:t xml:space="preserve">1.08</w:t>
            </w:r>
          </w:p>
        </w:tc>
        <w:tc>
          <w:tcPr/>
          <w:p>
            <w:pPr>
              <w:pStyle w:val="Compact"/>
              <w:jc w:val="left"/>
            </w:pPr>
            <w:r>
              <w:t xml:space="preserve">0.88-1.33</w:t>
            </w:r>
          </w:p>
        </w:tc>
        <w:tc>
          <w:tcPr/>
          <w:p>
            <w:pPr>
              <w:pStyle w:val="Compact"/>
              <w:jc w:val="left"/>
            </w:pPr>
            <w:r>
              <w:t xml:space="preserve">0.449</w:t>
            </w:r>
          </w:p>
        </w:tc>
        <w:tc>
          <w:tcPr/>
          <w:p>
            <w:pPr>
              <w:pStyle w:val="Compact"/>
              <w:jc w:val="left"/>
            </w:pPr>
            <w:r>
              <w:t xml:space="preserve">23272</w:t>
            </w:r>
          </w:p>
        </w:tc>
      </w:tr>
      <w:tr>
        <w:tc>
          <w:tcPr/>
          <w:p>
            <w:pPr>
              <w:pStyle w:val="Compact"/>
              <w:jc w:val="left"/>
            </w:pPr>
            <w:r>
              <w:t xml:space="preserve">Preeclampsia vs ningun trastorno hipertensivo</w:t>
            </w:r>
          </w:p>
        </w:tc>
        <w:tc>
          <w:tcPr/>
          <w:p>
            <w:pPr>
              <w:pStyle w:val="Compact"/>
              <w:jc w:val="left"/>
            </w:pPr>
            <w:r>
              <w:t xml:space="preserve">0.86</w:t>
            </w:r>
          </w:p>
        </w:tc>
        <w:tc>
          <w:tcPr/>
          <w:p>
            <w:pPr>
              <w:pStyle w:val="Compact"/>
              <w:jc w:val="left"/>
            </w:pPr>
            <w:r>
              <w:t xml:space="preserve">0.60-1.24</w:t>
            </w:r>
          </w:p>
        </w:tc>
        <w:tc>
          <w:tcPr/>
          <w:p>
            <w:pPr>
              <w:pStyle w:val="Compact"/>
              <w:jc w:val="left"/>
            </w:pPr>
            <w:r>
              <w:t xml:space="preserve">0.423</w:t>
            </w:r>
          </w:p>
        </w:tc>
        <w:tc>
          <w:tcPr/>
          <w:p>
            <w:pPr>
              <w:pStyle w:val="Compact"/>
              <w:jc w:val="left"/>
            </w:pPr>
            <w:r>
              <w:t xml:space="preserve">23272</w:t>
            </w:r>
          </w:p>
        </w:tc>
      </w:tr>
      <w:tr>
        <w:tc>
          <w:tcPr/>
          <w:p>
            <w:pPr>
              <w:pStyle w:val="Compact"/>
              <w:jc w:val="left"/>
            </w:pPr>
            <w:r>
              <w:t xml:space="preserve">HTA inducida por embarazo vs ninguno</w:t>
            </w:r>
          </w:p>
        </w:tc>
        <w:tc>
          <w:tcPr/>
          <w:p>
            <w:pPr>
              <w:pStyle w:val="Compact"/>
              <w:jc w:val="left"/>
            </w:pPr>
            <w:r>
              <w:t xml:space="preserve">0.84</w:t>
            </w:r>
          </w:p>
        </w:tc>
        <w:tc>
          <w:tcPr/>
          <w:p>
            <w:pPr>
              <w:pStyle w:val="Compact"/>
              <w:jc w:val="left"/>
            </w:pPr>
            <w:r>
              <w:t xml:space="preserve">0.48-1.46</w:t>
            </w:r>
          </w:p>
        </w:tc>
        <w:tc>
          <w:tcPr/>
          <w:p>
            <w:pPr>
              <w:pStyle w:val="Compact"/>
              <w:jc w:val="left"/>
            </w:pPr>
            <w:r>
              <w:t xml:space="preserve">0.530</w:t>
            </w:r>
          </w:p>
        </w:tc>
        <w:tc>
          <w:tcPr/>
          <w:p>
            <w:pPr>
              <w:pStyle w:val="Compact"/>
              <w:jc w:val="left"/>
            </w:pPr>
            <w:r>
              <w:t xml:space="preserve">23272</w:t>
            </w:r>
          </w:p>
        </w:tc>
      </w:tr>
      <w:tr>
        <w:tc>
          <w:tcPr/>
          <w:p>
            <w:pPr>
              <w:pStyle w:val="Compact"/>
              <w:jc w:val="left"/>
            </w:pPr>
            <w:r>
              <w:t xml:space="preserve">HTA preexistente vs ninguno</w:t>
            </w:r>
          </w:p>
        </w:tc>
        <w:tc>
          <w:tcPr/>
          <w:p>
            <w:pPr>
              <w:pStyle w:val="Compact"/>
              <w:jc w:val="left"/>
            </w:pPr>
            <w:r>
              <w:t xml:space="preserve">0.58</w:t>
            </w:r>
          </w:p>
        </w:tc>
        <w:tc>
          <w:tcPr/>
          <w:p>
            <w:pPr>
              <w:pStyle w:val="Compact"/>
              <w:jc w:val="left"/>
            </w:pPr>
            <w:r>
              <w:t xml:space="preserve">0.08-4.25</w:t>
            </w:r>
          </w:p>
        </w:tc>
        <w:tc>
          <w:tcPr/>
          <w:p>
            <w:pPr>
              <w:pStyle w:val="Compact"/>
              <w:jc w:val="left"/>
            </w:pPr>
            <w:r>
              <w:t xml:space="preserve">0.591</w:t>
            </w:r>
          </w:p>
        </w:tc>
        <w:tc>
          <w:tcPr/>
          <w:p>
            <w:pPr>
              <w:pStyle w:val="Compact"/>
              <w:jc w:val="left"/>
            </w:pPr>
            <w:r>
              <w:t xml:space="preserve">23272</w:t>
            </w:r>
          </w:p>
        </w:tc>
      </w:tr>
      <w:tr>
        <w:tc>
          <w:tcPr/>
          <w:p>
            <w:pPr>
              <w:pStyle w:val="Compact"/>
              <w:jc w:val="left"/>
            </w:pPr>
            <w:r>
              <w:t xml:space="preserve">Eclampsia vs ningun trastorno hipertensivo</w:t>
            </w:r>
          </w:p>
        </w:tc>
        <w:tc>
          <w:tcPr/>
          <w:p>
            <w:pPr>
              <w:pStyle w:val="Compact"/>
              <w:jc w:val="left"/>
            </w:pPr>
            <w:r>
              <w:t xml:space="preserve">2.46</w:t>
            </w:r>
          </w:p>
        </w:tc>
        <w:tc>
          <w:tcPr/>
          <w:p>
            <w:pPr>
              <w:pStyle w:val="Compact"/>
              <w:jc w:val="left"/>
            </w:pPr>
            <w:r>
              <w:t xml:space="preserve">0.93-6.45</w:t>
            </w:r>
          </w:p>
        </w:tc>
        <w:tc>
          <w:tcPr/>
          <w:p>
            <w:pPr>
              <w:pStyle w:val="Compact"/>
              <w:jc w:val="left"/>
            </w:pPr>
            <w:r>
              <w:t xml:space="preserve">0.068</w:t>
            </w:r>
          </w:p>
        </w:tc>
        <w:tc>
          <w:tcPr/>
          <w:p>
            <w:pPr>
              <w:pStyle w:val="Compact"/>
              <w:jc w:val="left"/>
            </w:pPr>
            <w:r>
              <w:t xml:space="preserve">23272</w:t>
            </w:r>
          </w:p>
        </w:tc>
      </w:tr>
      <w:tr>
        <w:tc>
          <w:tcPr/>
          <w:p>
            <w:pPr>
              <w:pStyle w:val="Compact"/>
              <w:jc w:val="left"/>
            </w:pPr>
            <w:r>
              <w:t xml:space="preserve">IVU si vs no</w:t>
            </w:r>
          </w:p>
        </w:tc>
        <w:tc>
          <w:tcPr/>
          <w:p>
            <w:pPr>
              <w:pStyle w:val="Compact"/>
              <w:jc w:val="left"/>
            </w:pPr>
            <w:r>
              <w:t xml:space="preserve">0.27</w:t>
            </w:r>
          </w:p>
        </w:tc>
        <w:tc>
          <w:tcPr/>
          <w:p>
            <w:pPr>
              <w:pStyle w:val="Compact"/>
              <w:jc w:val="left"/>
            </w:pPr>
            <w:r>
              <w:t xml:space="preserve">0.07-1.11</w:t>
            </w:r>
          </w:p>
        </w:tc>
        <w:tc>
          <w:tcPr/>
          <w:p>
            <w:pPr>
              <w:pStyle w:val="Compact"/>
              <w:jc w:val="left"/>
            </w:pPr>
            <w:r>
              <w:t xml:space="preserve">0.070</w:t>
            </w:r>
          </w:p>
        </w:tc>
        <w:tc>
          <w:tcPr/>
          <w:p>
            <w:pPr>
              <w:pStyle w:val="Compact"/>
              <w:jc w:val="left"/>
            </w:pPr>
            <w:r>
              <w:t xml:space="preserve">23272</w:t>
            </w:r>
          </w:p>
        </w:tc>
      </w:tr>
      <w:tr>
        <w:tc>
          <w:tcPr/>
          <w:p>
            <w:pPr>
              <w:pStyle w:val="Compact"/>
              <w:jc w:val="left"/>
            </w:pPr>
            <w:r>
              <w:t xml:space="preserve">Riesgo alto vs riesgo bajo</w:t>
            </w:r>
          </w:p>
        </w:tc>
        <w:tc>
          <w:tcPr/>
          <w:p>
            <w:pPr>
              <w:pStyle w:val="Compact"/>
              <w:jc w:val="left"/>
            </w:pPr>
            <w:r>
              <w:t xml:space="preserve">1.64</w:t>
            </w:r>
          </w:p>
        </w:tc>
        <w:tc>
          <w:tcPr/>
          <w:p>
            <w:pPr>
              <w:pStyle w:val="Compact"/>
              <w:jc w:val="left"/>
            </w:pPr>
            <w:r>
              <w:t xml:space="preserve">1.32-2.03</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Riesgo inminente vs riesgo bajo</w:t>
            </w:r>
          </w:p>
        </w:tc>
        <w:tc>
          <w:tcPr/>
          <w:p>
            <w:pPr>
              <w:pStyle w:val="Compact"/>
              <w:jc w:val="left"/>
            </w:pPr>
            <w:r>
              <w:t xml:space="preserve">1.89</w:t>
            </w:r>
          </w:p>
        </w:tc>
        <w:tc>
          <w:tcPr/>
          <w:p>
            <w:pPr>
              <w:pStyle w:val="Compact"/>
              <w:jc w:val="left"/>
            </w:pPr>
            <w:r>
              <w:t xml:space="preserve">1.33-2.69</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Numero de controles prenatales, por cada control adicional</w:t>
            </w:r>
          </w:p>
        </w:tc>
        <w:tc>
          <w:tcPr/>
          <w:p>
            <w:pPr>
              <w:pStyle w:val="Compact"/>
              <w:jc w:val="left"/>
            </w:pPr>
            <w:r>
              <w:t xml:space="preserve">0.82</w:t>
            </w:r>
          </w:p>
        </w:tc>
        <w:tc>
          <w:tcPr/>
          <w:p>
            <w:pPr>
              <w:pStyle w:val="Compact"/>
              <w:jc w:val="left"/>
            </w:pPr>
            <w:r>
              <w:t xml:space="preserve">0.79-0.85</w:t>
            </w:r>
          </w:p>
        </w:tc>
        <w:tc>
          <w:tcPr/>
          <w:p>
            <w:pPr>
              <w:pStyle w:val="Compact"/>
              <w:jc w:val="left"/>
            </w:pPr>
            <w:r>
              <w:t xml:space="preserve">&lt;0.001</w:t>
            </w:r>
          </w:p>
        </w:tc>
        <w:tc>
          <w:tcPr/>
          <w:p>
            <w:pPr>
              <w:pStyle w:val="Compact"/>
              <w:jc w:val="left"/>
            </w:pPr>
            <w:r>
              <w:t xml:space="preserve">23272</w:t>
            </w:r>
          </w:p>
        </w:tc>
      </w:tr>
    </w:tbl>
    <w:p>
      <w:pPr>
        <w:pStyle w:val="BodyText"/>
      </w:pPr>
      <w:r>
        <w:rPr>
          <w:i/>
          <w:iCs/>
        </w:rPr>
        <w:t xml:space="preserve">Nota: aOR: odds ratio ajustado; IC95%: intervalo de confianza del 95%.</w:t>
      </w:r>
    </w:p>
    <w:p>
      <w:pPr>
        <w:pStyle w:val="BodyText"/>
      </w:pPr>
      <w:r>
        <w:rPr>
          <w:b/>
          <w:bCs/>
        </w:rPr>
        <w:t xml:space="preserve">Tabla 5. Modelo frecuentista obstétrico.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aOR</w:t>
            </w:r>
          </w:p>
        </w:tc>
        <w:tc>
          <w:tcPr/>
          <w:p>
            <w:pPr>
              <w:pStyle w:val="Compact"/>
              <w:jc w:val="left"/>
            </w:pPr>
            <w:r>
              <w:t xml:space="preserve">IC95</w:t>
            </w:r>
          </w:p>
        </w:tc>
        <w:tc>
          <w:tcPr/>
          <w:p>
            <w:pPr>
              <w:pStyle w:val="Compact"/>
              <w:jc w:val="left"/>
            </w:pPr>
            <w:r>
              <w:t xml:space="preserve">p</w:t>
            </w:r>
          </w:p>
        </w:tc>
        <w:tc>
          <w:tcPr/>
          <w:p>
            <w:pPr>
              <w:pStyle w:val="Compact"/>
              <w:jc w:val="left"/>
            </w:pPr>
            <w:r>
              <w:t xml:space="preserve">N_modelo</w:t>
            </w:r>
          </w:p>
        </w:tc>
      </w:tr>
      <w:tr>
        <w:tc>
          <w:tcPr/>
          <w:p>
            <w:pPr>
              <w:pStyle w:val="Compact"/>
              <w:jc w:val="left"/>
            </w:pPr>
            <w:r>
              <w:t xml:space="preserve">Edad materna &lt;20 vs 20-34</w:t>
            </w:r>
          </w:p>
        </w:tc>
        <w:tc>
          <w:tcPr/>
          <w:p>
            <w:pPr>
              <w:pStyle w:val="Compact"/>
              <w:jc w:val="left"/>
            </w:pPr>
            <w:r>
              <w:t xml:space="preserve">1.00</w:t>
            </w:r>
          </w:p>
        </w:tc>
        <w:tc>
          <w:tcPr/>
          <w:p>
            <w:pPr>
              <w:pStyle w:val="Compact"/>
              <w:jc w:val="left"/>
            </w:pPr>
            <w:r>
              <w:t xml:space="preserve">0.51-1.96</w:t>
            </w:r>
          </w:p>
        </w:tc>
        <w:tc>
          <w:tcPr/>
          <w:p>
            <w:pPr>
              <w:pStyle w:val="Compact"/>
              <w:jc w:val="left"/>
            </w:pPr>
            <w:r>
              <w:t xml:space="preserve">0.992</w:t>
            </w:r>
          </w:p>
        </w:tc>
        <w:tc>
          <w:tcPr/>
          <w:p>
            <w:pPr>
              <w:pStyle w:val="Compact"/>
              <w:jc w:val="left"/>
            </w:pPr>
            <w:r>
              <w:t xml:space="preserve">23398</w:t>
            </w:r>
          </w:p>
        </w:tc>
      </w:tr>
      <w:tr>
        <w:tc>
          <w:tcPr/>
          <w:p>
            <w:pPr>
              <w:pStyle w:val="Compact"/>
              <w:jc w:val="left"/>
            </w:pPr>
            <w:r>
              <w:t xml:space="preserve">Edad materna &gt;=35 vs 20-34</w:t>
            </w:r>
          </w:p>
        </w:tc>
        <w:tc>
          <w:tcPr/>
          <w:p>
            <w:pPr>
              <w:pStyle w:val="Compact"/>
              <w:jc w:val="left"/>
            </w:pPr>
            <w:r>
              <w:t xml:space="preserve">1.01</w:t>
            </w:r>
          </w:p>
        </w:tc>
        <w:tc>
          <w:tcPr/>
          <w:p>
            <w:pPr>
              <w:pStyle w:val="Compact"/>
              <w:jc w:val="left"/>
            </w:pPr>
            <w:r>
              <w:t xml:space="preserve">0.82-1.23</w:t>
            </w:r>
          </w:p>
        </w:tc>
        <w:tc>
          <w:tcPr/>
          <w:p>
            <w:pPr>
              <w:pStyle w:val="Compact"/>
              <w:jc w:val="left"/>
            </w:pPr>
            <w:r>
              <w:t xml:space="preserve">0.960</w:t>
            </w:r>
          </w:p>
        </w:tc>
        <w:tc>
          <w:tcPr/>
          <w:p>
            <w:pPr>
              <w:pStyle w:val="Compact"/>
              <w:jc w:val="left"/>
            </w:pPr>
            <w:r>
              <w:t xml:space="preserve">23398</w:t>
            </w:r>
          </w:p>
        </w:tc>
      </w:tr>
      <w:tr>
        <w:tc>
          <w:tcPr/>
          <w:p>
            <w:pPr>
              <w:pStyle w:val="Compact"/>
              <w:jc w:val="left"/>
            </w:pPr>
            <w:r>
              <w:t xml:space="preserve">Preeclampsia vs ningun trastorno hipertensivo</w:t>
            </w:r>
          </w:p>
        </w:tc>
        <w:tc>
          <w:tcPr/>
          <w:p>
            <w:pPr>
              <w:pStyle w:val="Compact"/>
              <w:jc w:val="left"/>
            </w:pPr>
            <w:r>
              <w:t xml:space="preserve">1.00</w:t>
            </w:r>
          </w:p>
        </w:tc>
        <w:tc>
          <w:tcPr/>
          <w:p>
            <w:pPr>
              <w:pStyle w:val="Compact"/>
              <w:jc w:val="left"/>
            </w:pPr>
            <w:r>
              <w:t xml:space="preserve">0.76-1.31</w:t>
            </w:r>
          </w:p>
        </w:tc>
        <w:tc>
          <w:tcPr/>
          <w:p>
            <w:pPr>
              <w:pStyle w:val="Compact"/>
              <w:jc w:val="left"/>
            </w:pPr>
            <w:r>
              <w:t xml:space="preserve">1.000</w:t>
            </w:r>
          </w:p>
        </w:tc>
        <w:tc>
          <w:tcPr/>
          <w:p>
            <w:pPr>
              <w:pStyle w:val="Compact"/>
              <w:jc w:val="left"/>
            </w:pPr>
            <w:r>
              <w:t xml:space="preserve">23398</w:t>
            </w:r>
          </w:p>
        </w:tc>
      </w:tr>
      <w:tr>
        <w:tc>
          <w:tcPr/>
          <w:p>
            <w:pPr>
              <w:pStyle w:val="Compact"/>
              <w:jc w:val="left"/>
            </w:pPr>
            <w:r>
              <w:t xml:space="preserve">HTA inducida por embarazo vs ninguno</w:t>
            </w:r>
          </w:p>
        </w:tc>
        <w:tc>
          <w:tcPr/>
          <w:p>
            <w:pPr>
              <w:pStyle w:val="Compact"/>
              <w:jc w:val="left"/>
            </w:pPr>
            <w:r>
              <w:t xml:space="preserve">0.96</w:t>
            </w:r>
          </w:p>
        </w:tc>
        <w:tc>
          <w:tcPr/>
          <w:p>
            <w:pPr>
              <w:pStyle w:val="Compact"/>
              <w:jc w:val="left"/>
            </w:pPr>
            <w:r>
              <w:t xml:space="preserve">0.57-1.62</w:t>
            </w:r>
          </w:p>
        </w:tc>
        <w:tc>
          <w:tcPr/>
          <w:p>
            <w:pPr>
              <w:pStyle w:val="Compact"/>
              <w:jc w:val="left"/>
            </w:pPr>
            <w:r>
              <w:t xml:space="preserve">0.887</w:t>
            </w:r>
          </w:p>
        </w:tc>
        <w:tc>
          <w:tcPr/>
          <w:p>
            <w:pPr>
              <w:pStyle w:val="Compact"/>
              <w:jc w:val="left"/>
            </w:pPr>
            <w:r>
              <w:t xml:space="preserve">23398</w:t>
            </w:r>
          </w:p>
        </w:tc>
      </w:tr>
      <w:tr>
        <w:tc>
          <w:tcPr/>
          <w:p>
            <w:pPr>
              <w:pStyle w:val="Compact"/>
              <w:jc w:val="left"/>
            </w:pPr>
            <w:r>
              <w:t xml:space="preserve">HTA preexistente vs ninguno</w:t>
            </w:r>
          </w:p>
        </w:tc>
        <w:tc>
          <w:tcPr/>
          <w:p>
            <w:pPr>
              <w:pStyle w:val="Compact"/>
              <w:jc w:val="left"/>
            </w:pPr>
            <w:r>
              <w:t xml:space="preserve">0.75</w:t>
            </w:r>
          </w:p>
        </w:tc>
        <w:tc>
          <w:tcPr/>
          <w:p>
            <w:pPr>
              <w:pStyle w:val="Compact"/>
              <w:jc w:val="left"/>
            </w:pPr>
            <w:r>
              <w:t xml:space="preserve">0.10-5.44</w:t>
            </w:r>
          </w:p>
        </w:tc>
        <w:tc>
          <w:tcPr/>
          <w:p>
            <w:pPr>
              <w:pStyle w:val="Compact"/>
              <w:jc w:val="left"/>
            </w:pPr>
            <w:r>
              <w:t xml:space="preserve">0.778</w:t>
            </w:r>
          </w:p>
        </w:tc>
        <w:tc>
          <w:tcPr/>
          <w:p>
            <w:pPr>
              <w:pStyle w:val="Compact"/>
              <w:jc w:val="left"/>
            </w:pPr>
            <w:r>
              <w:t xml:space="preserve">23398</w:t>
            </w:r>
          </w:p>
        </w:tc>
      </w:tr>
      <w:tr>
        <w:tc>
          <w:tcPr/>
          <w:p>
            <w:pPr>
              <w:pStyle w:val="Compact"/>
              <w:jc w:val="left"/>
            </w:pPr>
            <w:r>
              <w:t xml:space="preserve">Eclampsia vs ningun trastorno hipertensivo</w:t>
            </w:r>
          </w:p>
        </w:tc>
        <w:tc>
          <w:tcPr/>
          <w:p>
            <w:pPr>
              <w:pStyle w:val="Compact"/>
              <w:jc w:val="left"/>
            </w:pPr>
            <w:r>
              <w:t xml:space="preserve">3.37</w:t>
            </w:r>
          </w:p>
        </w:tc>
        <w:tc>
          <w:tcPr/>
          <w:p>
            <w:pPr>
              <w:pStyle w:val="Compact"/>
              <w:jc w:val="left"/>
            </w:pPr>
            <w:r>
              <w:t xml:space="preserve">1.32-8.61</w:t>
            </w:r>
          </w:p>
        </w:tc>
        <w:tc>
          <w:tcPr/>
          <w:p>
            <w:pPr>
              <w:pStyle w:val="Compact"/>
              <w:jc w:val="left"/>
            </w:pPr>
            <w:r>
              <w:t xml:space="preserve">0.011</w:t>
            </w:r>
          </w:p>
        </w:tc>
        <w:tc>
          <w:tcPr/>
          <w:p>
            <w:pPr>
              <w:pStyle w:val="Compact"/>
              <w:jc w:val="left"/>
            </w:pPr>
            <w:r>
              <w:t xml:space="preserve">23398</w:t>
            </w:r>
          </w:p>
        </w:tc>
      </w:tr>
      <w:tr>
        <w:tc>
          <w:tcPr/>
          <w:p>
            <w:pPr>
              <w:pStyle w:val="Compact"/>
              <w:jc w:val="left"/>
            </w:pPr>
            <w:r>
              <w:t xml:space="preserve">RPM si vs no</w:t>
            </w:r>
          </w:p>
        </w:tc>
        <w:tc>
          <w:tcPr/>
          <w:p>
            <w:pPr>
              <w:pStyle w:val="Compact"/>
              <w:jc w:val="left"/>
            </w:pPr>
            <w:r>
              <w:t xml:space="preserve">0.51</w:t>
            </w:r>
          </w:p>
        </w:tc>
        <w:tc>
          <w:tcPr/>
          <w:p>
            <w:pPr>
              <w:pStyle w:val="Compact"/>
              <w:jc w:val="left"/>
            </w:pPr>
            <w:r>
              <w:t xml:space="preserve">0.35-0.74</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DPP si vs no</w:t>
            </w:r>
          </w:p>
        </w:tc>
        <w:tc>
          <w:tcPr/>
          <w:p>
            <w:pPr>
              <w:pStyle w:val="Compact"/>
              <w:jc w:val="left"/>
            </w:pPr>
            <w:r>
              <w:t xml:space="preserve">6.25</w:t>
            </w:r>
          </w:p>
        </w:tc>
        <w:tc>
          <w:tcPr/>
          <w:p>
            <w:pPr>
              <w:pStyle w:val="Compact"/>
              <w:jc w:val="left"/>
            </w:pPr>
            <w:r>
              <w:t xml:space="preserve">3.59-10.87</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Hemorragia si vs no</w:t>
            </w:r>
          </w:p>
        </w:tc>
        <w:tc>
          <w:tcPr/>
          <w:p>
            <w:pPr>
              <w:pStyle w:val="Compact"/>
              <w:jc w:val="left"/>
            </w:pPr>
            <w:r>
              <w:t xml:space="preserve">0.85</w:t>
            </w:r>
          </w:p>
        </w:tc>
        <w:tc>
          <w:tcPr/>
          <w:p>
            <w:pPr>
              <w:pStyle w:val="Compact"/>
              <w:jc w:val="left"/>
            </w:pPr>
            <w:r>
              <w:t xml:space="preserve">0.63-1.16</w:t>
            </w:r>
          </w:p>
        </w:tc>
        <w:tc>
          <w:tcPr/>
          <w:p>
            <w:pPr>
              <w:pStyle w:val="Compact"/>
              <w:jc w:val="left"/>
            </w:pPr>
            <w:r>
              <w:t xml:space="preserve">0.306</w:t>
            </w:r>
          </w:p>
        </w:tc>
        <w:tc>
          <w:tcPr/>
          <w:p>
            <w:pPr>
              <w:pStyle w:val="Compact"/>
              <w:jc w:val="left"/>
            </w:pPr>
            <w:r>
              <w:t xml:space="preserve">23398</w:t>
            </w:r>
          </w:p>
        </w:tc>
      </w:tr>
      <w:tr>
        <w:tc>
          <w:tcPr/>
          <w:p>
            <w:pPr>
              <w:pStyle w:val="Compact"/>
              <w:jc w:val="left"/>
            </w:pPr>
            <w:r>
              <w:t xml:space="preserve">Presentacion de vertice vs no vertice</w:t>
            </w:r>
          </w:p>
        </w:tc>
        <w:tc>
          <w:tcPr/>
          <w:p>
            <w:pPr>
              <w:pStyle w:val="Compact"/>
              <w:jc w:val="left"/>
            </w:pPr>
            <w:r>
              <w:t xml:space="preserve">0.94</w:t>
            </w:r>
          </w:p>
        </w:tc>
        <w:tc>
          <w:tcPr/>
          <w:p>
            <w:pPr>
              <w:pStyle w:val="Compact"/>
              <w:jc w:val="left"/>
            </w:pPr>
            <w:r>
              <w:t xml:space="preserve">0.57-1.56</w:t>
            </w:r>
          </w:p>
        </w:tc>
        <w:tc>
          <w:tcPr/>
          <w:p>
            <w:pPr>
              <w:pStyle w:val="Compact"/>
              <w:jc w:val="left"/>
            </w:pPr>
            <w:r>
              <w:t xml:space="preserve">0.817</w:t>
            </w:r>
          </w:p>
        </w:tc>
        <w:tc>
          <w:tcPr/>
          <w:p>
            <w:pPr>
              <w:pStyle w:val="Compact"/>
              <w:jc w:val="left"/>
            </w:pPr>
            <w:r>
              <w:t xml:space="preserve">23398</w:t>
            </w:r>
          </w:p>
        </w:tc>
      </w:tr>
    </w:tbl>
    <w:p>
      <w:pPr>
        <w:pStyle w:val="BodyText"/>
      </w:pPr>
      <w:r>
        <w:rPr>
          <w:i/>
          <w:iCs/>
        </w:rPr>
        <w:t xml:space="preserve">Nota: aOR: odds ratio ajustado; IC95%: intervalo de confianza del 95%.</w:t>
      </w:r>
    </w:p>
    <w:bookmarkEnd w:id="44"/>
    <w:bookmarkStart w:id="48" w:name="modelo-bayesiano-principal"/>
    <w:p>
      <w:pPr>
        <w:pStyle w:val="Heading2"/>
      </w:pPr>
      <w:r>
        <w:t xml:space="preserve">4.6 Modelo bayesiano principal</w:t>
      </w:r>
    </w:p>
    <w:p>
      <w:pPr>
        <w:pStyle w:val="FirstParagraph"/>
      </w:pPr>
      <w:r>
        <w:t xml:space="preserve">El modelo principal incluyó 23.095 registros y 468 eventos. Se observaron asociaciones negativas para acompañamiento (OR posterior 0,71; CrI95% 0,58–0,86; P[OR&lt;1]=1,000), controles por una desviación estándar (OR 0,62; CrI95% 0,57–0,68; P[OR&lt;1]=1,000) y sesiones por una desviación estándar (OR 0,76; CrI95% 0,68–0,84; P[OR&lt;1]=1,000). Para IVU, la mediana fue 0,51, con CrI95% 0,20–1,12 y P(OR&lt;1)=0,950. Para eclampsia, el OR fue 1,67 (CrI95% 0,62–3,89; P[OR&gt;1]=0,853). Las restantes estimaciones se presentan en la Tabla 6.</w:t>
      </w:r>
    </w:p>
    <w:p>
      <w:pPr>
        <w:pStyle w:val="BodyText"/>
      </w:pPr>
      <w:r>
        <w:rPr>
          <w:b/>
          <w:bCs/>
        </w:rPr>
        <w:t xml:space="preserve">Tabla 6. Modelo bayesiano principal.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0,95 (0,48–1,67)</w:t>
            </w:r>
          </w:p>
        </w:tc>
        <w:tc>
          <w:tcPr/>
          <w:p>
            <w:pPr>
              <w:pStyle w:val="Compact"/>
              <w:jc w:val="left"/>
            </w:pPr>
            <w:r>
              <w:t xml:space="preserve">0,432</w:t>
            </w:r>
          </w:p>
        </w:tc>
        <w:tc>
          <w:tcPr/>
          <w:p>
            <w:pPr>
              <w:pStyle w:val="Compact"/>
              <w:jc w:val="left"/>
            </w:pPr>
            <w:r>
              <w:t xml:space="preserve">0,568</w:t>
            </w:r>
          </w:p>
        </w:tc>
        <w:tc>
          <w:tcPr/>
          <w:p>
            <w:pPr>
              <w:pStyle w:val="Compact"/>
              <w:jc w:val="left"/>
            </w:pPr>
            <w:r>
              <w:t xml:space="preserve">23095</w:t>
            </w:r>
          </w:p>
        </w:tc>
      </w:tr>
      <w:tr>
        <w:tc>
          <w:tcPr/>
          <w:p>
            <w:pPr>
              <w:pStyle w:val="Compact"/>
              <w:jc w:val="left"/>
            </w:pPr>
            <w:r>
              <w:t xml:space="preserve">EDAD_CAT&gt;EQ35</w:t>
            </w:r>
          </w:p>
        </w:tc>
        <w:tc>
          <w:tcPr/>
          <w:p>
            <w:pPr>
              <w:pStyle w:val="Compact"/>
              <w:jc w:val="left"/>
            </w:pPr>
            <w:r>
              <w:t xml:space="preserve">1,03 (0,83–1,27)</w:t>
            </w:r>
          </w:p>
        </w:tc>
        <w:tc>
          <w:tcPr/>
          <w:p>
            <w:pPr>
              <w:pStyle w:val="Compact"/>
              <w:jc w:val="left"/>
            </w:pPr>
            <w:r>
              <w:t xml:space="preserve">0,600</w:t>
            </w:r>
          </w:p>
        </w:tc>
        <w:tc>
          <w:tcPr/>
          <w:p>
            <w:pPr>
              <w:pStyle w:val="Compact"/>
              <w:jc w:val="left"/>
            </w:pPr>
            <w:r>
              <w:t xml:space="preserve">0,400</w:t>
            </w:r>
          </w:p>
        </w:tc>
        <w:tc>
          <w:tcPr/>
          <w:p>
            <w:pPr>
              <w:pStyle w:val="Compact"/>
              <w:jc w:val="left"/>
            </w:pPr>
            <w:r>
              <w:t xml:space="preserve">23095</w:t>
            </w:r>
          </w:p>
        </w:tc>
      </w:tr>
      <w:tr>
        <w:tc>
          <w:tcPr/>
          <w:p>
            <w:pPr>
              <w:pStyle w:val="Compact"/>
              <w:jc w:val="left"/>
            </w:pPr>
            <w:r>
              <w:t xml:space="preserve">Preeclampsia vs ninguno</w:t>
            </w:r>
          </w:p>
        </w:tc>
        <w:tc>
          <w:tcPr/>
          <w:p>
            <w:pPr>
              <w:pStyle w:val="Compact"/>
              <w:jc w:val="left"/>
            </w:pPr>
            <w:r>
              <w:t xml:space="preserve">1,08 (0,82–1,40)</w:t>
            </w:r>
          </w:p>
        </w:tc>
        <w:tc>
          <w:tcPr/>
          <w:p>
            <w:pPr>
              <w:pStyle w:val="Compact"/>
              <w:jc w:val="left"/>
            </w:pPr>
            <w:r>
              <w:t xml:space="preserve">0,712</w:t>
            </w:r>
          </w:p>
        </w:tc>
        <w:tc>
          <w:tcPr/>
          <w:p>
            <w:pPr>
              <w:pStyle w:val="Compact"/>
              <w:jc w:val="left"/>
            </w:pPr>
            <w:r>
              <w:t xml:space="preserve">0,288</w:t>
            </w:r>
          </w:p>
        </w:tc>
        <w:tc>
          <w:tcPr/>
          <w:p>
            <w:pPr>
              <w:pStyle w:val="Compact"/>
              <w:jc w:val="left"/>
            </w:pPr>
            <w:r>
              <w:t xml:space="preserve">23095</w:t>
            </w:r>
          </w:p>
        </w:tc>
      </w:tr>
      <w:tr>
        <w:tc>
          <w:tcPr/>
          <w:p>
            <w:pPr>
              <w:pStyle w:val="Compact"/>
              <w:jc w:val="left"/>
            </w:pPr>
            <w:r>
              <w:t xml:space="preserve">HTA inducida por embarazo vs ninguno</w:t>
            </w:r>
          </w:p>
        </w:tc>
        <w:tc>
          <w:tcPr/>
          <w:p>
            <w:pPr>
              <w:pStyle w:val="Compact"/>
              <w:jc w:val="left"/>
            </w:pPr>
            <w:r>
              <w:t xml:space="preserve">1,04 (0,60–1,66)</w:t>
            </w:r>
          </w:p>
        </w:tc>
        <w:tc>
          <w:tcPr/>
          <w:p>
            <w:pPr>
              <w:pStyle w:val="Compact"/>
              <w:jc w:val="left"/>
            </w:pPr>
            <w:r>
              <w:t xml:space="preserve">0,554</w:t>
            </w:r>
          </w:p>
        </w:tc>
        <w:tc>
          <w:tcPr/>
          <w:p>
            <w:pPr>
              <w:pStyle w:val="Compact"/>
              <w:jc w:val="left"/>
            </w:pPr>
            <w:r>
              <w:t xml:space="preserve">0,446</w:t>
            </w:r>
          </w:p>
        </w:tc>
        <w:tc>
          <w:tcPr/>
          <w:p>
            <w:pPr>
              <w:pStyle w:val="Compact"/>
              <w:jc w:val="left"/>
            </w:pPr>
            <w:r>
              <w:t xml:space="preserve">23095</w:t>
            </w:r>
          </w:p>
        </w:tc>
      </w:tr>
      <w:tr>
        <w:tc>
          <w:tcPr/>
          <w:p>
            <w:pPr>
              <w:pStyle w:val="Compact"/>
              <w:jc w:val="left"/>
            </w:pPr>
            <w:r>
              <w:t xml:space="preserve">HTA preexistente vs ninguno</w:t>
            </w:r>
          </w:p>
        </w:tc>
        <w:tc>
          <w:tcPr/>
          <w:p>
            <w:pPr>
              <w:pStyle w:val="Compact"/>
              <w:jc w:val="left"/>
            </w:pPr>
            <w:r>
              <w:t xml:space="preserve">0,86 (0,27–2,39)</w:t>
            </w:r>
          </w:p>
        </w:tc>
        <w:tc>
          <w:tcPr/>
          <w:p>
            <w:pPr>
              <w:pStyle w:val="Compact"/>
              <w:jc w:val="left"/>
            </w:pPr>
            <w:r>
              <w:t xml:space="preserve">0,391</w:t>
            </w:r>
          </w:p>
        </w:tc>
        <w:tc>
          <w:tcPr/>
          <w:p>
            <w:pPr>
              <w:pStyle w:val="Compact"/>
              <w:jc w:val="left"/>
            </w:pPr>
            <w:r>
              <w:t xml:space="preserve">0,610</w:t>
            </w:r>
          </w:p>
        </w:tc>
        <w:tc>
          <w:tcPr/>
          <w:p>
            <w:pPr>
              <w:pStyle w:val="Compact"/>
              <w:jc w:val="left"/>
            </w:pPr>
            <w:r>
              <w:t xml:space="preserve">23095</w:t>
            </w:r>
          </w:p>
        </w:tc>
      </w:tr>
      <w:tr>
        <w:tc>
          <w:tcPr/>
          <w:p>
            <w:pPr>
              <w:pStyle w:val="Compact"/>
              <w:jc w:val="left"/>
            </w:pPr>
            <w:r>
              <w:t xml:space="preserve">Eclampsia vs ningún trastorno hipertensivo</w:t>
            </w:r>
          </w:p>
        </w:tc>
        <w:tc>
          <w:tcPr/>
          <w:p>
            <w:pPr>
              <w:pStyle w:val="Compact"/>
              <w:jc w:val="left"/>
            </w:pPr>
            <w:r>
              <w:t xml:space="preserve">1,67 (0,62–3,89)</w:t>
            </w:r>
          </w:p>
        </w:tc>
        <w:tc>
          <w:tcPr/>
          <w:p>
            <w:pPr>
              <w:pStyle w:val="Compact"/>
              <w:jc w:val="left"/>
            </w:pPr>
            <w:r>
              <w:t xml:space="preserve">0,853</w:t>
            </w:r>
          </w:p>
        </w:tc>
        <w:tc>
          <w:tcPr/>
          <w:p>
            <w:pPr>
              <w:pStyle w:val="Compact"/>
              <w:jc w:val="left"/>
            </w:pPr>
            <w:r>
              <w:t xml:space="preserve">0,147</w:t>
            </w:r>
          </w:p>
        </w:tc>
        <w:tc>
          <w:tcPr/>
          <w:p>
            <w:pPr>
              <w:pStyle w:val="Compact"/>
              <w:jc w:val="left"/>
            </w:pPr>
            <w:r>
              <w:t xml:space="preserve">23095</w:t>
            </w:r>
          </w:p>
        </w:tc>
      </w:tr>
      <w:tr>
        <w:tc>
          <w:tcPr/>
          <w:p>
            <w:pPr>
              <w:pStyle w:val="Compact"/>
              <w:jc w:val="left"/>
            </w:pPr>
            <w:r>
              <w:t xml:space="preserve">Pareja estable sí vs no</w:t>
            </w:r>
          </w:p>
        </w:tc>
        <w:tc>
          <w:tcPr/>
          <w:p>
            <w:pPr>
              <w:pStyle w:val="Compact"/>
              <w:jc w:val="left"/>
            </w:pPr>
            <w:r>
              <w:t xml:space="preserve">0,95 (0,77–1,17)</w:t>
            </w:r>
          </w:p>
        </w:tc>
        <w:tc>
          <w:tcPr/>
          <w:p>
            <w:pPr>
              <w:pStyle w:val="Compact"/>
              <w:jc w:val="left"/>
            </w:pPr>
            <w:r>
              <w:t xml:space="preserve">0,327</w:t>
            </w:r>
          </w:p>
        </w:tc>
        <w:tc>
          <w:tcPr/>
          <w:p>
            <w:pPr>
              <w:pStyle w:val="Compact"/>
              <w:jc w:val="left"/>
            </w:pPr>
            <w:r>
              <w:t xml:space="preserve">0,673</w:t>
            </w:r>
          </w:p>
        </w:tc>
        <w:tc>
          <w:tcPr/>
          <w:p>
            <w:pPr>
              <w:pStyle w:val="Compact"/>
              <w:jc w:val="left"/>
            </w:pPr>
            <w:r>
              <w:t xml:space="preserve">23095</w:t>
            </w:r>
          </w:p>
        </w:tc>
      </w:tr>
      <w:tr>
        <w:tc>
          <w:tcPr/>
          <w:p>
            <w:pPr>
              <w:pStyle w:val="Compact"/>
              <w:jc w:val="left"/>
            </w:pPr>
            <w:r>
              <w:t xml:space="preserve">Ninguna instrucción vs secundaria</w:t>
            </w:r>
          </w:p>
        </w:tc>
        <w:tc>
          <w:tcPr/>
          <w:p>
            <w:pPr>
              <w:pStyle w:val="Compact"/>
              <w:jc w:val="left"/>
            </w:pPr>
            <w:r>
              <w:t xml:space="preserve">0,93 (0,53–1,51)</w:t>
            </w:r>
          </w:p>
        </w:tc>
        <w:tc>
          <w:tcPr/>
          <w:p>
            <w:pPr>
              <w:pStyle w:val="Compact"/>
              <w:jc w:val="left"/>
            </w:pPr>
            <w:r>
              <w:t xml:space="preserve">0,384</w:t>
            </w:r>
          </w:p>
        </w:tc>
        <w:tc>
          <w:tcPr/>
          <w:p>
            <w:pPr>
              <w:pStyle w:val="Compact"/>
              <w:jc w:val="left"/>
            </w:pPr>
            <w:r>
              <w:t xml:space="preserve">0,616</w:t>
            </w:r>
          </w:p>
        </w:tc>
        <w:tc>
          <w:tcPr/>
          <w:p>
            <w:pPr>
              <w:pStyle w:val="Compact"/>
              <w:jc w:val="left"/>
            </w:pPr>
            <w:r>
              <w:t xml:space="preserve">23095</w:t>
            </w:r>
          </w:p>
        </w:tc>
      </w:tr>
      <w:tr>
        <w:tc>
          <w:tcPr/>
          <w:p>
            <w:pPr>
              <w:pStyle w:val="Compact"/>
              <w:jc w:val="left"/>
            </w:pPr>
            <w:r>
              <w:t xml:space="preserve">Primaria vs secundaria</w:t>
            </w:r>
          </w:p>
        </w:tc>
        <w:tc>
          <w:tcPr/>
          <w:p>
            <w:pPr>
              <w:pStyle w:val="Compact"/>
              <w:jc w:val="left"/>
            </w:pPr>
            <w:r>
              <w:t xml:space="preserve">0,97 (0,80–1,19)</w:t>
            </w:r>
          </w:p>
        </w:tc>
        <w:tc>
          <w:tcPr/>
          <w:p>
            <w:pPr>
              <w:pStyle w:val="Compact"/>
              <w:jc w:val="left"/>
            </w:pPr>
            <w:r>
              <w:t xml:space="preserve">0,397</w:t>
            </w:r>
          </w:p>
        </w:tc>
        <w:tc>
          <w:tcPr/>
          <w:p>
            <w:pPr>
              <w:pStyle w:val="Compact"/>
              <w:jc w:val="left"/>
            </w:pPr>
            <w:r>
              <w:t xml:space="preserve">0,603</w:t>
            </w:r>
          </w:p>
        </w:tc>
        <w:tc>
          <w:tcPr/>
          <w:p>
            <w:pPr>
              <w:pStyle w:val="Compact"/>
              <w:jc w:val="left"/>
            </w:pPr>
            <w:r>
              <w:t xml:space="preserve">23095</w:t>
            </w:r>
          </w:p>
        </w:tc>
      </w:tr>
      <w:tr>
        <w:tc>
          <w:tcPr/>
          <w:p>
            <w:pPr>
              <w:pStyle w:val="Compact"/>
              <w:jc w:val="left"/>
            </w:pPr>
            <w:r>
              <w:t xml:space="preserve">Superior vs secundaria</w:t>
            </w:r>
          </w:p>
        </w:tc>
        <w:tc>
          <w:tcPr/>
          <w:p>
            <w:pPr>
              <w:pStyle w:val="Compact"/>
              <w:jc w:val="left"/>
            </w:pPr>
            <w:r>
              <w:t xml:space="preserve">1,13 (0,80–1,56)</w:t>
            </w:r>
          </w:p>
        </w:tc>
        <w:tc>
          <w:tcPr/>
          <w:p>
            <w:pPr>
              <w:pStyle w:val="Compact"/>
              <w:jc w:val="left"/>
            </w:pPr>
            <w:r>
              <w:t xml:space="preserve">0,771</w:t>
            </w:r>
          </w:p>
        </w:tc>
        <w:tc>
          <w:tcPr/>
          <w:p>
            <w:pPr>
              <w:pStyle w:val="Compact"/>
              <w:jc w:val="left"/>
            </w:pPr>
            <w:r>
              <w:t xml:space="preserve">0,229</w:t>
            </w:r>
          </w:p>
        </w:tc>
        <w:tc>
          <w:tcPr/>
          <w:p>
            <w:pPr>
              <w:pStyle w:val="Compact"/>
              <w:jc w:val="left"/>
            </w:pPr>
            <w:r>
              <w:t xml:space="preserve">23095</w:t>
            </w:r>
          </w:p>
        </w:tc>
      </w:tr>
      <w:tr>
        <w:tc>
          <w:tcPr/>
          <w:p>
            <w:pPr>
              <w:pStyle w:val="Compact"/>
              <w:jc w:val="left"/>
            </w:pPr>
            <w:r>
              <w:t xml:space="preserve">Acompañada vs sola</w:t>
            </w:r>
          </w:p>
        </w:tc>
        <w:tc>
          <w:tcPr/>
          <w:p>
            <w:pPr>
              <w:pStyle w:val="Compact"/>
              <w:jc w:val="left"/>
            </w:pPr>
            <w:r>
              <w:t xml:space="preserve">0,71 (0,58–0,86)</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Controles prenatales, por 1 DE adicional</w:t>
            </w:r>
          </w:p>
        </w:tc>
        <w:tc>
          <w:tcPr/>
          <w:p>
            <w:pPr>
              <w:pStyle w:val="Compact"/>
              <w:jc w:val="left"/>
            </w:pPr>
            <w:r>
              <w:t xml:space="preserve">0,62 (0,57–0,68)</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Sesiones de psicoprofilaxis, por 1 DE adicional</w:t>
            </w:r>
          </w:p>
        </w:tc>
        <w:tc>
          <w:tcPr/>
          <w:p>
            <w:pPr>
              <w:pStyle w:val="Compact"/>
              <w:jc w:val="left"/>
            </w:pPr>
            <w:r>
              <w:t xml:space="preserve">0,76 (0,68–0,84)</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23095</w:t>
            </w:r>
          </w:p>
        </w:tc>
      </w:tr>
      <w:tr>
        <w:tc>
          <w:tcPr/>
          <w:p>
            <w:pPr>
              <w:pStyle w:val="Compact"/>
              <w:jc w:val="left"/>
            </w:pPr>
            <w:r>
              <w:t xml:space="preserve">IVU sí vs no</w:t>
            </w:r>
          </w:p>
        </w:tc>
        <w:tc>
          <w:tcPr/>
          <w:p>
            <w:pPr>
              <w:pStyle w:val="Compact"/>
              <w:jc w:val="left"/>
            </w:pPr>
            <w:r>
              <w:t xml:space="preserve">0,51 (0,20–1,12)</w:t>
            </w:r>
          </w:p>
        </w:tc>
        <w:tc>
          <w:tcPr/>
          <w:p>
            <w:pPr>
              <w:pStyle w:val="Compact"/>
              <w:jc w:val="left"/>
            </w:pPr>
            <w:r>
              <w:t xml:space="preserve">0,050</w:t>
            </w:r>
          </w:p>
        </w:tc>
        <w:tc>
          <w:tcPr/>
          <w:p>
            <w:pPr>
              <w:pStyle w:val="Compact"/>
              <w:jc w:val="left"/>
            </w:pPr>
            <w:r>
              <w:t xml:space="preserve">0,950</w:t>
            </w:r>
          </w:p>
        </w:tc>
        <w:tc>
          <w:tcPr/>
          <w:p>
            <w:pPr>
              <w:pStyle w:val="Compact"/>
              <w:jc w:val="left"/>
            </w:pPr>
            <w:r>
              <w:t xml:space="preserve">23095</w:t>
            </w:r>
          </w:p>
        </w:tc>
      </w:tr>
    </w:tbl>
    <w:p>
      <w:pPr>
        <w:pStyle w:val="BodyText"/>
      </w:pPr>
      <w:r>
        <w:rPr>
          <w:i/>
          <w:iCs/>
        </w:rPr>
        <w:t xml:space="preserve">Nota: Estimaciones: medianas posteriores; CrI95%: intervalo creíble del 95%. Los predictores continuos se expresan por 1 DE.</w:t>
      </w:r>
    </w:p>
    <w:p>
      <w:pPr>
        <w:pStyle w:val="CaptionedFigure"/>
      </w:pPr>
      <w:r>
        <w:drawing>
          <wp:inline>
            <wp:extent cx="4533900" cy="3274483"/>
            <wp:effectExtent b="0" l="0" r="0" t="0"/>
            <wp:docPr descr="Figura 1. Forest plot del modelo bayesiano principal" title="" id="46" name="Picture"/>
            <a:graphic>
              <a:graphicData uri="http://schemas.openxmlformats.org/drawingml/2006/picture">
                <pic:pic>
                  <pic:nvPicPr>
                    <pic:cNvPr descr="figuras/FOREST_BAYES_PRINCIPAL.png" id="47" name="Picture"/>
                    <pic:cNvPicPr>
                      <a:picLocks noChangeArrowheads="1" noChangeAspect="1"/>
                    </pic:cNvPicPr>
                  </pic:nvPicPr>
                  <pic:blipFill>
                    <a:blip r:embed="rId45"/>
                    <a:stretch>
                      <a:fillRect/>
                    </a:stretch>
                  </pic:blipFill>
                  <pic:spPr bwMode="auto">
                    <a:xfrm>
                      <a:off x="0" y="0"/>
                      <a:ext cx="4533900" cy="3274483"/>
                    </a:xfrm>
                    <a:prstGeom prst="rect">
                      <a:avLst/>
                    </a:prstGeom>
                    <a:noFill/>
                    <a:ln w="9525">
                      <a:noFill/>
                      <a:headEnd/>
                      <a:tailEnd/>
                    </a:ln>
                  </pic:spPr>
                </pic:pic>
              </a:graphicData>
            </a:graphic>
          </wp:inline>
        </w:drawing>
      </w:r>
    </w:p>
    <w:p>
      <w:pPr>
        <w:pStyle w:val="ImageCaption"/>
      </w:pPr>
      <w:r>
        <w:t xml:space="preserve">Figura 1. Forest plot del modelo bayesiano principal</w:t>
      </w:r>
    </w:p>
    <w:p>
      <w:pPr>
        <w:pStyle w:val="BodyText"/>
      </w:pPr>
      <w:r>
        <w:rPr>
          <w:i/>
          <w:iCs/>
        </w:rPr>
        <w:t xml:space="preserve">Figura 1. Forest plot del modelo bayesiano principal. La línea vertical en OR=1 representa ausencia de asociación; los puntos son medianas posteriores y las barras CrI95%.</w:t>
      </w:r>
    </w:p>
    <w:bookmarkEnd w:id="48"/>
    <w:bookmarkStart w:id="52" w:name="modelo-clínico-bayesiano"/>
    <w:p>
      <w:pPr>
        <w:pStyle w:val="Heading2"/>
      </w:pPr>
      <w:r>
        <w:t xml:space="preserve">4.7 Modelo clínico bayesiano</w:t>
      </w:r>
    </w:p>
    <w:p>
      <w:pPr>
        <w:pStyle w:val="FirstParagraph"/>
      </w:pPr>
      <w:r>
        <w:t xml:space="preserve">Riesgo alto se asoció con mayores odds (OR posterior 1,60; CrI95% 1,29–1,98; P[OR&gt;1]=1,000) y riesgo inminente mostró una asociación positiva de mayor magnitud (OR 1,81; CrI95% 1,29–2,51; P[OR&gt;1]=1,000). Estas variables se interpretaron como marcadores de gravedad clínica al ingreso.</w:t>
      </w:r>
    </w:p>
    <w:p>
      <w:pPr>
        <w:pStyle w:val="BodyText"/>
      </w:pPr>
      <w:r>
        <w:rPr>
          <w:b/>
          <w:bCs/>
        </w:rPr>
        <w:t xml:space="preserve">Tabla 7. Modelo bayesiano clínico al ingreso.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0,90 (0,47–1,61)</w:t>
            </w:r>
          </w:p>
        </w:tc>
        <w:tc>
          <w:tcPr/>
          <w:p>
            <w:pPr>
              <w:pStyle w:val="Compact"/>
              <w:jc w:val="left"/>
            </w:pPr>
            <w:r>
              <w:t xml:space="preserve">0,373</w:t>
            </w:r>
          </w:p>
        </w:tc>
        <w:tc>
          <w:tcPr/>
          <w:p>
            <w:pPr>
              <w:pStyle w:val="Compact"/>
              <w:jc w:val="left"/>
            </w:pPr>
            <w:r>
              <w:t xml:space="preserve">0,627</w:t>
            </w:r>
          </w:p>
        </w:tc>
        <w:tc>
          <w:tcPr/>
          <w:p>
            <w:pPr>
              <w:pStyle w:val="Compact"/>
              <w:jc w:val="left"/>
            </w:pPr>
            <w:r>
              <w:t xml:space="preserve">23272</w:t>
            </w:r>
          </w:p>
        </w:tc>
      </w:tr>
      <w:tr>
        <w:tc>
          <w:tcPr/>
          <w:p>
            <w:pPr>
              <w:pStyle w:val="Compact"/>
              <w:jc w:val="left"/>
            </w:pPr>
            <w:r>
              <w:t xml:space="preserve">EDAD_CAT&gt;EQ35</w:t>
            </w:r>
          </w:p>
        </w:tc>
        <w:tc>
          <w:tcPr/>
          <w:p>
            <w:pPr>
              <w:pStyle w:val="Compact"/>
              <w:jc w:val="left"/>
            </w:pPr>
            <w:r>
              <w:t xml:space="preserve">1,08 (0,88–1,32)</w:t>
            </w:r>
          </w:p>
        </w:tc>
        <w:tc>
          <w:tcPr/>
          <w:p>
            <w:pPr>
              <w:pStyle w:val="Compact"/>
              <w:jc w:val="left"/>
            </w:pPr>
            <w:r>
              <w:t xml:space="preserve">0,770</w:t>
            </w:r>
          </w:p>
        </w:tc>
        <w:tc>
          <w:tcPr/>
          <w:p>
            <w:pPr>
              <w:pStyle w:val="Compact"/>
              <w:jc w:val="left"/>
            </w:pPr>
            <w:r>
              <w:t xml:space="preserve">0,230</w:t>
            </w:r>
          </w:p>
        </w:tc>
        <w:tc>
          <w:tcPr/>
          <w:p>
            <w:pPr>
              <w:pStyle w:val="Compact"/>
              <w:jc w:val="left"/>
            </w:pPr>
            <w:r>
              <w:t xml:space="preserve">23272</w:t>
            </w:r>
          </w:p>
        </w:tc>
      </w:tr>
      <w:tr>
        <w:tc>
          <w:tcPr/>
          <w:p>
            <w:pPr>
              <w:pStyle w:val="Compact"/>
              <w:jc w:val="left"/>
            </w:pPr>
            <w:r>
              <w:t xml:space="preserve">Preeclampsia vs ninguno</w:t>
            </w:r>
          </w:p>
        </w:tc>
        <w:tc>
          <w:tcPr/>
          <w:p>
            <w:pPr>
              <w:pStyle w:val="Compact"/>
              <w:jc w:val="left"/>
            </w:pPr>
            <w:r>
              <w:t xml:space="preserve">0,88 (0,62–1,24)</w:t>
            </w:r>
          </w:p>
        </w:tc>
        <w:tc>
          <w:tcPr/>
          <w:p>
            <w:pPr>
              <w:pStyle w:val="Compact"/>
              <w:jc w:val="left"/>
            </w:pPr>
            <w:r>
              <w:t xml:space="preserve">0,229</w:t>
            </w:r>
          </w:p>
        </w:tc>
        <w:tc>
          <w:tcPr/>
          <w:p>
            <w:pPr>
              <w:pStyle w:val="Compact"/>
              <w:jc w:val="left"/>
            </w:pPr>
            <w:r>
              <w:t xml:space="preserve">0,771</w:t>
            </w:r>
          </w:p>
        </w:tc>
        <w:tc>
          <w:tcPr/>
          <w:p>
            <w:pPr>
              <w:pStyle w:val="Compact"/>
              <w:jc w:val="left"/>
            </w:pPr>
            <w:r>
              <w:t xml:space="preserve">23272</w:t>
            </w:r>
          </w:p>
        </w:tc>
      </w:tr>
      <w:tr>
        <w:tc>
          <w:tcPr/>
          <w:p>
            <w:pPr>
              <w:pStyle w:val="Compact"/>
              <w:jc w:val="left"/>
            </w:pPr>
            <w:r>
              <w:t xml:space="preserve">HTA inducida por embarazo vs ninguno</w:t>
            </w:r>
          </w:p>
        </w:tc>
        <w:tc>
          <w:tcPr/>
          <w:p>
            <w:pPr>
              <w:pStyle w:val="Compact"/>
              <w:jc w:val="left"/>
            </w:pPr>
            <w:r>
              <w:t xml:space="preserve">0,85 (0,50–1,40)</w:t>
            </w:r>
          </w:p>
        </w:tc>
        <w:tc>
          <w:tcPr/>
          <w:p>
            <w:pPr>
              <w:pStyle w:val="Compact"/>
              <w:jc w:val="left"/>
            </w:pPr>
            <w:r>
              <w:t xml:space="preserve">0,263</w:t>
            </w:r>
          </w:p>
        </w:tc>
        <w:tc>
          <w:tcPr/>
          <w:p>
            <w:pPr>
              <w:pStyle w:val="Compact"/>
              <w:jc w:val="left"/>
            </w:pPr>
            <w:r>
              <w:t xml:space="preserve">0,737</w:t>
            </w:r>
          </w:p>
        </w:tc>
        <w:tc>
          <w:tcPr/>
          <w:p>
            <w:pPr>
              <w:pStyle w:val="Compact"/>
              <w:jc w:val="left"/>
            </w:pPr>
            <w:r>
              <w:t xml:space="preserve">23272</w:t>
            </w:r>
          </w:p>
        </w:tc>
      </w:tr>
      <w:tr>
        <w:tc>
          <w:tcPr/>
          <w:p>
            <w:pPr>
              <w:pStyle w:val="Compact"/>
              <w:jc w:val="left"/>
            </w:pPr>
            <w:r>
              <w:t xml:space="preserve">HTA preexistente vs ninguno</w:t>
            </w:r>
          </w:p>
        </w:tc>
        <w:tc>
          <w:tcPr/>
          <w:p>
            <w:pPr>
              <w:pStyle w:val="Compact"/>
              <w:jc w:val="left"/>
            </w:pPr>
            <w:r>
              <w:t xml:space="preserve">0,79 (0,26–2,08)</w:t>
            </w:r>
          </w:p>
        </w:tc>
        <w:tc>
          <w:tcPr/>
          <w:p>
            <w:pPr>
              <w:pStyle w:val="Compact"/>
              <w:jc w:val="left"/>
            </w:pPr>
            <w:r>
              <w:t xml:space="preserve">0,328</w:t>
            </w:r>
          </w:p>
        </w:tc>
        <w:tc>
          <w:tcPr/>
          <w:p>
            <w:pPr>
              <w:pStyle w:val="Compact"/>
              <w:jc w:val="left"/>
            </w:pPr>
            <w:r>
              <w:t xml:space="preserve">0,672</w:t>
            </w:r>
          </w:p>
        </w:tc>
        <w:tc>
          <w:tcPr/>
          <w:p>
            <w:pPr>
              <w:pStyle w:val="Compact"/>
              <w:jc w:val="left"/>
            </w:pPr>
            <w:r>
              <w:t xml:space="preserve">23272</w:t>
            </w:r>
          </w:p>
        </w:tc>
      </w:tr>
      <w:tr>
        <w:tc>
          <w:tcPr/>
          <w:p>
            <w:pPr>
              <w:pStyle w:val="Compact"/>
              <w:jc w:val="left"/>
            </w:pPr>
            <w:r>
              <w:t xml:space="preserve">Eclampsia vs ningún trastorno hipertensivo</w:t>
            </w:r>
          </w:p>
        </w:tc>
        <w:tc>
          <w:tcPr/>
          <w:p>
            <w:pPr>
              <w:pStyle w:val="Compact"/>
              <w:jc w:val="left"/>
            </w:pPr>
            <w:r>
              <w:t xml:space="preserve">1,78 (0,72–3,98)</w:t>
            </w:r>
          </w:p>
        </w:tc>
        <w:tc>
          <w:tcPr/>
          <w:p>
            <w:pPr>
              <w:pStyle w:val="Compact"/>
              <w:jc w:val="left"/>
            </w:pPr>
            <w:r>
              <w:t xml:space="preserve">0,898</w:t>
            </w:r>
          </w:p>
        </w:tc>
        <w:tc>
          <w:tcPr/>
          <w:p>
            <w:pPr>
              <w:pStyle w:val="Compact"/>
              <w:jc w:val="left"/>
            </w:pPr>
            <w:r>
              <w:t xml:space="preserve">0,102</w:t>
            </w:r>
          </w:p>
        </w:tc>
        <w:tc>
          <w:tcPr/>
          <w:p>
            <w:pPr>
              <w:pStyle w:val="Compact"/>
              <w:jc w:val="left"/>
            </w:pPr>
            <w:r>
              <w:t xml:space="preserve">23272</w:t>
            </w:r>
          </w:p>
        </w:tc>
      </w:tr>
      <w:tr>
        <w:tc>
          <w:tcPr/>
          <w:p>
            <w:pPr>
              <w:pStyle w:val="Compact"/>
              <w:jc w:val="left"/>
            </w:pPr>
            <w:r>
              <w:t xml:space="preserve">IVU sí vs no</w:t>
            </w:r>
          </w:p>
        </w:tc>
        <w:tc>
          <w:tcPr/>
          <w:p>
            <w:pPr>
              <w:pStyle w:val="Compact"/>
              <w:jc w:val="left"/>
            </w:pPr>
            <w:r>
              <w:t xml:space="preserve">0,47 (0,18–1,03)</w:t>
            </w:r>
          </w:p>
        </w:tc>
        <w:tc>
          <w:tcPr/>
          <w:p>
            <w:pPr>
              <w:pStyle w:val="Compact"/>
              <w:jc w:val="left"/>
            </w:pPr>
            <w:r>
              <w:t xml:space="preserve">0,030</w:t>
            </w:r>
          </w:p>
        </w:tc>
        <w:tc>
          <w:tcPr/>
          <w:p>
            <w:pPr>
              <w:pStyle w:val="Compact"/>
              <w:jc w:val="left"/>
            </w:pPr>
            <w:r>
              <w:t xml:space="preserve">0,970</w:t>
            </w:r>
          </w:p>
        </w:tc>
        <w:tc>
          <w:tcPr/>
          <w:p>
            <w:pPr>
              <w:pStyle w:val="Compact"/>
              <w:jc w:val="left"/>
            </w:pPr>
            <w:r>
              <w:t xml:space="preserve">23272</w:t>
            </w:r>
          </w:p>
        </w:tc>
      </w:tr>
      <w:tr>
        <w:tc>
          <w:tcPr/>
          <w:p>
            <w:pPr>
              <w:pStyle w:val="Compact"/>
              <w:jc w:val="left"/>
            </w:pPr>
            <w:r>
              <w:t xml:space="preserve">Riesgo alto vs riesgo bajo</w:t>
            </w:r>
          </w:p>
        </w:tc>
        <w:tc>
          <w:tcPr/>
          <w:p>
            <w:pPr>
              <w:pStyle w:val="Compact"/>
              <w:jc w:val="left"/>
            </w:pPr>
            <w:r>
              <w:t xml:space="preserve">1,60 (1,29–1,98)</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Riesgo inminente vs riesgo bajo</w:t>
            </w:r>
          </w:p>
        </w:tc>
        <w:tc>
          <w:tcPr/>
          <w:p>
            <w:pPr>
              <w:pStyle w:val="Compact"/>
              <w:jc w:val="left"/>
            </w:pPr>
            <w:r>
              <w:t xml:space="preserve">1,81 (1,29–2,51)</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23272</w:t>
            </w:r>
          </w:p>
        </w:tc>
      </w:tr>
      <w:tr>
        <w:tc>
          <w:tcPr/>
          <w:p>
            <w:pPr>
              <w:pStyle w:val="Compact"/>
              <w:jc w:val="left"/>
            </w:pPr>
            <w:r>
              <w:t xml:space="preserve">Controles prenatales, por 1 DE adicional</w:t>
            </w:r>
          </w:p>
        </w:tc>
        <w:tc>
          <w:tcPr/>
          <w:p>
            <w:pPr>
              <w:pStyle w:val="Compact"/>
              <w:jc w:val="left"/>
            </w:pPr>
            <w:r>
              <w:t xml:space="preserve">0,59 (0,54–0,64)</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23272</w:t>
            </w:r>
          </w:p>
        </w:tc>
      </w:tr>
    </w:tbl>
    <w:p>
      <w:pPr>
        <w:pStyle w:val="BodyText"/>
      </w:pPr>
      <w:r>
        <w:rPr>
          <w:i/>
          <w:iCs/>
        </w:rPr>
        <w:t xml:space="preserve">Nota: El riesgo al ingreso es un marcador clínico y no una exposición causal demostrada.</w:t>
      </w:r>
    </w:p>
    <w:p>
      <w:pPr>
        <w:pStyle w:val="CaptionedFigure"/>
      </w:pPr>
      <w:r>
        <w:drawing>
          <wp:inline>
            <wp:extent cx="4533900" cy="2669963"/>
            <wp:effectExtent b="0" l="0" r="0" t="0"/>
            <wp:docPr descr="Figura 2. Forest plot del modelo clínico bayesiano" title="" id="50" name="Picture"/>
            <a:graphic>
              <a:graphicData uri="http://schemas.openxmlformats.org/drawingml/2006/picture">
                <pic:pic>
                  <pic:nvPicPr>
                    <pic:cNvPr descr="figuras/FOREST_BAYES_CLINICO.png" id="51" name="Picture"/>
                    <pic:cNvPicPr>
                      <a:picLocks noChangeArrowheads="1" noChangeAspect="1"/>
                    </pic:cNvPicPr>
                  </pic:nvPicPr>
                  <pic:blipFill>
                    <a:blip r:embed="rId49"/>
                    <a:stretch>
                      <a:fillRect/>
                    </a:stretch>
                  </pic:blipFill>
                  <pic:spPr bwMode="auto">
                    <a:xfrm>
                      <a:off x="0" y="0"/>
                      <a:ext cx="4533900" cy="2669963"/>
                    </a:xfrm>
                    <a:prstGeom prst="rect">
                      <a:avLst/>
                    </a:prstGeom>
                    <a:noFill/>
                    <a:ln w="9525">
                      <a:noFill/>
                      <a:headEnd/>
                      <a:tailEnd/>
                    </a:ln>
                  </pic:spPr>
                </pic:pic>
              </a:graphicData>
            </a:graphic>
          </wp:inline>
        </w:drawing>
      </w:r>
    </w:p>
    <w:p>
      <w:pPr>
        <w:pStyle w:val="ImageCaption"/>
      </w:pPr>
      <w:r>
        <w:t xml:space="preserve">Figura 2. Forest plot del modelo clínico bayesiano</w:t>
      </w:r>
    </w:p>
    <w:p>
      <w:pPr>
        <w:pStyle w:val="BodyText"/>
      </w:pPr>
      <w:r>
        <w:rPr>
          <w:i/>
          <w:iCs/>
        </w:rPr>
        <w:t xml:space="preserve">Figura 2. Forest plot del modelo clínico bayesiano. Medianas posteriores y CrI95%; línea de referencia en OR=1.</w:t>
      </w:r>
    </w:p>
    <w:bookmarkEnd w:id="52"/>
    <w:bookmarkStart w:id="56" w:name="modelo-obstétrico-bayesiano"/>
    <w:p>
      <w:pPr>
        <w:pStyle w:val="Heading2"/>
      </w:pPr>
      <w:r>
        <w:t xml:space="preserve">4.8 Modelo obstétrico bayesiano</w:t>
      </w:r>
    </w:p>
    <w:p>
      <w:pPr>
        <w:pStyle w:val="FirstParagraph"/>
      </w:pPr>
      <w:r>
        <w:t xml:space="preserve">DPP mostró la asociación positiva de mayor magnitud (OR posterior 4,73; CrI95% 2,57–8,10; P[OR&gt;1]=1,000). Para eclampsia, el OR posterior fue 2,16 (CrI95% 0,87–4,89): aunque el CrI95% incluyó 1, el 95,2% de la masa posterior se ubicó en OR&gt;1. RPM mostró una asociación negativa (OR 0,52; CrI95% 0,36–0,74; P[OR&lt;1]=1,000), que no debe interpretarse automáticamente como efecto preventivo por la posible temporalidad inversa y las diferencias de registro clínico.</w:t>
      </w:r>
    </w:p>
    <w:p>
      <w:pPr>
        <w:pStyle w:val="BodyText"/>
      </w:pPr>
      <w:r>
        <w:rPr>
          <w:b/>
          <w:bCs/>
        </w:rPr>
        <w:t xml:space="preserve">Tabla 8. Modelo bayesiano de complicaciones obstétricas.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OR posterior (CrI95%)</w:t>
            </w:r>
          </w:p>
        </w:tc>
        <w:tc>
          <w:tcPr/>
          <w:p>
            <w:pPr>
              <w:pStyle w:val="Compact"/>
              <w:jc w:val="left"/>
            </w:pPr>
            <w:r>
              <w:t xml:space="preserve">P(OR&gt;1)</w:t>
            </w:r>
          </w:p>
        </w:tc>
        <w:tc>
          <w:tcPr/>
          <w:p>
            <w:pPr>
              <w:pStyle w:val="Compact"/>
              <w:jc w:val="left"/>
            </w:pPr>
            <w:r>
              <w:t xml:space="preserve">P(OR&lt;1)</w:t>
            </w:r>
          </w:p>
        </w:tc>
        <w:tc>
          <w:tcPr/>
          <w:p>
            <w:pPr>
              <w:pStyle w:val="Compact"/>
              <w:jc w:val="left"/>
            </w:pPr>
            <w:r>
              <w:t xml:space="preserve">N</w:t>
            </w:r>
          </w:p>
        </w:tc>
      </w:tr>
      <w:tr>
        <w:tc>
          <w:tcPr/>
          <w:p>
            <w:pPr>
              <w:pStyle w:val="Compact"/>
              <w:jc w:val="left"/>
            </w:pPr>
            <w:r>
              <w:t xml:space="preserve">Edad &lt;20 vs 20-34</w:t>
            </w:r>
          </w:p>
        </w:tc>
        <w:tc>
          <w:tcPr/>
          <w:p>
            <w:pPr>
              <w:pStyle w:val="Compact"/>
              <w:jc w:val="left"/>
            </w:pPr>
            <w:r>
              <w:t xml:space="preserve">0,99 (0,51–1,71)</w:t>
            </w:r>
          </w:p>
        </w:tc>
        <w:tc>
          <w:tcPr/>
          <w:p>
            <w:pPr>
              <w:pStyle w:val="Compact"/>
              <w:jc w:val="left"/>
            </w:pPr>
            <w:r>
              <w:t xml:space="preserve">0,481</w:t>
            </w:r>
          </w:p>
        </w:tc>
        <w:tc>
          <w:tcPr/>
          <w:p>
            <w:pPr>
              <w:pStyle w:val="Compact"/>
              <w:jc w:val="left"/>
            </w:pPr>
            <w:r>
              <w:t xml:space="preserve">0,519</w:t>
            </w:r>
          </w:p>
        </w:tc>
        <w:tc>
          <w:tcPr/>
          <w:p>
            <w:pPr>
              <w:pStyle w:val="Compact"/>
              <w:jc w:val="left"/>
            </w:pPr>
            <w:r>
              <w:t xml:space="preserve">23398</w:t>
            </w:r>
          </w:p>
        </w:tc>
      </w:tr>
      <w:tr>
        <w:tc>
          <w:tcPr/>
          <w:p>
            <w:pPr>
              <w:pStyle w:val="Compact"/>
              <w:jc w:val="left"/>
            </w:pPr>
            <w:r>
              <w:t xml:space="preserve">EDAD_CAT&gt;EQ35</w:t>
            </w:r>
          </w:p>
        </w:tc>
        <w:tc>
          <w:tcPr/>
          <w:p>
            <w:pPr>
              <w:pStyle w:val="Compact"/>
              <w:jc w:val="left"/>
            </w:pPr>
            <w:r>
              <w:t xml:space="preserve">1,01 (0,82–1,23)</w:t>
            </w:r>
          </w:p>
        </w:tc>
        <w:tc>
          <w:tcPr/>
          <w:p>
            <w:pPr>
              <w:pStyle w:val="Compact"/>
              <w:jc w:val="left"/>
            </w:pPr>
            <w:r>
              <w:t xml:space="preserve">0,520</w:t>
            </w:r>
          </w:p>
        </w:tc>
        <w:tc>
          <w:tcPr/>
          <w:p>
            <w:pPr>
              <w:pStyle w:val="Compact"/>
              <w:jc w:val="left"/>
            </w:pPr>
            <w:r>
              <w:t xml:space="preserve">0,479</w:t>
            </w:r>
          </w:p>
        </w:tc>
        <w:tc>
          <w:tcPr/>
          <w:p>
            <w:pPr>
              <w:pStyle w:val="Compact"/>
              <w:jc w:val="left"/>
            </w:pPr>
            <w:r>
              <w:t xml:space="preserve">23398</w:t>
            </w:r>
          </w:p>
        </w:tc>
      </w:tr>
      <w:tr>
        <w:tc>
          <w:tcPr/>
          <w:p>
            <w:pPr>
              <w:pStyle w:val="Compact"/>
              <w:jc w:val="left"/>
            </w:pPr>
            <w:r>
              <w:t xml:space="preserve">Preeclampsia vs ninguno</w:t>
            </w:r>
          </w:p>
        </w:tc>
        <w:tc>
          <w:tcPr/>
          <w:p>
            <w:pPr>
              <w:pStyle w:val="Compact"/>
              <w:jc w:val="left"/>
            </w:pPr>
            <w:r>
              <w:t xml:space="preserve">1,00 (0,76–1,30)</w:t>
            </w:r>
          </w:p>
        </w:tc>
        <w:tc>
          <w:tcPr/>
          <w:p>
            <w:pPr>
              <w:pStyle w:val="Compact"/>
              <w:jc w:val="left"/>
            </w:pPr>
            <w:r>
              <w:t xml:space="preserve">0,505</w:t>
            </w:r>
          </w:p>
        </w:tc>
        <w:tc>
          <w:tcPr/>
          <w:p>
            <w:pPr>
              <w:pStyle w:val="Compact"/>
              <w:jc w:val="left"/>
            </w:pPr>
            <w:r>
              <w:t xml:space="preserve">0,494</w:t>
            </w:r>
          </w:p>
        </w:tc>
        <w:tc>
          <w:tcPr/>
          <w:p>
            <w:pPr>
              <w:pStyle w:val="Compact"/>
              <w:jc w:val="left"/>
            </w:pPr>
            <w:r>
              <w:t xml:space="preserve">23398</w:t>
            </w:r>
          </w:p>
        </w:tc>
      </w:tr>
      <w:tr>
        <w:tc>
          <w:tcPr/>
          <w:p>
            <w:pPr>
              <w:pStyle w:val="Compact"/>
              <w:jc w:val="left"/>
            </w:pPr>
            <w:r>
              <w:t xml:space="preserve">HTA inducida por embarazo vs ninguno</w:t>
            </w:r>
          </w:p>
        </w:tc>
        <w:tc>
          <w:tcPr/>
          <w:p>
            <w:pPr>
              <w:pStyle w:val="Compact"/>
              <w:jc w:val="left"/>
            </w:pPr>
            <w:r>
              <w:t xml:space="preserve">0,95 (0,56–1,49)</w:t>
            </w:r>
          </w:p>
        </w:tc>
        <w:tc>
          <w:tcPr/>
          <w:p>
            <w:pPr>
              <w:pStyle w:val="Compact"/>
              <w:jc w:val="left"/>
            </w:pPr>
            <w:r>
              <w:t xml:space="preserve">0,416</w:t>
            </w:r>
          </w:p>
        </w:tc>
        <w:tc>
          <w:tcPr/>
          <w:p>
            <w:pPr>
              <w:pStyle w:val="Compact"/>
              <w:jc w:val="left"/>
            </w:pPr>
            <w:r>
              <w:t xml:space="preserve">0,584</w:t>
            </w:r>
          </w:p>
        </w:tc>
        <w:tc>
          <w:tcPr/>
          <w:p>
            <w:pPr>
              <w:pStyle w:val="Compact"/>
              <w:jc w:val="left"/>
            </w:pPr>
            <w:r>
              <w:t xml:space="preserve">23398</w:t>
            </w:r>
          </w:p>
        </w:tc>
      </w:tr>
      <w:tr>
        <w:tc>
          <w:tcPr/>
          <w:p>
            <w:pPr>
              <w:pStyle w:val="Compact"/>
              <w:jc w:val="left"/>
            </w:pPr>
            <w:r>
              <w:t xml:space="preserve">HTA preexistente vs ninguno</w:t>
            </w:r>
          </w:p>
        </w:tc>
        <w:tc>
          <w:tcPr/>
          <w:p>
            <w:pPr>
              <w:pStyle w:val="Compact"/>
              <w:jc w:val="left"/>
            </w:pPr>
            <w:r>
              <w:t xml:space="preserve">0,87 (0,27–2,41)</w:t>
            </w:r>
          </w:p>
        </w:tc>
        <w:tc>
          <w:tcPr/>
          <w:p>
            <w:pPr>
              <w:pStyle w:val="Compact"/>
              <w:jc w:val="left"/>
            </w:pPr>
            <w:r>
              <w:t xml:space="preserve">0,401</w:t>
            </w:r>
          </w:p>
        </w:tc>
        <w:tc>
          <w:tcPr/>
          <w:p>
            <w:pPr>
              <w:pStyle w:val="Compact"/>
              <w:jc w:val="left"/>
            </w:pPr>
            <w:r>
              <w:t xml:space="preserve">0,599</w:t>
            </w:r>
          </w:p>
        </w:tc>
        <w:tc>
          <w:tcPr/>
          <w:p>
            <w:pPr>
              <w:pStyle w:val="Compact"/>
              <w:jc w:val="left"/>
            </w:pPr>
            <w:r>
              <w:t xml:space="preserve">23398</w:t>
            </w:r>
          </w:p>
        </w:tc>
      </w:tr>
      <w:tr>
        <w:tc>
          <w:tcPr/>
          <w:p>
            <w:pPr>
              <w:pStyle w:val="Compact"/>
              <w:jc w:val="left"/>
            </w:pPr>
            <w:r>
              <w:t xml:space="preserve">Eclampsia vs ningún trastorno hipertensivo</w:t>
            </w:r>
          </w:p>
        </w:tc>
        <w:tc>
          <w:tcPr/>
          <w:p>
            <w:pPr>
              <w:pStyle w:val="Compact"/>
              <w:jc w:val="left"/>
            </w:pPr>
            <w:r>
              <w:t xml:space="preserve">2,16 (0,87–4,89)</w:t>
            </w:r>
          </w:p>
        </w:tc>
        <w:tc>
          <w:tcPr/>
          <w:p>
            <w:pPr>
              <w:pStyle w:val="Compact"/>
              <w:jc w:val="left"/>
            </w:pPr>
            <w:r>
              <w:t xml:space="preserve">0,952</w:t>
            </w:r>
          </w:p>
        </w:tc>
        <w:tc>
          <w:tcPr/>
          <w:p>
            <w:pPr>
              <w:pStyle w:val="Compact"/>
              <w:jc w:val="left"/>
            </w:pPr>
            <w:r>
              <w:t xml:space="preserve">0,048</w:t>
            </w:r>
          </w:p>
        </w:tc>
        <w:tc>
          <w:tcPr/>
          <w:p>
            <w:pPr>
              <w:pStyle w:val="Compact"/>
              <w:jc w:val="left"/>
            </w:pPr>
            <w:r>
              <w:t xml:space="preserve">23398</w:t>
            </w:r>
          </w:p>
        </w:tc>
      </w:tr>
      <w:tr>
        <w:tc>
          <w:tcPr/>
          <w:p>
            <w:pPr>
              <w:pStyle w:val="Compact"/>
              <w:jc w:val="left"/>
            </w:pPr>
            <w:r>
              <w:t xml:space="preserve">RPM sí vs no</w:t>
            </w:r>
          </w:p>
        </w:tc>
        <w:tc>
          <w:tcPr/>
          <w:p>
            <w:pPr>
              <w:pStyle w:val="Compact"/>
              <w:jc w:val="left"/>
            </w:pPr>
            <w:r>
              <w:t xml:space="preserve">0,52 (0,36–0,73)</w:t>
            </w:r>
          </w:p>
        </w:tc>
        <w:tc>
          <w:tcPr/>
          <w:p>
            <w:pPr>
              <w:pStyle w:val="Compact"/>
              <w:jc w:val="left"/>
            </w:pPr>
            <w:r>
              <w:t xml:space="preserve">&lt;0,001</w:t>
            </w:r>
          </w:p>
        </w:tc>
        <w:tc>
          <w:tcPr/>
          <w:p>
            <w:pPr>
              <w:pStyle w:val="Compact"/>
              <w:jc w:val="left"/>
            </w:pPr>
            <w:r>
              <w:t xml:space="preserve">1,000</w:t>
            </w:r>
          </w:p>
        </w:tc>
        <w:tc>
          <w:tcPr/>
          <w:p>
            <w:pPr>
              <w:pStyle w:val="Compact"/>
              <w:jc w:val="left"/>
            </w:pPr>
            <w:r>
              <w:t xml:space="preserve">23398</w:t>
            </w:r>
          </w:p>
        </w:tc>
      </w:tr>
      <w:tr>
        <w:tc>
          <w:tcPr/>
          <w:p>
            <w:pPr>
              <w:pStyle w:val="Compact"/>
              <w:jc w:val="left"/>
            </w:pPr>
            <w:r>
              <w:t xml:space="preserve">DPP sí vs no</w:t>
            </w:r>
          </w:p>
        </w:tc>
        <w:tc>
          <w:tcPr/>
          <w:p>
            <w:pPr>
              <w:pStyle w:val="Compact"/>
              <w:jc w:val="left"/>
            </w:pPr>
            <w:r>
              <w:t xml:space="preserve">4,73 (2,57–8,10)</w:t>
            </w:r>
          </w:p>
        </w:tc>
        <w:tc>
          <w:tcPr/>
          <w:p>
            <w:pPr>
              <w:pStyle w:val="Compact"/>
              <w:jc w:val="left"/>
            </w:pPr>
            <w:r>
              <w:t xml:space="preserve">1,000</w:t>
            </w:r>
          </w:p>
        </w:tc>
        <w:tc>
          <w:tcPr/>
          <w:p>
            <w:pPr>
              <w:pStyle w:val="Compact"/>
              <w:jc w:val="left"/>
            </w:pPr>
            <w:r>
              <w:t xml:space="preserve">&lt;0,001</w:t>
            </w:r>
          </w:p>
        </w:tc>
        <w:tc>
          <w:tcPr/>
          <w:p>
            <w:pPr>
              <w:pStyle w:val="Compact"/>
              <w:jc w:val="left"/>
            </w:pPr>
            <w:r>
              <w:t xml:space="preserve">23398</w:t>
            </w:r>
          </w:p>
        </w:tc>
      </w:tr>
      <w:tr>
        <w:tc>
          <w:tcPr/>
          <w:p>
            <w:pPr>
              <w:pStyle w:val="Compact"/>
              <w:jc w:val="left"/>
            </w:pPr>
            <w:r>
              <w:t xml:space="preserve">Hemorragia sí vs no</w:t>
            </w:r>
          </w:p>
        </w:tc>
        <w:tc>
          <w:tcPr/>
          <w:p>
            <w:pPr>
              <w:pStyle w:val="Compact"/>
              <w:jc w:val="left"/>
            </w:pPr>
            <w:r>
              <w:t xml:space="preserve">0,86 (0,63–1,14)</w:t>
            </w:r>
          </w:p>
        </w:tc>
        <w:tc>
          <w:tcPr/>
          <w:p>
            <w:pPr>
              <w:pStyle w:val="Compact"/>
              <w:jc w:val="left"/>
            </w:pPr>
            <w:r>
              <w:t xml:space="preserve">0,154</w:t>
            </w:r>
          </w:p>
        </w:tc>
        <w:tc>
          <w:tcPr/>
          <w:p>
            <w:pPr>
              <w:pStyle w:val="Compact"/>
              <w:jc w:val="left"/>
            </w:pPr>
            <w:r>
              <w:t xml:space="preserve">0,846</w:t>
            </w:r>
          </w:p>
        </w:tc>
        <w:tc>
          <w:tcPr/>
          <w:p>
            <w:pPr>
              <w:pStyle w:val="Compact"/>
              <w:jc w:val="left"/>
            </w:pPr>
            <w:r>
              <w:t xml:space="preserve">23398</w:t>
            </w:r>
          </w:p>
        </w:tc>
      </w:tr>
      <w:tr>
        <w:tc>
          <w:tcPr/>
          <w:p>
            <w:pPr>
              <w:pStyle w:val="Compact"/>
              <w:jc w:val="left"/>
            </w:pPr>
            <w:r>
              <w:t xml:space="preserve">Presentación vértice sí vs no</w:t>
            </w:r>
          </w:p>
        </w:tc>
        <w:tc>
          <w:tcPr/>
          <w:p>
            <w:pPr>
              <w:pStyle w:val="Compact"/>
              <w:jc w:val="left"/>
            </w:pPr>
            <w:r>
              <w:t xml:space="preserve">0,97 (0,62–1,63)</w:t>
            </w:r>
          </w:p>
        </w:tc>
        <w:tc>
          <w:tcPr/>
          <w:p>
            <w:pPr>
              <w:pStyle w:val="Compact"/>
              <w:jc w:val="left"/>
            </w:pPr>
            <w:r>
              <w:t xml:space="preserve">0,449</w:t>
            </w:r>
          </w:p>
        </w:tc>
        <w:tc>
          <w:tcPr/>
          <w:p>
            <w:pPr>
              <w:pStyle w:val="Compact"/>
              <w:jc w:val="left"/>
            </w:pPr>
            <w:r>
              <w:t xml:space="preserve">0,551</w:t>
            </w:r>
          </w:p>
        </w:tc>
        <w:tc>
          <w:tcPr/>
          <w:p>
            <w:pPr>
              <w:pStyle w:val="Compact"/>
              <w:jc w:val="left"/>
            </w:pPr>
            <w:r>
              <w:t xml:space="preserve">23398</w:t>
            </w:r>
          </w:p>
        </w:tc>
      </w:tr>
    </w:tbl>
    <w:p>
      <w:pPr>
        <w:pStyle w:val="BodyText"/>
      </w:pPr>
      <w:r>
        <w:rPr>
          <w:i/>
          <w:iCs/>
        </w:rPr>
        <w:t xml:space="preserve">Nota: DPP: desprendimiento prematuro de placenta; RPM: ruptura prematura de membranas.</w:t>
      </w:r>
    </w:p>
    <w:p>
      <w:pPr>
        <w:pStyle w:val="CaptionedFigure"/>
      </w:pPr>
      <w:r>
        <w:drawing>
          <wp:inline>
            <wp:extent cx="4533900" cy="2669963"/>
            <wp:effectExtent b="0" l="0" r="0" t="0"/>
            <wp:docPr descr="Figura 3. Forest plot del modelo obstétrico bayesiano" title="" id="54" name="Picture"/>
            <a:graphic>
              <a:graphicData uri="http://schemas.openxmlformats.org/drawingml/2006/picture">
                <pic:pic>
                  <pic:nvPicPr>
                    <pic:cNvPr descr="figuras/FOREST_BAYES_OBSTETRICO.png" id="55" name="Picture"/>
                    <pic:cNvPicPr>
                      <a:picLocks noChangeArrowheads="1" noChangeAspect="1"/>
                    </pic:cNvPicPr>
                  </pic:nvPicPr>
                  <pic:blipFill>
                    <a:blip r:embed="rId53"/>
                    <a:stretch>
                      <a:fillRect/>
                    </a:stretch>
                  </pic:blipFill>
                  <pic:spPr bwMode="auto">
                    <a:xfrm>
                      <a:off x="0" y="0"/>
                      <a:ext cx="4533900" cy="2669963"/>
                    </a:xfrm>
                    <a:prstGeom prst="rect">
                      <a:avLst/>
                    </a:prstGeom>
                    <a:noFill/>
                    <a:ln w="9525">
                      <a:noFill/>
                      <a:headEnd/>
                      <a:tailEnd/>
                    </a:ln>
                  </pic:spPr>
                </pic:pic>
              </a:graphicData>
            </a:graphic>
          </wp:inline>
        </w:drawing>
      </w:r>
    </w:p>
    <w:p>
      <w:pPr>
        <w:pStyle w:val="ImageCaption"/>
      </w:pPr>
      <w:r>
        <w:t xml:space="preserve">Figura 3. Forest plot del modelo obstétrico bayesiano</w:t>
      </w:r>
    </w:p>
    <w:p>
      <w:pPr>
        <w:pStyle w:val="BodyText"/>
      </w:pPr>
      <w:r>
        <w:rPr>
          <w:i/>
          <w:iCs/>
        </w:rPr>
        <w:t xml:space="preserve">Figura 3. Forest plot del modelo obstétrico bayesiano. Medianas posteriores y CrI95%; línea de referencia en OR=1.</w:t>
      </w:r>
    </w:p>
    <w:bookmarkEnd w:id="56"/>
    <w:bookmarkStart w:id="57" w:name="X126c537c6a96f23f187f28045e4ab91820e5e5f"/>
    <w:p>
      <w:pPr>
        <w:pStyle w:val="Heading2"/>
      </w:pPr>
      <w:r>
        <w:t xml:space="preserve">4.9 Atención prenatal, psicoprofilaxis y acompañamiento</w:t>
      </w:r>
    </w:p>
    <w:p>
      <w:pPr>
        <w:pStyle w:val="FirstParagraph"/>
      </w:pPr>
      <w:r>
        <w:t>Las asociaciones negativas de controles, sesiones y acompañamiento permanecieron claras en el modelo principal. En el análisis de sensibilidad ajustado por edad gestacional, la estimación para controles se atenuó a OR 0,80 (CrI95% 0,72–0,89), la correspondiente a sesiones se aproximó a 1 (OR 0,93; CrI95% 0,84–1,04) y acompañamiento también se aproximó a 1 (OR 0,99; CrI95% 0,79–1,25). Esta variación muestra dependencia de la especificación y del tiempo gestacional disponible. Dado que la edad gestacional puede integrar procesos intermedios, este ajuste modifica el estimando y no demuestra control de confusión.</w:t>
      </w:r>
      <w:r/>
    </w:p>
    <w:p>
      <w:pPr>
        <w:pStyle w:val="Heading2"/>
      </w:pPr>
      <w:r>
        <w:t>4.9.1 Adherencia a controles prenatales</w:t>
      </w:r>
    </w:p>
    <w:p>
      <w:pPr>
        <w:pStyle w:val="BodyText"/>
      </w:pPr>
      <w:r>
        <w:t>En el análisis operacional de adherencia se incluyeron 23.442 registros y 423 muertes fetales. La distribución fue: buena, 10.242 (43,69%); parcial, 9.524 (40,63%); y baja, 3.676 (15,68%). Hubo 3.693 registros (15,75%) con adherencia &gt;100%, que no fueron truncados ni excluidos. La mortalidad fue 1,56% (160/10.242) en buena, 1,47% (140/9.524) en parcial y 3,35% (123/3.676) en baja. Frente a buena adherencia, parcial mostró OR 0,94 (IC95% 0,75–1,18; p=0,596) y baja OR 2,18 (IC95% 1,72–2,77; p&lt;0,001). En la sensibilidad ajustada por edad gestacional, los OR fueron 1,08 (IC95% 0,85–1,37; p=0,528) y 1,84 (IC95% 1,43–2,38; p&lt;0,001), respectivamente.</w:t>
      </w:r>
      <w:r>
        <w:t xml:space="preserve"> No hubo registros analíticos con edad gestacional &lt;20 semanas. En el estrato 20–&lt;28 semanas, los tamaños fueron reducidos y no sustentan un gradiente definitivo. Descriptivamente, la mortalidad fue mayor en baja adherencia en los estratos 28–&lt;36 y ≥36 semanas.</w:t>
      </w:r>
    </w:p>
    <w:p>
      <w:pPr>
        <w:pStyle w:val="BodyText"/>
      </w:pPr>
      <w:r>
        <w:t>Tabla A1. Descripción de controles y edad gestacional por adherencia y desenlace.</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trPr>
        <w:tc>
          <w:tcPr>
            <w:tcW w:type="dxa" w:w="1170"/>
          </w:tcPr>
          <w:p>
            <w:r>
              <w:rPr>
                <w:sz w:val="15"/>
              </w:rPr>
              <w:t>Adherencia</w:t>
            </w:r>
          </w:p>
        </w:tc>
        <w:tc>
          <w:tcPr>
            <w:tcW w:type="dxa" w:w="1170"/>
          </w:tcPr>
          <w:p>
            <w:r>
              <w:rPr>
                <w:sz w:val="15"/>
              </w:rPr>
              <w:t>Desenlace</w:t>
            </w:r>
          </w:p>
        </w:tc>
        <w:tc>
          <w:tcPr>
            <w:tcW w:type="dxa" w:w="1170"/>
          </w:tcPr>
          <w:p>
            <w:r>
              <w:rPr>
                <w:sz w:val="15"/>
              </w:rPr>
              <w:t>n</w:t>
            </w:r>
          </w:p>
        </w:tc>
        <w:tc>
          <w:tcPr>
            <w:tcW w:type="dxa" w:w="1170"/>
          </w:tcPr>
          <w:p>
            <w:r>
              <w:rPr>
                <w:sz w:val="15"/>
              </w:rPr>
              <w:t>% columna</w:t>
            </w:r>
          </w:p>
        </w:tc>
        <w:tc>
          <w:tcPr>
            <w:tcW w:type="dxa" w:w="1170"/>
          </w:tcPr>
          <w:p>
            <w:r>
              <w:rPr>
                <w:sz w:val="15"/>
              </w:rPr>
              <w:t>Obs.: media (DE)</w:t>
            </w:r>
          </w:p>
        </w:tc>
        <w:tc>
          <w:tcPr>
            <w:tcW w:type="dxa" w:w="1170"/>
          </w:tcPr>
          <w:p>
            <w:r>
              <w:rPr>
                <w:sz w:val="15"/>
              </w:rPr>
              <w:t>Obs.: mediana (RIC)</w:t>
            </w:r>
          </w:p>
        </w:tc>
        <w:tc>
          <w:tcPr>
            <w:tcW w:type="dxa" w:w="1170"/>
          </w:tcPr>
          <w:p>
            <w:r>
              <w:rPr>
                <w:sz w:val="15"/>
              </w:rPr>
              <w:t>Esperados: media (DE)</w:t>
            </w:r>
          </w:p>
        </w:tc>
        <w:tc>
          <w:tcPr>
            <w:tcW w:type="dxa" w:w="1170"/>
          </w:tcPr>
          <w:p>
            <w:r>
              <w:rPr>
                <w:sz w:val="15"/>
              </w:rPr>
              <w:t>EG: media (DE)</w:t>
            </w:r>
          </w:p>
        </w:tc>
      </w:tr>
      <w:tr>
        <w:trPr>
          <w:cantSplit/>
        </w:trPr>
        <w:tc>
          <w:tcPr>
            <w:tcW w:type="dxa" w:w="1170"/>
          </w:tcPr>
          <w:p>
            <w:r>
              <w:rPr>
                <w:sz w:val="15"/>
              </w:rPr>
              <w:t>Buena</w:t>
            </w:r>
          </w:p>
        </w:tc>
        <w:tc>
          <w:tcPr>
            <w:tcW w:type="dxa" w:w="1170"/>
          </w:tcPr>
          <w:p>
            <w:r>
              <w:rPr>
                <w:sz w:val="15"/>
              </w:rPr>
              <w:t>NO</w:t>
            </w:r>
          </w:p>
        </w:tc>
        <w:tc>
          <w:tcPr>
            <w:tcW w:type="dxa" w:w="1170"/>
          </w:tcPr>
          <w:p>
            <w:r>
              <w:rPr>
                <w:sz w:val="15"/>
              </w:rPr>
              <w:t>10082</w:t>
            </w:r>
          </w:p>
        </w:tc>
        <w:tc>
          <w:tcPr>
            <w:tcW w:type="dxa" w:w="1170"/>
          </w:tcPr>
          <w:p>
            <w:r>
              <w:rPr>
                <w:sz w:val="15"/>
              </w:rPr>
              <w:t>43,80</w:t>
            </w:r>
          </w:p>
        </w:tc>
        <w:tc>
          <w:tcPr>
            <w:tcW w:type="dxa" w:w="1170"/>
          </w:tcPr>
          <w:p>
            <w:r>
              <w:rPr>
                <w:sz w:val="15"/>
              </w:rPr>
              <w:t>8,21 (1,47)</w:t>
            </w:r>
          </w:p>
        </w:tc>
        <w:tc>
          <w:tcPr>
            <w:tcW w:type="dxa" w:w="1170"/>
          </w:tcPr>
          <w:p>
            <w:r>
              <w:rPr>
                <w:sz w:val="15"/>
              </w:rPr>
              <w:t>8,00 (7,00–9,00)</w:t>
            </w:r>
          </w:p>
        </w:tc>
        <w:tc>
          <w:tcPr>
            <w:tcW w:type="dxa" w:w="1170"/>
          </w:tcPr>
          <w:p>
            <w:r>
              <w:rPr>
                <w:sz w:val="15"/>
              </w:rPr>
              <w:t>7,86 (0,53)</w:t>
            </w:r>
          </w:p>
        </w:tc>
        <w:tc>
          <w:tcPr>
            <w:tcW w:type="dxa" w:w="1170"/>
          </w:tcPr>
          <w:p>
            <w:r>
              <w:rPr>
                <w:sz w:val="15"/>
              </w:rPr>
              <w:t>38,77 (1,83)</w:t>
            </w:r>
          </w:p>
        </w:tc>
      </w:tr>
      <w:tr>
        <w:trPr>
          <w:cantSplit/>
        </w:trPr>
        <w:tc>
          <w:tcPr>
            <w:tcW w:type="dxa" w:w="1170"/>
          </w:tcPr>
          <w:p>
            <w:r>
              <w:rPr>
                <w:sz w:val="15"/>
              </w:rPr>
              <w:t>Buena</w:t>
            </w:r>
          </w:p>
        </w:tc>
        <w:tc>
          <w:tcPr>
            <w:tcW w:type="dxa" w:w="1170"/>
          </w:tcPr>
          <w:p>
            <w:r>
              <w:rPr>
                <w:sz w:val="15"/>
              </w:rPr>
              <w:t>SI</w:t>
            </w:r>
          </w:p>
        </w:tc>
        <w:tc>
          <w:tcPr>
            <w:tcW w:type="dxa" w:w="1170"/>
          </w:tcPr>
          <w:p>
            <w:r>
              <w:rPr>
                <w:sz w:val="15"/>
              </w:rPr>
              <w:t>160</w:t>
            </w:r>
          </w:p>
        </w:tc>
        <w:tc>
          <w:tcPr>
            <w:tcW w:type="dxa" w:w="1170"/>
          </w:tcPr>
          <w:p>
            <w:r>
              <w:rPr>
                <w:sz w:val="15"/>
              </w:rPr>
              <w:t>37,83</w:t>
            </w:r>
          </w:p>
        </w:tc>
        <w:tc>
          <w:tcPr>
            <w:tcW w:type="dxa" w:w="1170"/>
          </w:tcPr>
          <w:p>
            <w:r>
              <w:rPr>
                <w:sz w:val="15"/>
              </w:rPr>
              <w:t>7,24 (2,00)</w:t>
            </w:r>
          </w:p>
        </w:tc>
        <w:tc>
          <w:tcPr>
            <w:tcW w:type="dxa" w:w="1170"/>
          </w:tcPr>
          <w:p>
            <w:r>
              <w:rPr>
                <w:sz w:val="15"/>
              </w:rPr>
              <w:t>7,00 (6,00–9,00)</w:t>
            </w:r>
          </w:p>
        </w:tc>
        <w:tc>
          <w:tcPr>
            <w:tcW w:type="dxa" w:w="1170"/>
          </w:tcPr>
          <w:p>
            <w:r>
              <w:rPr>
                <w:sz w:val="15"/>
              </w:rPr>
              <w:t>6,75 (1,84)</w:t>
            </w:r>
          </w:p>
        </w:tc>
        <w:tc>
          <w:tcPr>
            <w:tcW w:type="dxa" w:w="1170"/>
          </w:tcPr>
          <w:p>
            <w:r>
              <w:rPr>
                <w:sz w:val="15"/>
              </w:rPr>
              <w:t>35,28 (5,64)</w:t>
            </w:r>
          </w:p>
        </w:tc>
      </w:tr>
      <w:tr>
        <w:trPr>
          <w:cantSplit/>
        </w:trPr>
        <w:tc>
          <w:tcPr>
            <w:tcW w:type="dxa" w:w="1170"/>
          </w:tcPr>
          <w:p>
            <w:r>
              <w:rPr>
                <w:sz w:val="15"/>
              </w:rPr>
              <w:t>Buena</w:t>
            </w:r>
          </w:p>
        </w:tc>
        <w:tc>
          <w:tcPr>
            <w:tcW w:type="dxa" w:w="1170"/>
          </w:tcPr>
          <w:p>
            <w:r>
              <w:rPr>
                <w:sz w:val="15"/>
              </w:rPr>
              <w:t>Total</w:t>
            </w:r>
          </w:p>
        </w:tc>
        <w:tc>
          <w:tcPr>
            <w:tcW w:type="dxa" w:w="1170"/>
          </w:tcPr>
          <w:p>
            <w:r>
              <w:rPr>
                <w:sz w:val="15"/>
              </w:rPr>
              <w:t>10242</w:t>
            </w:r>
          </w:p>
        </w:tc>
        <w:tc>
          <w:tcPr>
            <w:tcW w:type="dxa" w:w="1170"/>
          </w:tcPr>
          <w:p>
            <w:r>
              <w:rPr>
                <w:sz w:val="15"/>
              </w:rPr>
              <w:t>43,69</w:t>
            </w:r>
          </w:p>
        </w:tc>
        <w:tc>
          <w:tcPr>
            <w:tcW w:type="dxa" w:w="1170"/>
          </w:tcPr>
          <w:p>
            <w:r>
              <w:rPr>
                <w:sz w:val="15"/>
              </w:rPr>
              <w:t>8,19 (1,49)</w:t>
            </w:r>
          </w:p>
        </w:tc>
        <w:tc>
          <w:tcPr>
            <w:tcW w:type="dxa" w:w="1170"/>
          </w:tcPr>
          <w:p>
            <w:r>
              <w:rPr>
                <w:sz w:val="15"/>
              </w:rPr>
              <w:t>8,00 (7,00–9,00)</w:t>
            </w:r>
          </w:p>
        </w:tc>
        <w:tc>
          <w:tcPr>
            <w:tcW w:type="dxa" w:w="1170"/>
          </w:tcPr>
          <w:p>
            <w:r>
              <w:rPr>
                <w:sz w:val="15"/>
              </w:rPr>
              <w:t>7,85 (0,59)</w:t>
            </w:r>
          </w:p>
        </w:tc>
        <w:tc>
          <w:tcPr>
            <w:tcW w:type="dxa" w:w="1170"/>
          </w:tcPr>
          <w:p>
            <w:r>
              <w:rPr>
                <w:sz w:val="15"/>
              </w:rPr>
              <w:t>38,72 (2,00)</w:t>
            </w:r>
          </w:p>
        </w:tc>
      </w:tr>
      <w:tr>
        <w:trPr>
          <w:cantSplit/>
        </w:trPr>
        <w:tc>
          <w:tcPr>
            <w:tcW w:type="dxa" w:w="1170"/>
          </w:tcPr>
          <w:p>
            <w:r>
              <w:rPr>
                <w:sz w:val="15"/>
              </w:rPr>
              <w:t>Parcial</w:t>
            </w:r>
          </w:p>
        </w:tc>
        <w:tc>
          <w:tcPr>
            <w:tcW w:type="dxa" w:w="1170"/>
          </w:tcPr>
          <w:p>
            <w:r>
              <w:rPr>
                <w:sz w:val="15"/>
              </w:rPr>
              <w:t>NO</w:t>
            </w:r>
          </w:p>
        </w:tc>
        <w:tc>
          <w:tcPr>
            <w:tcW w:type="dxa" w:w="1170"/>
          </w:tcPr>
          <w:p>
            <w:r>
              <w:rPr>
                <w:sz w:val="15"/>
              </w:rPr>
              <w:t>9384</w:t>
            </w:r>
          </w:p>
        </w:tc>
        <w:tc>
          <w:tcPr>
            <w:tcW w:type="dxa" w:w="1170"/>
          </w:tcPr>
          <w:p>
            <w:r>
              <w:rPr>
                <w:sz w:val="15"/>
              </w:rPr>
              <w:t>40,77</w:t>
            </w:r>
          </w:p>
        </w:tc>
        <w:tc>
          <w:tcPr>
            <w:tcW w:type="dxa" w:w="1170"/>
          </w:tcPr>
          <w:p>
            <w:r>
              <w:rPr>
                <w:sz w:val="15"/>
              </w:rPr>
              <w:t>5,17 (0,79)</w:t>
            </w:r>
          </w:p>
        </w:tc>
        <w:tc>
          <w:tcPr>
            <w:tcW w:type="dxa" w:w="1170"/>
          </w:tcPr>
          <w:p>
            <w:r>
              <w:rPr>
                <w:sz w:val="15"/>
              </w:rPr>
              <w:t>5,00 (5,00–6,00)</w:t>
            </w:r>
          </w:p>
        </w:tc>
        <w:tc>
          <w:tcPr>
            <w:tcW w:type="dxa" w:w="1170"/>
          </w:tcPr>
          <w:p>
            <w:r>
              <w:rPr>
                <w:sz w:val="15"/>
              </w:rPr>
              <w:t>7,95 (0,34)</w:t>
            </w:r>
          </w:p>
        </w:tc>
        <w:tc>
          <w:tcPr>
            <w:tcW w:type="dxa" w:w="1170"/>
          </w:tcPr>
          <w:p>
            <w:r>
              <w:rPr>
                <w:sz w:val="15"/>
              </w:rPr>
              <w:t>38,82 (1,58)</w:t>
            </w:r>
          </w:p>
        </w:tc>
      </w:tr>
      <w:tr>
        <w:trPr>
          <w:cantSplit/>
        </w:trPr>
        <w:tc>
          <w:tcPr>
            <w:tcW w:type="dxa" w:w="1170"/>
          </w:tcPr>
          <w:p>
            <w:r>
              <w:rPr>
                <w:sz w:val="15"/>
              </w:rPr>
              <w:t>Parcial</w:t>
            </w:r>
          </w:p>
        </w:tc>
        <w:tc>
          <w:tcPr>
            <w:tcW w:type="dxa" w:w="1170"/>
          </w:tcPr>
          <w:p>
            <w:r>
              <w:rPr>
                <w:sz w:val="15"/>
              </w:rPr>
              <w:t>SI</w:t>
            </w:r>
          </w:p>
        </w:tc>
        <w:tc>
          <w:tcPr>
            <w:tcW w:type="dxa" w:w="1170"/>
          </w:tcPr>
          <w:p>
            <w:r>
              <w:rPr>
                <w:sz w:val="15"/>
              </w:rPr>
              <w:t>140</w:t>
            </w:r>
          </w:p>
        </w:tc>
        <w:tc>
          <w:tcPr>
            <w:tcW w:type="dxa" w:w="1170"/>
          </w:tcPr>
          <w:p>
            <w:r>
              <w:rPr>
                <w:sz w:val="15"/>
              </w:rPr>
              <w:t>33,10</w:t>
            </w:r>
          </w:p>
        </w:tc>
        <w:tc>
          <w:tcPr>
            <w:tcW w:type="dxa" w:w="1170"/>
          </w:tcPr>
          <w:p>
            <w:r>
              <w:rPr>
                <w:sz w:val="15"/>
              </w:rPr>
              <w:t>4,96 (1,12)</w:t>
            </w:r>
          </w:p>
        </w:tc>
        <w:tc>
          <w:tcPr>
            <w:tcW w:type="dxa" w:w="1170"/>
          </w:tcPr>
          <w:p>
            <w:r>
              <w:rPr>
                <w:sz w:val="15"/>
              </w:rPr>
              <w:t>5,00 (4,00–6,00)</w:t>
            </w:r>
          </w:p>
        </w:tc>
        <w:tc>
          <w:tcPr>
            <w:tcW w:type="dxa" w:w="1170"/>
          </w:tcPr>
          <w:p>
            <w:r>
              <w:rPr>
                <w:sz w:val="15"/>
              </w:rPr>
              <w:t>7,52 (1,22)</w:t>
            </w:r>
          </w:p>
        </w:tc>
        <w:tc>
          <w:tcPr>
            <w:tcW w:type="dxa" w:w="1170"/>
          </w:tcPr>
          <w:p>
            <w:r>
              <w:rPr>
                <w:sz w:val="15"/>
              </w:rPr>
              <w:t>37,33 (4,24)</w:t>
            </w:r>
          </w:p>
        </w:tc>
      </w:tr>
      <w:tr>
        <w:trPr>
          <w:cantSplit/>
        </w:trPr>
        <w:tc>
          <w:tcPr>
            <w:tcW w:type="dxa" w:w="1170"/>
          </w:tcPr>
          <w:p>
            <w:r>
              <w:rPr>
                <w:sz w:val="15"/>
              </w:rPr>
              <w:t>Parcial</w:t>
            </w:r>
          </w:p>
        </w:tc>
        <w:tc>
          <w:tcPr>
            <w:tcW w:type="dxa" w:w="1170"/>
          </w:tcPr>
          <w:p>
            <w:r>
              <w:rPr>
                <w:sz w:val="15"/>
              </w:rPr>
              <w:t>Total</w:t>
            </w:r>
          </w:p>
        </w:tc>
        <w:tc>
          <w:tcPr>
            <w:tcW w:type="dxa" w:w="1170"/>
          </w:tcPr>
          <w:p>
            <w:r>
              <w:rPr>
                <w:sz w:val="15"/>
              </w:rPr>
              <w:t>9524</w:t>
            </w:r>
          </w:p>
        </w:tc>
        <w:tc>
          <w:tcPr>
            <w:tcW w:type="dxa" w:w="1170"/>
          </w:tcPr>
          <w:p>
            <w:r>
              <w:rPr>
                <w:sz w:val="15"/>
              </w:rPr>
              <w:t>40,63</w:t>
            </w:r>
          </w:p>
        </w:tc>
        <w:tc>
          <w:tcPr>
            <w:tcW w:type="dxa" w:w="1170"/>
          </w:tcPr>
          <w:p>
            <w:r>
              <w:rPr>
                <w:sz w:val="15"/>
              </w:rPr>
              <w:t>5,17 (0,80)</w:t>
            </w:r>
          </w:p>
        </w:tc>
        <w:tc>
          <w:tcPr>
            <w:tcW w:type="dxa" w:w="1170"/>
          </w:tcPr>
          <w:p>
            <w:r>
              <w:rPr>
                <w:sz w:val="15"/>
              </w:rPr>
              <w:t>5,00 (5,00–6,00)</w:t>
            </w:r>
          </w:p>
        </w:tc>
        <w:tc>
          <w:tcPr>
            <w:tcW w:type="dxa" w:w="1170"/>
          </w:tcPr>
          <w:p>
            <w:r>
              <w:rPr>
                <w:sz w:val="15"/>
              </w:rPr>
              <w:t>7,94 (0,37)</w:t>
            </w:r>
          </w:p>
        </w:tc>
        <w:tc>
          <w:tcPr>
            <w:tcW w:type="dxa" w:w="1170"/>
          </w:tcPr>
          <w:p>
            <w:r>
              <w:rPr>
                <w:sz w:val="15"/>
              </w:rPr>
              <w:t>38,80 (1,66)</w:t>
            </w:r>
          </w:p>
        </w:tc>
      </w:tr>
      <w:tr>
        <w:trPr>
          <w:cantSplit/>
        </w:trPr>
        <w:tc>
          <w:tcPr>
            <w:tcW w:type="dxa" w:w="1170"/>
          </w:tcPr>
          <w:p>
            <w:r>
              <w:rPr>
                <w:sz w:val="15"/>
              </w:rPr>
              <w:t>Baja</w:t>
            </w:r>
          </w:p>
        </w:tc>
        <w:tc>
          <w:tcPr>
            <w:tcW w:type="dxa" w:w="1170"/>
          </w:tcPr>
          <w:p>
            <w:r>
              <w:rPr>
                <w:sz w:val="15"/>
              </w:rPr>
              <w:t>NO</w:t>
            </w:r>
          </w:p>
        </w:tc>
        <w:tc>
          <w:tcPr>
            <w:tcW w:type="dxa" w:w="1170"/>
          </w:tcPr>
          <w:p>
            <w:r>
              <w:rPr>
                <w:sz w:val="15"/>
              </w:rPr>
              <w:t>3553</w:t>
            </w:r>
          </w:p>
        </w:tc>
        <w:tc>
          <w:tcPr>
            <w:tcW w:type="dxa" w:w="1170"/>
          </w:tcPr>
          <w:p>
            <w:r>
              <w:rPr>
                <w:sz w:val="15"/>
              </w:rPr>
              <w:t>15,44</w:t>
            </w:r>
          </w:p>
        </w:tc>
        <w:tc>
          <w:tcPr>
            <w:tcW w:type="dxa" w:w="1170"/>
          </w:tcPr>
          <w:p>
            <w:r>
              <w:rPr>
                <w:sz w:val="15"/>
              </w:rPr>
              <w:t>1,36 (1,31)</w:t>
            </w:r>
          </w:p>
        </w:tc>
        <w:tc>
          <w:tcPr>
            <w:tcW w:type="dxa" w:w="1170"/>
          </w:tcPr>
          <w:p>
            <w:r>
              <w:rPr>
                <w:sz w:val="15"/>
              </w:rPr>
              <w:t>1,00 (0,00–3,00)</w:t>
            </w:r>
          </w:p>
        </w:tc>
        <w:tc>
          <w:tcPr>
            <w:tcW w:type="dxa" w:w="1170"/>
          </w:tcPr>
          <w:p>
            <w:r>
              <w:rPr>
                <w:sz w:val="15"/>
              </w:rPr>
              <w:t>7,88 (0,55)</w:t>
            </w:r>
          </w:p>
        </w:tc>
        <w:tc>
          <w:tcPr>
            <w:tcW w:type="dxa" w:w="1170"/>
          </w:tcPr>
          <w:p>
            <w:r>
              <w:rPr>
                <w:sz w:val="15"/>
              </w:rPr>
              <w:t>38,55 (1,99)</w:t>
            </w:r>
          </w:p>
        </w:tc>
      </w:tr>
      <w:tr>
        <w:trPr>
          <w:cantSplit/>
        </w:trPr>
        <w:tc>
          <w:tcPr>
            <w:tcW w:type="dxa" w:w="1170"/>
          </w:tcPr>
          <w:p>
            <w:r>
              <w:rPr>
                <w:sz w:val="15"/>
              </w:rPr>
              <w:t>Baja</w:t>
            </w:r>
          </w:p>
        </w:tc>
        <w:tc>
          <w:tcPr>
            <w:tcW w:type="dxa" w:w="1170"/>
          </w:tcPr>
          <w:p>
            <w:r>
              <w:rPr>
                <w:sz w:val="15"/>
              </w:rPr>
              <w:t>SI</w:t>
            </w:r>
          </w:p>
        </w:tc>
        <w:tc>
          <w:tcPr>
            <w:tcW w:type="dxa" w:w="1170"/>
          </w:tcPr>
          <w:p>
            <w:r>
              <w:rPr>
                <w:sz w:val="15"/>
              </w:rPr>
              <w:t>123</w:t>
            </w:r>
          </w:p>
        </w:tc>
        <w:tc>
          <w:tcPr>
            <w:tcW w:type="dxa" w:w="1170"/>
          </w:tcPr>
          <w:p>
            <w:r>
              <w:rPr>
                <w:sz w:val="15"/>
              </w:rPr>
              <w:t>29,08</w:t>
            </w:r>
          </w:p>
        </w:tc>
        <w:tc>
          <w:tcPr>
            <w:tcW w:type="dxa" w:w="1170"/>
          </w:tcPr>
          <w:p>
            <w:r>
              <w:rPr>
                <w:sz w:val="15"/>
              </w:rPr>
              <w:t>0,62 (1,07)</w:t>
            </w:r>
          </w:p>
        </w:tc>
        <w:tc>
          <w:tcPr>
            <w:tcW w:type="dxa" w:w="1170"/>
          </w:tcPr>
          <w:p>
            <w:r>
              <w:rPr>
                <w:sz w:val="15"/>
              </w:rPr>
              <w:t>0,00 (0,00–1,00)</w:t>
            </w:r>
          </w:p>
        </w:tc>
        <w:tc>
          <w:tcPr>
            <w:tcW w:type="dxa" w:w="1170"/>
          </w:tcPr>
          <w:p>
            <w:r>
              <w:rPr>
                <w:sz w:val="15"/>
              </w:rPr>
              <w:t>6,55 (2,00)</w:t>
            </w:r>
          </w:p>
        </w:tc>
        <w:tc>
          <w:tcPr>
            <w:tcW w:type="dxa" w:w="1170"/>
          </w:tcPr>
          <w:p>
            <w:r>
              <w:rPr>
                <w:sz w:val="15"/>
              </w:rPr>
              <w:t>34,26 (5,91)</w:t>
            </w:r>
          </w:p>
        </w:tc>
      </w:tr>
      <w:tr>
        <w:trPr>
          <w:cantSplit/>
        </w:trPr>
        <w:tc>
          <w:tcPr>
            <w:tcW w:type="dxa" w:w="1170"/>
          </w:tcPr>
          <w:p>
            <w:r>
              <w:rPr>
                <w:sz w:val="15"/>
              </w:rPr>
              <w:t>Baja</w:t>
            </w:r>
          </w:p>
        </w:tc>
        <w:tc>
          <w:tcPr>
            <w:tcW w:type="dxa" w:w="1170"/>
          </w:tcPr>
          <w:p>
            <w:r>
              <w:rPr>
                <w:sz w:val="15"/>
              </w:rPr>
              <w:t>Total</w:t>
            </w:r>
          </w:p>
        </w:tc>
        <w:tc>
          <w:tcPr>
            <w:tcW w:type="dxa" w:w="1170"/>
          </w:tcPr>
          <w:p>
            <w:r>
              <w:rPr>
                <w:sz w:val="15"/>
              </w:rPr>
              <w:t>3676</w:t>
            </w:r>
          </w:p>
        </w:tc>
        <w:tc>
          <w:tcPr>
            <w:tcW w:type="dxa" w:w="1170"/>
          </w:tcPr>
          <w:p>
            <w:r>
              <w:rPr>
                <w:sz w:val="15"/>
              </w:rPr>
              <w:t>15,68</w:t>
            </w:r>
          </w:p>
        </w:tc>
        <w:tc>
          <w:tcPr>
            <w:tcW w:type="dxa" w:w="1170"/>
          </w:tcPr>
          <w:p>
            <w:r>
              <w:rPr>
                <w:sz w:val="15"/>
              </w:rPr>
              <w:t>1,34 (1,31)</w:t>
            </w:r>
          </w:p>
        </w:tc>
        <w:tc>
          <w:tcPr>
            <w:tcW w:type="dxa" w:w="1170"/>
          </w:tcPr>
          <w:p>
            <w:r>
              <w:rPr>
                <w:sz w:val="15"/>
              </w:rPr>
              <w:t>1,00 (0,00–3,00)</w:t>
            </w:r>
          </w:p>
        </w:tc>
        <w:tc>
          <w:tcPr>
            <w:tcW w:type="dxa" w:w="1170"/>
          </w:tcPr>
          <w:p>
            <w:r>
              <w:rPr>
                <w:sz w:val="15"/>
              </w:rPr>
              <w:t>7,83 (0,69)</w:t>
            </w:r>
          </w:p>
        </w:tc>
        <w:tc>
          <w:tcPr>
            <w:tcW w:type="dxa" w:w="1170"/>
          </w:tcPr>
          <w:p>
            <w:r>
              <w:rPr>
                <w:sz w:val="15"/>
              </w:rPr>
              <w:t>38,41 (2,36)</w:t>
            </w:r>
          </w:p>
        </w:tc>
      </w:tr>
    </w:tbl>
    <w:p>
      <w:pPr>
        <w:pStyle w:val="BodyText"/>
      </w:pPr>
      <w:r>
        <w:t>Tabla A2. Mortalidad fetal por categoría operacional de adherencia.</w:t>
      </w:r>
    </w:p>
    <w:tbl>
      <w:tblPr>
        <w:tblW w:type="auto" w:w="0"/>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560"/>
          </w:tcPr>
          <w:p>
            <w:r>
              <w:rPr>
                <w:b/>
                <w:sz w:val="15"/>
              </w:rPr>
              <w:t>Adherencia</w:t>
            </w:r>
          </w:p>
        </w:tc>
        <w:tc>
          <w:tcPr>
            <w:tcW w:type="dxa" w:w="1560"/>
          </w:tcPr>
          <w:p>
            <w:r>
              <w:rPr>
                <w:b/>
                <w:sz w:val="15"/>
              </w:rPr>
              <w:t>N</w:t>
            </w:r>
          </w:p>
        </w:tc>
        <w:tc>
          <w:tcPr>
            <w:tcW w:type="dxa" w:w="1560"/>
          </w:tcPr>
          <w:p>
            <w:r>
              <w:rPr>
                <w:b/>
                <w:sz w:val="15"/>
              </w:rPr>
              <w:t>Muertes</w:t>
            </w:r>
          </w:p>
        </w:tc>
        <w:tc>
          <w:tcPr>
            <w:tcW w:type="dxa" w:w="1560"/>
          </w:tcPr>
          <w:p>
            <w:r>
              <w:rPr>
                <w:b/>
                <w:sz w:val="15"/>
              </w:rPr>
              <w:t>Mortalidad (%)</w:t>
            </w:r>
          </w:p>
        </w:tc>
        <w:tc>
          <w:tcPr>
            <w:tcW w:type="dxa" w:w="1560"/>
          </w:tcPr>
          <w:p>
            <w:r>
              <w:rPr>
                <w:b/>
                <w:sz w:val="15"/>
              </w:rPr>
              <w:t>IC95% inf</w:t>
            </w:r>
          </w:p>
        </w:tc>
        <w:tc>
          <w:tcPr>
            <w:tcW w:type="dxa" w:w="1560"/>
          </w:tcPr>
          <w:p>
            <w:r>
              <w:rPr>
                <w:b/>
                <w:sz w:val="15"/>
              </w:rPr>
              <w:t>IC95% sup</w:t>
            </w:r>
          </w:p>
        </w:tc>
      </w:tr>
      <w:tr>
        <w:trPr>
          <w:cantSplit/>
        </w:trPr>
        <w:tc>
          <w:tcPr>
            <w:tcW w:type="dxa" w:w="1560"/>
          </w:tcPr>
          <w:p>
            <w:r>
              <w:rPr>
                <w:sz w:val="15"/>
              </w:rPr>
              <w:t>Buena</w:t>
            </w:r>
          </w:p>
        </w:tc>
        <w:tc>
          <w:tcPr>
            <w:tcW w:type="dxa" w:w="1560"/>
          </w:tcPr>
          <w:p>
            <w:r>
              <w:rPr>
                <w:sz w:val="15"/>
              </w:rPr>
              <w:t>10242</w:t>
            </w:r>
          </w:p>
        </w:tc>
        <w:tc>
          <w:tcPr>
            <w:tcW w:type="dxa" w:w="1560"/>
          </w:tcPr>
          <w:p>
            <w:r>
              <w:rPr>
                <w:sz w:val="15"/>
              </w:rPr>
              <w:t>160</w:t>
            </w:r>
          </w:p>
        </w:tc>
        <w:tc>
          <w:tcPr>
            <w:tcW w:type="dxa" w:w="1560"/>
          </w:tcPr>
          <w:p>
            <w:r>
              <w:rPr>
                <w:sz w:val="15"/>
              </w:rPr>
              <w:t>1,56%</w:t>
            </w:r>
          </w:p>
        </w:tc>
        <w:tc>
          <w:tcPr>
            <w:tcW w:type="dxa" w:w="1560"/>
          </w:tcPr>
          <w:p>
            <w:r>
              <w:rPr>
                <w:sz w:val="15"/>
              </w:rPr>
              <w:t>1,34</w:t>
            </w:r>
          </w:p>
        </w:tc>
        <w:tc>
          <w:tcPr>
            <w:tcW w:type="dxa" w:w="1560"/>
          </w:tcPr>
          <w:p>
            <w:r>
              <w:rPr>
                <w:sz w:val="15"/>
              </w:rPr>
              <w:t>1,82</w:t>
            </w:r>
          </w:p>
        </w:tc>
      </w:tr>
      <w:tr>
        <w:trPr>
          <w:cantSplit/>
        </w:trPr>
        <w:tc>
          <w:tcPr>
            <w:tcW w:type="dxa" w:w="1560"/>
          </w:tcPr>
          <w:p>
            <w:r>
              <w:rPr>
                <w:sz w:val="15"/>
              </w:rPr>
              <w:t>Parcial</w:t>
            </w:r>
          </w:p>
        </w:tc>
        <w:tc>
          <w:tcPr>
            <w:tcW w:type="dxa" w:w="1560"/>
          </w:tcPr>
          <w:p>
            <w:r>
              <w:rPr>
                <w:sz w:val="15"/>
              </w:rPr>
              <w:t>9524</w:t>
            </w:r>
          </w:p>
        </w:tc>
        <w:tc>
          <w:tcPr>
            <w:tcW w:type="dxa" w:w="1560"/>
          </w:tcPr>
          <w:p>
            <w:r>
              <w:rPr>
                <w:sz w:val="15"/>
              </w:rPr>
              <w:t>140</w:t>
            </w:r>
          </w:p>
        </w:tc>
        <w:tc>
          <w:tcPr>
            <w:tcW w:type="dxa" w:w="1560"/>
          </w:tcPr>
          <w:p>
            <w:r>
              <w:rPr>
                <w:sz w:val="15"/>
              </w:rPr>
              <w:t>1,47%</w:t>
            </w:r>
          </w:p>
        </w:tc>
        <w:tc>
          <w:tcPr>
            <w:tcW w:type="dxa" w:w="1560"/>
          </w:tcPr>
          <w:p>
            <w:r>
              <w:rPr>
                <w:sz w:val="15"/>
              </w:rPr>
              <w:t>1,25</w:t>
            </w:r>
          </w:p>
        </w:tc>
        <w:tc>
          <w:tcPr>
            <w:tcW w:type="dxa" w:w="1560"/>
          </w:tcPr>
          <w:p>
            <w:r>
              <w:rPr>
                <w:sz w:val="15"/>
              </w:rPr>
              <w:t>1,73</w:t>
            </w:r>
          </w:p>
        </w:tc>
      </w:tr>
      <w:tr>
        <w:trPr>
          <w:cantSplit/>
        </w:trPr>
        <w:tc>
          <w:tcPr>
            <w:tcW w:type="dxa" w:w="1560"/>
          </w:tcPr>
          <w:p>
            <w:r>
              <w:rPr>
                <w:sz w:val="15"/>
              </w:rPr>
              <w:t>Baja</w:t>
            </w:r>
          </w:p>
        </w:tc>
        <w:tc>
          <w:tcPr>
            <w:tcW w:type="dxa" w:w="1560"/>
          </w:tcPr>
          <w:p>
            <w:r>
              <w:rPr>
                <w:sz w:val="15"/>
              </w:rPr>
              <w:t>3676</w:t>
            </w:r>
          </w:p>
        </w:tc>
        <w:tc>
          <w:tcPr>
            <w:tcW w:type="dxa" w:w="1560"/>
          </w:tcPr>
          <w:p>
            <w:r>
              <w:rPr>
                <w:sz w:val="15"/>
              </w:rPr>
              <w:t>123</w:t>
            </w:r>
          </w:p>
        </w:tc>
        <w:tc>
          <w:tcPr>
            <w:tcW w:type="dxa" w:w="1560"/>
          </w:tcPr>
          <w:p>
            <w:r>
              <w:rPr>
                <w:sz w:val="15"/>
              </w:rPr>
              <w:t>3,35%</w:t>
            </w:r>
          </w:p>
        </w:tc>
        <w:tc>
          <w:tcPr>
            <w:tcW w:type="dxa" w:w="1560"/>
          </w:tcPr>
          <w:p>
            <w:r>
              <w:rPr>
                <w:sz w:val="15"/>
              </w:rPr>
              <w:t>2,81</w:t>
            </w:r>
          </w:p>
        </w:tc>
        <w:tc>
          <w:tcPr>
            <w:tcW w:type="dxa" w:w="1560"/>
          </w:tcPr>
          <w:p>
            <w:r>
              <w:rPr>
                <w:sz w:val="15"/>
              </w:rPr>
              <w:t>3,98</w:t>
            </w:r>
          </w:p>
        </w:tc>
      </w:tr>
    </w:tbl>
    <w:p>
      <w:pPr>
        <w:pStyle w:val="BodyText"/>
      </w:pPr>
      <w:r>
        <w:t>Tabla A3. Regresión logística de adherencia y muerte fetal.</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trPr>
        <w:tc>
          <w:tcPr>
            <w:tcW w:type="dxa" w:w="1170"/>
          </w:tcPr>
          <w:p>
            <w:r>
              <w:rPr>
                <w:b/>
                <w:sz w:val="15"/>
              </w:rPr>
              <w:t>Modelo</w:t>
            </w:r>
          </w:p>
        </w:tc>
        <w:tc>
          <w:tcPr>
            <w:tcW w:type="dxa" w:w="1170"/>
          </w:tcPr>
          <w:p>
            <w:r>
              <w:rPr>
                <w:b/>
                <w:sz w:val="15"/>
              </w:rPr>
              <w:t>Contraste</w:t>
            </w:r>
          </w:p>
        </w:tc>
        <w:tc>
          <w:tcPr>
            <w:tcW w:type="dxa" w:w="1170"/>
          </w:tcPr>
          <w:p>
            <w:r>
              <w:rPr>
                <w:b/>
                <w:sz w:val="15"/>
              </w:rPr>
              <w:t>OR</w:t>
            </w:r>
          </w:p>
        </w:tc>
        <w:tc>
          <w:tcPr>
            <w:tcW w:type="dxa" w:w="1170"/>
          </w:tcPr>
          <w:p>
            <w:r>
              <w:rPr>
                <w:b/>
                <w:sz w:val="15"/>
              </w:rPr>
              <w:t>IC95% inf</w:t>
            </w:r>
          </w:p>
        </w:tc>
        <w:tc>
          <w:tcPr>
            <w:tcW w:type="dxa" w:w="1170"/>
          </w:tcPr>
          <w:p>
            <w:r>
              <w:rPr>
                <w:b/>
                <w:sz w:val="15"/>
              </w:rPr>
              <w:t>IC95% sup</w:t>
            </w:r>
          </w:p>
        </w:tc>
        <w:tc>
          <w:tcPr>
            <w:tcW w:type="dxa" w:w="1170"/>
          </w:tcPr>
          <w:p>
            <w:r>
              <w:rPr>
                <w:b/>
                <w:sz w:val="15"/>
              </w:rPr>
              <w:t>p</w:t>
            </w:r>
          </w:p>
        </w:tc>
        <w:tc>
          <w:tcPr>
            <w:tcW w:type="dxa" w:w="1170"/>
          </w:tcPr>
          <w:p>
            <w:r>
              <w:rPr>
                <w:b/>
                <w:sz w:val="15"/>
              </w:rPr>
              <w:t>N</w:t>
            </w:r>
          </w:p>
        </w:tc>
        <w:tc>
          <w:tcPr>
            <w:tcW w:type="dxa" w:w="1170"/>
          </w:tcPr>
          <w:p>
            <w:r>
              <w:rPr>
                <w:b/>
                <w:sz w:val="15"/>
              </w:rPr>
              <w:t>Eventos</w:t>
            </w:r>
          </w:p>
        </w:tc>
      </w:tr>
      <w:tr>
        <w:trPr>
          <w:cantSplit/>
        </w:trPr>
        <w:tc>
          <w:tcPr>
            <w:tcW w:type="dxa" w:w="1170"/>
          </w:tcPr>
          <w:p>
            <w:r>
              <w:rPr>
                <w:sz w:val="15"/>
              </w:rPr>
              <w:t>Crudo</w:t>
            </w:r>
          </w:p>
        </w:tc>
        <w:tc>
          <w:tcPr>
            <w:tcW w:type="dxa" w:w="1170"/>
          </w:tcPr>
          <w:p>
            <w:r>
              <w:rPr>
                <w:sz w:val="15"/>
              </w:rPr>
              <w:t>Parcial vs Buena</w:t>
            </w:r>
          </w:p>
        </w:tc>
        <w:tc>
          <w:tcPr>
            <w:tcW w:type="dxa" w:w="1170"/>
          </w:tcPr>
          <w:p>
            <w:r>
              <w:rPr>
                <w:sz w:val="15"/>
              </w:rPr>
              <w:t>0,94</w:t>
            </w:r>
          </w:p>
        </w:tc>
        <w:tc>
          <w:tcPr>
            <w:tcW w:type="dxa" w:w="1170"/>
          </w:tcPr>
          <w:p>
            <w:r>
              <w:rPr>
                <w:sz w:val="15"/>
              </w:rPr>
              <w:t>0,75</w:t>
            </w:r>
          </w:p>
        </w:tc>
        <w:tc>
          <w:tcPr>
            <w:tcW w:type="dxa" w:w="1170"/>
          </w:tcPr>
          <w:p>
            <w:r>
              <w:rPr>
                <w:sz w:val="15"/>
              </w:rPr>
              <w:t>1,18</w:t>
            </w:r>
          </w:p>
        </w:tc>
        <w:tc>
          <w:tcPr>
            <w:tcW w:type="dxa" w:w="1170"/>
          </w:tcPr>
          <w:p>
            <w:r>
              <w:rPr>
                <w:sz w:val="15"/>
              </w:rPr>
              <w:t>0,596</w:t>
            </w:r>
          </w:p>
        </w:tc>
        <w:tc>
          <w:tcPr>
            <w:tcW w:type="dxa" w:w="1170"/>
          </w:tcPr>
          <w:p>
            <w:r>
              <w:rPr>
                <w:sz w:val="15"/>
              </w:rPr>
              <w:t>23442</w:t>
            </w:r>
          </w:p>
        </w:tc>
        <w:tc>
          <w:tcPr>
            <w:tcW w:type="dxa" w:w="1170"/>
          </w:tcPr>
          <w:p>
            <w:r>
              <w:rPr>
                <w:sz w:val="15"/>
              </w:rPr>
              <w:t>423</w:t>
            </w:r>
          </w:p>
        </w:tc>
      </w:tr>
      <w:tr>
        <w:trPr>
          <w:cantSplit/>
        </w:trPr>
        <w:tc>
          <w:tcPr>
            <w:tcW w:type="dxa" w:w="1170"/>
          </w:tcPr>
          <w:p>
            <w:r>
              <w:rPr>
                <w:sz w:val="15"/>
              </w:rPr>
              <w:t>Crudo</w:t>
            </w:r>
          </w:p>
        </w:tc>
        <w:tc>
          <w:tcPr>
            <w:tcW w:type="dxa" w:w="1170"/>
          </w:tcPr>
          <w:p>
            <w:r>
              <w:rPr>
                <w:sz w:val="15"/>
              </w:rPr>
              <w:t>Baja vs Buena</w:t>
            </w:r>
          </w:p>
        </w:tc>
        <w:tc>
          <w:tcPr>
            <w:tcW w:type="dxa" w:w="1170"/>
          </w:tcPr>
          <w:p>
            <w:r>
              <w:rPr>
                <w:sz w:val="15"/>
              </w:rPr>
              <w:t>2,18</w:t>
            </w:r>
          </w:p>
        </w:tc>
        <w:tc>
          <w:tcPr>
            <w:tcW w:type="dxa" w:w="1170"/>
          </w:tcPr>
          <w:p>
            <w:r>
              <w:rPr>
                <w:sz w:val="15"/>
              </w:rPr>
              <w:t>1,72</w:t>
            </w:r>
          </w:p>
        </w:tc>
        <w:tc>
          <w:tcPr>
            <w:tcW w:type="dxa" w:w="1170"/>
          </w:tcPr>
          <w:p>
            <w:r>
              <w:rPr>
                <w:sz w:val="15"/>
              </w:rPr>
              <w:t>2,77</w:t>
            </w:r>
          </w:p>
        </w:tc>
        <w:tc>
          <w:tcPr>
            <w:tcW w:type="dxa" w:w="1170"/>
          </w:tcPr>
          <w:p>
            <w:r>
              <w:rPr>
                <w:sz w:val="15"/>
              </w:rPr>
              <w:t>&lt;0,001</w:t>
            </w:r>
          </w:p>
        </w:tc>
        <w:tc>
          <w:tcPr>
            <w:tcW w:type="dxa" w:w="1170"/>
          </w:tcPr>
          <w:p>
            <w:r>
              <w:rPr>
                <w:sz w:val="15"/>
              </w:rPr>
              <w:t>23442</w:t>
            </w:r>
          </w:p>
        </w:tc>
        <w:tc>
          <w:tcPr>
            <w:tcW w:type="dxa" w:w="1170"/>
          </w:tcPr>
          <w:p>
            <w:r>
              <w:rPr>
                <w:sz w:val="15"/>
              </w:rPr>
              <w:t>423</w:t>
            </w:r>
          </w:p>
        </w:tc>
      </w:tr>
      <w:tr>
        <w:trPr>
          <w:cantSplit/>
        </w:trPr>
        <w:tc>
          <w:tcPr>
            <w:tcW w:type="dxa" w:w="1170"/>
          </w:tcPr>
          <w:p>
            <w:r>
              <w:rPr>
                <w:sz w:val="15"/>
              </w:rPr>
              <w:t>Ajustado_EG</w:t>
            </w:r>
          </w:p>
        </w:tc>
        <w:tc>
          <w:tcPr>
            <w:tcW w:type="dxa" w:w="1170"/>
          </w:tcPr>
          <w:p>
            <w:r>
              <w:rPr>
                <w:sz w:val="15"/>
              </w:rPr>
              <w:t>Parcial vs Buena</w:t>
            </w:r>
          </w:p>
        </w:tc>
        <w:tc>
          <w:tcPr>
            <w:tcW w:type="dxa" w:w="1170"/>
          </w:tcPr>
          <w:p>
            <w:r>
              <w:rPr>
                <w:sz w:val="15"/>
              </w:rPr>
              <w:t>1,08</w:t>
            </w:r>
          </w:p>
        </w:tc>
        <w:tc>
          <w:tcPr>
            <w:tcW w:type="dxa" w:w="1170"/>
          </w:tcPr>
          <w:p>
            <w:r>
              <w:rPr>
                <w:sz w:val="15"/>
              </w:rPr>
              <w:t>0,85</w:t>
            </w:r>
          </w:p>
        </w:tc>
        <w:tc>
          <w:tcPr>
            <w:tcW w:type="dxa" w:w="1170"/>
          </w:tcPr>
          <w:p>
            <w:r>
              <w:rPr>
                <w:sz w:val="15"/>
              </w:rPr>
              <w:t>1,37</w:t>
            </w:r>
          </w:p>
        </w:tc>
        <w:tc>
          <w:tcPr>
            <w:tcW w:type="dxa" w:w="1170"/>
          </w:tcPr>
          <w:p>
            <w:r>
              <w:rPr>
                <w:sz w:val="15"/>
              </w:rPr>
              <w:t>0,528</w:t>
            </w:r>
          </w:p>
        </w:tc>
        <w:tc>
          <w:tcPr>
            <w:tcW w:type="dxa" w:w="1170"/>
          </w:tcPr>
          <w:p>
            <w:r>
              <w:rPr>
                <w:sz w:val="15"/>
              </w:rPr>
              <w:t>23442</w:t>
            </w:r>
          </w:p>
        </w:tc>
        <w:tc>
          <w:tcPr>
            <w:tcW w:type="dxa" w:w="1170"/>
          </w:tcPr>
          <w:p>
            <w:r>
              <w:rPr>
                <w:sz w:val="15"/>
              </w:rPr>
              <w:t>423</w:t>
            </w:r>
          </w:p>
        </w:tc>
      </w:tr>
      <w:tr>
        <w:trPr>
          <w:cantSplit/>
        </w:trPr>
        <w:tc>
          <w:tcPr>
            <w:tcW w:type="dxa" w:w="1170"/>
          </w:tcPr>
          <w:p>
            <w:r>
              <w:rPr>
                <w:sz w:val="15"/>
              </w:rPr>
              <w:t>Ajustado_EG</w:t>
            </w:r>
          </w:p>
        </w:tc>
        <w:tc>
          <w:tcPr>
            <w:tcW w:type="dxa" w:w="1170"/>
          </w:tcPr>
          <w:p>
            <w:r>
              <w:rPr>
                <w:sz w:val="15"/>
              </w:rPr>
              <w:t>Baja vs Buena</w:t>
            </w:r>
          </w:p>
        </w:tc>
        <w:tc>
          <w:tcPr>
            <w:tcW w:type="dxa" w:w="1170"/>
          </w:tcPr>
          <w:p>
            <w:r>
              <w:rPr>
                <w:sz w:val="15"/>
              </w:rPr>
              <w:t>1,84</w:t>
            </w:r>
          </w:p>
        </w:tc>
        <w:tc>
          <w:tcPr>
            <w:tcW w:type="dxa" w:w="1170"/>
          </w:tcPr>
          <w:p>
            <w:r>
              <w:rPr>
                <w:sz w:val="15"/>
              </w:rPr>
              <w:t>1,43</w:t>
            </w:r>
          </w:p>
        </w:tc>
        <w:tc>
          <w:tcPr>
            <w:tcW w:type="dxa" w:w="1170"/>
          </w:tcPr>
          <w:p>
            <w:r>
              <w:rPr>
                <w:sz w:val="15"/>
              </w:rPr>
              <w:t>2,38</w:t>
            </w:r>
          </w:p>
        </w:tc>
        <w:tc>
          <w:tcPr>
            <w:tcW w:type="dxa" w:w="1170"/>
          </w:tcPr>
          <w:p>
            <w:r>
              <w:rPr>
                <w:sz w:val="15"/>
              </w:rPr>
              <w:t>&lt;0,001</w:t>
            </w:r>
          </w:p>
        </w:tc>
        <w:tc>
          <w:tcPr>
            <w:tcW w:type="dxa" w:w="1170"/>
          </w:tcPr>
          <w:p>
            <w:r>
              <w:rPr>
                <w:sz w:val="15"/>
              </w:rPr>
              <w:t>23442</w:t>
            </w:r>
          </w:p>
        </w:tc>
        <w:tc>
          <w:tcPr>
            <w:tcW w:type="dxa" w:w="1170"/>
          </w:tcPr>
          <w:p>
            <w:r>
              <w:rPr>
                <w:sz w:val="15"/>
              </w:rPr>
              <w:t>423</w:t>
            </w:r>
          </w:p>
        </w:tc>
      </w:tr>
    </w:tbl>
    <w:p>
      <w:pPr>
        <w:pStyle w:val="BodyText"/>
      </w:pPr>
      <w:r>
        <w:t>Tabla A4. Mortalidad fetal por adherencia, estratificada por edad gestacional.</w:t>
      </w:r>
    </w:p>
    <w:tbl>
      <w:tblPr>
        <w:tblW w:type="auto" w:w="0"/>
        <w:tblLook w:firstColumn="1" w:firstRow="1" w:lastColumn="0" w:lastRow="0" w:noHBand="0" w:noVBand="1" w:val="04A0"/>
      </w:tblPr>
      <w:tblGrid>
        <w:gridCol w:w="1337"/>
        <w:gridCol w:w="1337"/>
        <w:gridCol w:w="1337"/>
        <w:gridCol w:w="1337"/>
        <w:gridCol w:w="1337"/>
        <w:gridCol w:w="1337"/>
        <w:gridCol w:w="1337"/>
      </w:tblGrid>
      <w:tr>
        <w:trPr>
          <w:tblHeader w:val="true"/>
          <w:cantSplit/>
        </w:trPr>
        <w:tc>
          <w:tcPr>
            <w:tcW w:type="dxa" w:w="1337"/>
          </w:tcPr>
          <w:p>
            <w:r>
              <w:rPr>
                <w:b/>
                <w:sz w:val="15"/>
              </w:rPr>
              <w:t>Estrato EG</w:t>
            </w:r>
          </w:p>
        </w:tc>
        <w:tc>
          <w:tcPr>
            <w:tcW w:type="dxa" w:w="1337"/>
          </w:tcPr>
          <w:p>
            <w:r>
              <w:rPr>
                <w:b/>
                <w:sz w:val="15"/>
              </w:rPr>
              <w:t>Adherencia</w:t>
            </w:r>
          </w:p>
        </w:tc>
        <w:tc>
          <w:tcPr>
            <w:tcW w:type="dxa" w:w="1337"/>
          </w:tcPr>
          <w:p>
            <w:r>
              <w:rPr>
                <w:b/>
                <w:sz w:val="15"/>
              </w:rPr>
              <w:t>N</w:t>
            </w:r>
          </w:p>
        </w:tc>
        <w:tc>
          <w:tcPr>
            <w:tcW w:type="dxa" w:w="1337"/>
          </w:tcPr>
          <w:p>
            <w:r>
              <w:rPr>
                <w:b/>
                <w:sz w:val="15"/>
              </w:rPr>
              <w:t>Muertes</w:t>
            </w:r>
          </w:p>
        </w:tc>
        <w:tc>
          <w:tcPr>
            <w:tcW w:type="dxa" w:w="1337"/>
          </w:tcPr>
          <w:p>
            <w:r>
              <w:rPr>
                <w:b/>
                <w:sz w:val="15"/>
              </w:rPr>
              <w:t>Mortalidad (%)</w:t>
            </w:r>
          </w:p>
        </w:tc>
        <w:tc>
          <w:tcPr>
            <w:tcW w:type="dxa" w:w="1337"/>
          </w:tcPr>
          <w:p>
            <w:r>
              <w:rPr>
                <w:b/>
                <w:sz w:val="15"/>
              </w:rPr>
              <w:t>IC95% inf</w:t>
            </w:r>
          </w:p>
        </w:tc>
        <w:tc>
          <w:tcPr>
            <w:tcW w:type="dxa" w:w="1337"/>
          </w:tcPr>
          <w:p>
            <w:r>
              <w:rPr>
                <w:b/>
                <w:sz w:val="15"/>
              </w:rPr>
              <w:t>IC95% sup</w:t>
            </w:r>
          </w:p>
        </w:tc>
      </w:tr>
      <w:tr>
        <w:trPr>
          <w:cantSplit/>
        </w:trPr>
        <w:tc>
          <w:tcPr>
            <w:tcW w:type="dxa" w:w="1337"/>
          </w:tcPr>
          <w:p>
            <w:r>
              <w:rPr>
                <w:sz w:val="15"/>
              </w:rPr>
              <w:t>20 a &lt;28 semanas</w:t>
            </w:r>
          </w:p>
        </w:tc>
        <w:tc>
          <w:tcPr>
            <w:tcW w:type="dxa" w:w="1337"/>
          </w:tcPr>
          <w:p>
            <w:r>
              <w:rPr>
                <w:sz w:val="15"/>
              </w:rPr>
              <w:t>Buena</w:t>
            </w:r>
          </w:p>
        </w:tc>
        <w:tc>
          <w:tcPr>
            <w:tcW w:type="dxa" w:w="1337"/>
          </w:tcPr>
          <w:p>
            <w:r>
              <w:rPr>
                <w:sz w:val="15"/>
              </w:rPr>
              <w:t>44</w:t>
            </w:r>
          </w:p>
        </w:tc>
        <w:tc>
          <w:tcPr>
            <w:tcW w:type="dxa" w:w="1337"/>
          </w:tcPr>
          <w:p>
            <w:r>
              <w:rPr>
                <w:sz w:val="15"/>
              </w:rPr>
              <w:t>26</w:t>
            </w:r>
          </w:p>
        </w:tc>
        <w:tc>
          <w:tcPr>
            <w:tcW w:type="dxa" w:w="1337"/>
          </w:tcPr>
          <w:p>
            <w:r>
              <w:rPr>
                <w:sz w:val="15"/>
              </w:rPr>
              <w:t>59,09%</w:t>
            </w:r>
          </w:p>
        </w:tc>
        <w:tc>
          <w:tcPr>
            <w:tcW w:type="dxa" w:w="1337"/>
          </w:tcPr>
          <w:p>
            <w:r>
              <w:rPr>
                <w:sz w:val="15"/>
              </w:rPr>
              <w:t>44,41</w:t>
            </w:r>
          </w:p>
        </w:tc>
        <w:tc>
          <w:tcPr>
            <w:tcW w:type="dxa" w:w="1337"/>
          </w:tcPr>
          <w:p>
            <w:r>
              <w:rPr>
                <w:sz w:val="15"/>
              </w:rPr>
              <w:t>72,31</w:t>
            </w:r>
          </w:p>
        </w:tc>
      </w:tr>
      <w:tr>
        <w:trPr>
          <w:cantSplit/>
        </w:trPr>
        <w:tc>
          <w:tcPr>
            <w:tcW w:type="dxa" w:w="1337"/>
          </w:tcPr>
          <w:p>
            <w:r>
              <w:rPr>
                <w:sz w:val="15"/>
              </w:rPr>
              <w:t>20 a &lt;28 semanas</w:t>
            </w:r>
          </w:p>
        </w:tc>
        <w:tc>
          <w:tcPr>
            <w:tcW w:type="dxa" w:w="1337"/>
          </w:tcPr>
          <w:p>
            <w:r>
              <w:rPr>
                <w:sz w:val="15"/>
              </w:rPr>
              <w:t>Parcial</w:t>
            </w:r>
          </w:p>
        </w:tc>
        <w:tc>
          <w:tcPr>
            <w:tcW w:type="dxa" w:w="1337"/>
          </w:tcPr>
          <w:p>
            <w:r>
              <w:rPr>
                <w:sz w:val="15"/>
              </w:rPr>
              <w:t>16</w:t>
            </w:r>
          </w:p>
        </w:tc>
        <w:tc>
          <w:tcPr>
            <w:tcW w:type="dxa" w:w="1337"/>
          </w:tcPr>
          <w:p>
            <w:r>
              <w:rPr>
                <w:sz w:val="15"/>
              </w:rPr>
              <w:t>7</w:t>
            </w:r>
          </w:p>
        </w:tc>
        <w:tc>
          <w:tcPr>
            <w:tcW w:type="dxa" w:w="1337"/>
          </w:tcPr>
          <w:p>
            <w:r>
              <w:rPr>
                <w:sz w:val="15"/>
              </w:rPr>
              <w:t>43,75%</w:t>
            </w:r>
          </w:p>
        </w:tc>
        <w:tc>
          <w:tcPr>
            <w:tcW w:type="dxa" w:w="1337"/>
          </w:tcPr>
          <w:p>
            <w:r>
              <w:rPr>
                <w:sz w:val="15"/>
              </w:rPr>
              <w:t>23,10</w:t>
            </w:r>
          </w:p>
        </w:tc>
        <w:tc>
          <w:tcPr>
            <w:tcW w:type="dxa" w:w="1337"/>
          </w:tcPr>
          <w:p>
            <w:r>
              <w:rPr>
                <w:sz w:val="15"/>
              </w:rPr>
              <w:t>66,82</w:t>
            </w:r>
          </w:p>
        </w:tc>
      </w:tr>
      <w:tr>
        <w:trPr>
          <w:cantSplit/>
        </w:trPr>
        <w:tc>
          <w:tcPr>
            <w:tcW w:type="dxa" w:w="1337"/>
          </w:tcPr>
          <w:p>
            <w:r>
              <w:rPr>
                <w:sz w:val="15"/>
              </w:rPr>
              <w:t>20 a &lt;28 semanas</w:t>
            </w:r>
          </w:p>
        </w:tc>
        <w:tc>
          <w:tcPr>
            <w:tcW w:type="dxa" w:w="1337"/>
          </w:tcPr>
          <w:p>
            <w:r>
              <w:rPr>
                <w:sz w:val="15"/>
              </w:rPr>
              <w:t>Baja</w:t>
            </w:r>
          </w:p>
        </w:tc>
        <w:tc>
          <w:tcPr>
            <w:tcW w:type="dxa" w:w="1337"/>
          </w:tcPr>
          <w:p>
            <w:r>
              <w:rPr>
                <w:sz w:val="15"/>
              </w:rPr>
              <w:t>42</w:t>
            </w:r>
          </w:p>
        </w:tc>
        <w:tc>
          <w:tcPr>
            <w:tcW w:type="dxa" w:w="1337"/>
          </w:tcPr>
          <w:p>
            <w:r>
              <w:rPr>
                <w:sz w:val="15"/>
              </w:rPr>
              <w:t>26</w:t>
            </w:r>
          </w:p>
        </w:tc>
        <w:tc>
          <w:tcPr>
            <w:tcW w:type="dxa" w:w="1337"/>
          </w:tcPr>
          <w:p>
            <w:r>
              <w:rPr>
                <w:sz w:val="15"/>
              </w:rPr>
              <w:t>61,90%</w:t>
            </w:r>
          </w:p>
        </w:tc>
        <w:tc>
          <w:tcPr>
            <w:tcW w:type="dxa" w:w="1337"/>
          </w:tcPr>
          <w:p>
            <w:r>
              <w:rPr>
                <w:sz w:val="15"/>
              </w:rPr>
              <w:t>46,81</w:t>
            </w:r>
          </w:p>
        </w:tc>
        <w:tc>
          <w:tcPr>
            <w:tcW w:type="dxa" w:w="1337"/>
          </w:tcPr>
          <w:p>
            <w:r>
              <w:rPr>
                <w:sz w:val="15"/>
              </w:rPr>
              <w:t>75,00</w:t>
            </w:r>
          </w:p>
        </w:tc>
      </w:tr>
      <w:tr>
        <w:trPr>
          <w:cantSplit/>
        </w:trPr>
        <w:tc>
          <w:tcPr>
            <w:tcW w:type="dxa" w:w="1337"/>
          </w:tcPr>
          <w:p>
            <w:r>
              <w:rPr>
                <w:sz w:val="15"/>
              </w:rPr>
              <w:t>28 a &lt;36 semanas</w:t>
            </w:r>
          </w:p>
        </w:tc>
        <w:tc>
          <w:tcPr>
            <w:tcW w:type="dxa" w:w="1337"/>
          </w:tcPr>
          <w:p>
            <w:r>
              <w:rPr>
                <w:sz w:val="15"/>
              </w:rPr>
              <w:t>Buena</w:t>
            </w:r>
          </w:p>
        </w:tc>
        <w:tc>
          <w:tcPr>
            <w:tcW w:type="dxa" w:w="1337"/>
          </w:tcPr>
          <w:p>
            <w:r>
              <w:rPr>
                <w:sz w:val="15"/>
              </w:rPr>
              <w:t>681</w:t>
            </w:r>
          </w:p>
        </w:tc>
        <w:tc>
          <w:tcPr>
            <w:tcW w:type="dxa" w:w="1337"/>
          </w:tcPr>
          <w:p>
            <w:r>
              <w:rPr>
                <w:sz w:val="15"/>
              </w:rPr>
              <w:t>35</w:t>
            </w:r>
          </w:p>
        </w:tc>
        <w:tc>
          <w:tcPr>
            <w:tcW w:type="dxa" w:w="1337"/>
          </w:tcPr>
          <w:p>
            <w:r>
              <w:rPr>
                <w:sz w:val="15"/>
              </w:rPr>
              <w:t>5,14%</w:t>
            </w:r>
          </w:p>
        </w:tc>
        <w:tc>
          <w:tcPr>
            <w:tcW w:type="dxa" w:w="1337"/>
          </w:tcPr>
          <w:p>
            <w:r>
              <w:rPr>
                <w:sz w:val="15"/>
              </w:rPr>
              <w:t>3,72</w:t>
            </w:r>
          </w:p>
        </w:tc>
        <w:tc>
          <w:tcPr>
            <w:tcW w:type="dxa" w:w="1337"/>
          </w:tcPr>
          <w:p>
            <w:r>
              <w:rPr>
                <w:sz w:val="15"/>
              </w:rPr>
              <w:t>7,06</w:t>
            </w:r>
          </w:p>
        </w:tc>
      </w:tr>
      <w:tr>
        <w:trPr>
          <w:cantSplit/>
        </w:trPr>
        <w:tc>
          <w:tcPr>
            <w:tcW w:type="dxa" w:w="1337"/>
          </w:tcPr>
          <w:p>
            <w:r>
              <w:rPr>
                <w:sz w:val="15"/>
              </w:rPr>
              <w:t>28 a &lt;36 semanas</w:t>
            </w:r>
          </w:p>
        </w:tc>
        <w:tc>
          <w:tcPr>
            <w:tcW w:type="dxa" w:w="1337"/>
          </w:tcPr>
          <w:p>
            <w:r>
              <w:rPr>
                <w:sz w:val="15"/>
              </w:rPr>
              <w:t>Parcial</w:t>
            </w:r>
          </w:p>
        </w:tc>
        <w:tc>
          <w:tcPr>
            <w:tcW w:type="dxa" w:w="1337"/>
          </w:tcPr>
          <w:p>
            <w:r>
              <w:rPr>
                <w:sz w:val="15"/>
              </w:rPr>
              <w:t>239</w:t>
            </w:r>
          </w:p>
        </w:tc>
        <w:tc>
          <w:tcPr>
            <w:tcW w:type="dxa" w:w="1337"/>
          </w:tcPr>
          <w:p>
            <w:r>
              <w:rPr>
                <w:sz w:val="15"/>
              </w:rPr>
              <w:t>16</w:t>
            </w:r>
          </w:p>
        </w:tc>
        <w:tc>
          <w:tcPr>
            <w:tcW w:type="dxa" w:w="1337"/>
          </w:tcPr>
          <w:p>
            <w:r>
              <w:rPr>
                <w:sz w:val="15"/>
              </w:rPr>
              <w:t>6,69%</w:t>
            </w:r>
          </w:p>
        </w:tc>
        <w:tc>
          <w:tcPr>
            <w:tcW w:type="dxa" w:w="1337"/>
          </w:tcPr>
          <w:p>
            <w:r>
              <w:rPr>
                <w:sz w:val="15"/>
              </w:rPr>
              <w:t>4,16</w:t>
            </w:r>
          </w:p>
        </w:tc>
        <w:tc>
          <w:tcPr>
            <w:tcW w:type="dxa" w:w="1337"/>
          </w:tcPr>
          <w:p>
            <w:r>
              <w:rPr>
                <w:sz w:val="15"/>
              </w:rPr>
              <w:t>10,60</w:t>
            </w:r>
          </w:p>
        </w:tc>
      </w:tr>
      <w:tr>
        <w:trPr>
          <w:cantSplit/>
        </w:trPr>
        <w:tc>
          <w:tcPr>
            <w:tcW w:type="dxa" w:w="1337"/>
          </w:tcPr>
          <w:p>
            <w:r>
              <w:rPr>
                <w:sz w:val="15"/>
              </w:rPr>
              <w:t>28 a &lt;36 semanas</w:t>
            </w:r>
          </w:p>
        </w:tc>
        <w:tc>
          <w:tcPr>
            <w:tcW w:type="dxa" w:w="1337"/>
          </w:tcPr>
          <w:p>
            <w:r>
              <w:rPr>
                <w:sz w:val="15"/>
              </w:rPr>
              <w:t>Baja</w:t>
            </w:r>
          </w:p>
        </w:tc>
        <w:tc>
          <w:tcPr>
            <w:tcW w:type="dxa" w:w="1337"/>
          </w:tcPr>
          <w:p>
            <w:r>
              <w:rPr>
                <w:sz w:val="15"/>
              </w:rPr>
              <w:t>202</w:t>
            </w:r>
          </w:p>
        </w:tc>
        <w:tc>
          <w:tcPr>
            <w:tcW w:type="dxa" w:w="1337"/>
          </w:tcPr>
          <w:p>
            <w:r>
              <w:rPr>
                <w:sz w:val="15"/>
              </w:rPr>
              <w:t>24</w:t>
            </w:r>
          </w:p>
        </w:tc>
        <w:tc>
          <w:tcPr>
            <w:tcW w:type="dxa" w:w="1337"/>
          </w:tcPr>
          <w:p>
            <w:r>
              <w:rPr>
                <w:sz w:val="15"/>
              </w:rPr>
              <w:t>11,88%</w:t>
            </w:r>
          </w:p>
        </w:tc>
        <w:tc>
          <w:tcPr>
            <w:tcW w:type="dxa" w:w="1337"/>
          </w:tcPr>
          <w:p>
            <w:r>
              <w:rPr>
                <w:sz w:val="15"/>
              </w:rPr>
              <w:t>8,12</w:t>
            </w:r>
          </w:p>
        </w:tc>
        <w:tc>
          <w:tcPr>
            <w:tcW w:type="dxa" w:w="1337"/>
          </w:tcPr>
          <w:p>
            <w:r>
              <w:rPr>
                <w:sz w:val="15"/>
              </w:rPr>
              <w:t>17,07</w:t>
            </w:r>
          </w:p>
        </w:tc>
      </w:tr>
      <w:tr>
        <w:trPr>
          <w:cantSplit/>
        </w:trPr>
        <w:tc>
          <w:tcPr>
            <w:tcW w:type="dxa" w:w="1337"/>
          </w:tcPr>
          <w:p>
            <w:r>
              <w:rPr>
                <w:sz w:val="15"/>
              </w:rPr>
              <w:t>≥36 semanas</w:t>
            </w:r>
          </w:p>
        </w:tc>
        <w:tc>
          <w:tcPr>
            <w:tcW w:type="dxa" w:w="1337"/>
          </w:tcPr>
          <w:p>
            <w:r>
              <w:rPr>
                <w:sz w:val="15"/>
              </w:rPr>
              <w:t>Buena</w:t>
            </w:r>
          </w:p>
        </w:tc>
        <w:tc>
          <w:tcPr>
            <w:tcW w:type="dxa" w:w="1337"/>
          </w:tcPr>
          <w:p>
            <w:r>
              <w:rPr>
                <w:sz w:val="15"/>
              </w:rPr>
              <w:t>9.517</w:t>
            </w:r>
          </w:p>
        </w:tc>
        <w:tc>
          <w:tcPr>
            <w:tcW w:type="dxa" w:w="1337"/>
          </w:tcPr>
          <w:p>
            <w:r>
              <w:rPr>
                <w:sz w:val="15"/>
              </w:rPr>
              <w:t>99</w:t>
            </w:r>
          </w:p>
        </w:tc>
        <w:tc>
          <w:tcPr>
            <w:tcW w:type="dxa" w:w="1337"/>
          </w:tcPr>
          <w:p>
            <w:r>
              <w:rPr>
                <w:sz w:val="15"/>
              </w:rPr>
              <w:t>1,04%</w:t>
            </w:r>
          </w:p>
        </w:tc>
        <w:tc>
          <w:tcPr>
            <w:tcW w:type="dxa" w:w="1337"/>
          </w:tcPr>
          <w:p>
            <w:r>
              <w:rPr>
                <w:sz w:val="15"/>
              </w:rPr>
              <w:t>0,86</w:t>
            </w:r>
          </w:p>
        </w:tc>
        <w:tc>
          <w:tcPr>
            <w:tcW w:type="dxa" w:w="1337"/>
          </w:tcPr>
          <w:p>
            <w:r>
              <w:rPr>
                <w:sz w:val="15"/>
              </w:rPr>
              <w:t>1,26</w:t>
            </w:r>
          </w:p>
        </w:tc>
      </w:tr>
      <w:tr>
        <w:trPr>
          <w:cantSplit/>
        </w:trPr>
        <w:tc>
          <w:tcPr>
            <w:tcW w:type="dxa" w:w="1337"/>
          </w:tcPr>
          <w:p>
            <w:r>
              <w:rPr>
                <w:sz w:val="15"/>
              </w:rPr>
              <w:t>≥36 semanas</w:t>
            </w:r>
          </w:p>
        </w:tc>
        <w:tc>
          <w:tcPr>
            <w:tcW w:type="dxa" w:w="1337"/>
          </w:tcPr>
          <w:p>
            <w:r>
              <w:rPr>
                <w:sz w:val="15"/>
              </w:rPr>
              <w:t>Parcial</w:t>
            </w:r>
          </w:p>
        </w:tc>
        <w:tc>
          <w:tcPr>
            <w:tcW w:type="dxa" w:w="1337"/>
          </w:tcPr>
          <w:p>
            <w:r>
              <w:rPr>
                <w:sz w:val="15"/>
              </w:rPr>
              <w:t>9.269</w:t>
            </w:r>
          </w:p>
        </w:tc>
        <w:tc>
          <w:tcPr>
            <w:tcW w:type="dxa" w:w="1337"/>
          </w:tcPr>
          <w:p>
            <w:r>
              <w:rPr>
                <w:sz w:val="15"/>
              </w:rPr>
              <w:t>117</w:t>
            </w:r>
          </w:p>
        </w:tc>
        <w:tc>
          <w:tcPr>
            <w:tcW w:type="dxa" w:w="1337"/>
          </w:tcPr>
          <w:p>
            <w:r>
              <w:rPr>
                <w:sz w:val="15"/>
              </w:rPr>
              <w:t>1,26%</w:t>
            </w:r>
          </w:p>
        </w:tc>
        <w:tc>
          <w:tcPr>
            <w:tcW w:type="dxa" w:w="1337"/>
          </w:tcPr>
          <w:p>
            <w:r>
              <w:rPr>
                <w:sz w:val="15"/>
              </w:rPr>
              <w:t>1,05</w:t>
            </w:r>
          </w:p>
        </w:tc>
        <w:tc>
          <w:tcPr>
            <w:tcW w:type="dxa" w:w="1337"/>
          </w:tcPr>
          <w:p>
            <w:r>
              <w:rPr>
                <w:sz w:val="15"/>
              </w:rPr>
              <w:t>1,51</w:t>
            </w:r>
          </w:p>
        </w:tc>
      </w:tr>
      <w:tr>
        <w:trPr>
          <w:cantSplit/>
        </w:trPr>
        <w:tc>
          <w:tcPr>
            <w:tcW w:type="dxa" w:w="1337"/>
          </w:tcPr>
          <w:p>
            <w:r>
              <w:rPr>
                <w:sz w:val="15"/>
              </w:rPr>
              <w:t>≥36 semanas</w:t>
            </w:r>
          </w:p>
        </w:tc>
        <w:tc>
          <w:tcPr>
            <w:tcW w:type="dxa" w:w="1337"/>
          </w:tcPr>
          <w:p>
            <w:r>
              <w:rPr>
                <w:sz w:val="15"/>
              </w:rPr>
              <w:t>Baja</w:t>
            </w:r>
          </w:p>
        </w:tc>
        <w:tc>
          <w:tcPr>
            <w:tcW w:type="dxa" w:w="1337"/>
          </w:tcPr>
          <w:p>
            <w:r>
              <w:rPr>
                <w:sz w:val="15"/>
              </w:rPr>
              <w:t>3.432</w:t>
            </w:r>
          </w:p>
        </w:tc>
        <w:tc>
          <w:tcPr>
            <w:tcW w:type="dxa" w:w="1337"/>
          </w:tcPr>
          <w:p>
            <w:r>
              <w:rPr>
                <w:sz w:val="15"/>
              </w:rPr>
              <w:t>73</w:t>
            </w:r>
          </w:p>
        </w:tc>
        <w:tc>
          <w:tcPr>
            <w:tcW w:type="dxa" w:w="1337"/>
          </w:tcPr>
          <w:p>
            <w:r>
              <w:rPr>
                <w:sz w:val="15"/>
              </w:rPr>
              <w:t>2,13%</w:t>
            </w:r>
          </w:p>
        </w:tc>
        <w:tc>
          <w:tcPr>
            <w:tcW w:type="dxa" w:w="1337"/>
          </w:tcPr>
          <w:p>
            <w:r>
              <w:rPr>
                <w:sz w:val="15"/>
              </w:rPr>
              <w:t>1,70</w:t>
            </w:r>
          </w:p>
        </w:tc>
        <w:tc>
          <w:tcPr>
            <w:tcW w:type="dxa" w:w="1337"/>
          </w:tcPr>
          <w:p>
            <w:r>
              <w:rPr>
                <w:sz w:val="15"/>
              </w:rPr>
              <w:t>2,67</w:t>
            </w:r>
          </w:p>
        </w:tc>
      </w:tr>
    </w:tbl>
    <w:p>
      <w:pPr>
        <w:pStyle w:val="BodyText"/>
        <w:jc w:val="center"/>
      </w:pPr>
      <w:r>
        <w:drawing>
          <wp:inline>
            <wp:extent cx="5669280" cy="4049486"/>
            <wp:docPr id="61" name="Picture 61"/>
            <wp:cNvGraphicFramePr>
              <a:graphicFrameLocks noChangeAspect="1"/>
            </wp:cNvGraphicFramePr>
            <a:graphic>
              <a:graphicData uri="http://schemas.openxmlformats.org/drawingml/2006/picture">
                <pic:pic>
                  <pic:nvPicPr>
                    <pic:cNvPr id="0" name="adherencia_fig1.png"/>
                    <pic:cNvPicPr/>
                  </pic:nvPicPr>
                  <pic:blipFill>
                    <a:blip r:embed="rId9"/>
                    <a:stretch>
                      <a:fillRect/>
                    </a:stretch>
                  </pic:blipFill>
                  <pic:spPr>
                    <a:xfrm>
                      <a:off x="0" y="0"/>
                      <a:ext cx="5669280" cy="4049486"/>
                    </a:xfrm>
                    <a:prstGeom prst="rect"/>
                  </pic:spPr>
                </pic:pic>
              </a:graphicData>
            </a:graphic>
          </wp:inline>
        </w:drawing>
      </w:r>
    </w:p>
    <w:p>
      <w:pPr>
        <w:pStyle w:val="ImageCaption"/>
      </w:pPr>
      <w:r>
        <w:t>Figura A1. Mortalidad fetal por adherencia a controles prenatales. Puntos: proporciones observadas; barras: IC95% de Wilson.</w:t>
      </w:r>
    </w:p>
    <w:bookmarkEnd w:id="57"/>
    <w:bookmarkStart w:id="61" w:name="análisis-de-sensibilidad"/>
    <w:p>
      <w:pPr>
        <w:pStyle w:val="Heading2"/>
      </w:pPr>
      <w:r>
        <w:t xml:space="preserve">4.10 Análisis de sensibilidad</w:t>
      </w:r>
    </w:p>
    <w:p>
      <w:pPr>
        <w:pStyle w:val="FirstParagraph"/>
      </w:pPr>
      <w:r>
        <w:t xml:space="preserve">Los priors alternativos conservaron prácticamente las estimaciones de acompañamiento, controles y sesiones; para eclampsia, la mediana varió entre 1,44 y 1,91 y mantuvo intervalos amplios. La edad continua produjo estimaciones similares a las del modelo principal. La sensibilidad con edad gestacional modificó varias asociaciones asistenciales, como se indicó antes, por lo que no se consideró estabilidad completa frente a esta especificación. La agrupación preeclampsia/eclampsia produjo OR 1,12 (CrI95% 0,86–1,45; P[OR&gt;1]=0,801). En casos completos, seguro sí vs no tuvo OR 1,31 (CrI95% 0,85–1,94; P[OR&gt;1]=0,892; N=15.924), con pérdida de 32,6% respecto de los registros con desenlace conocido. En acompañamiento detallado, sola vs pareja tuvo OR 1,41 (CrI95% 1,13–1,79; P[OR&gt;1]=0,998).</w:t>
      </w:r>
    </w:p>
    <w:p>
      <w:pPr>
        <w:pStyle w:val="BodyText"/>
      </w:pPr>
      <w:r>
        <w:rPr>
          <w:b/>
          <w:bCs/>
        </w:rPr>
        <w:t xml:space="preserve">Tabla 9. Análisis de sensibilidad bayesiano condensado.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Análisis</w:t>
            </w:r>
          </w:p>
        </w:tc>
        <w:tc>
          <w:tcPr/>
          <w:p>
            <w:pPr>
              <w:pStyle w:val="Compact"/>
              <w:jc w:val="left"/>
            </w:pPr>
            <w:r>
              <w:t xml:space="preserve">Factor</w:t>
            </w:r>
          </w:p>
        </w:tc>
        <w:tc>
          <w:tcPr/>
          <w:p>
            <w:pPr>
              <w:pStyle w:val="Compact"/>
              <w:jc w:val="left"/>
            </w:pPr>
            <w:r>
              <w:t xml:space="preserve">OR</w:t>
            </w:r>
          </w:p>
        </w:tc>
        <w:tc>
          <w:tcPr/>
          <w:p>
            <w:pPr>
              <w:pStyle w:val="Compact"/>
              <w:jc w:val="left"/>
            </w:pPr>
            <w:r>
              <w:t xml:space="preserve">CrI95</w:t>
            </w:r>
          </w:p>
        </w:tc>
        <w:tc>
          <w:tcPr/>
          <w:p>
            <w:pPr>
              <w:pStyle w:val="Compact"/>
              <w:jc w:val="left"/>
            </w:pPr>
            <w:r>
              <w:t xml:space="preserve">P_dirección</w:t>
            </w:r>
          </w:p>
        </w:tc>
      </w:tr>
      <w:tr>
        <w:tc>
          <w:tcPr/>
          <w:p>
            <w:pPr>
              <w:pStyle w:val="Compact"/>
              <w:jc w:val="left"/>
            </w:pPr>
            <w:r>
              <w:t xml:space="preserve">Prior Principal</w:t>
            </w:r>
          </w:p>
        </w:tc>
        <w:tc>
          <w:tcPr/>
          <w:p>
            <w:pPr>
              <w:pStyle w:val="Compact"/>
              <w:jc w:val="left"/>
            </w:pPr>
            <w:r>
              <w:t xml:space="preserve">Eclampsia vs ningún trastorno hipertensivo</w:t>
            </w:r>
          </w:p>
        </w:tc>
        <w:tc>
          <w:tcPr/>
          <w:p>
            <w:pPr>
              <w:pStyle w:val="Compact"/>
              <w:jc w:val="left"/>
            </w:pPr>
            <w:r>
              <w:t xml:space="preserve">1,67</w:t>
            </w:r>
          </w:p>
        </w:tc>
        <w:tc>
          <w:tcPr/>
          <w:p>
            <w:pPr>
              <w:pStyle w:val="Compact"/>
              <w:jc w:val="left"/>
            </w:pPr>
            <w:r>
              <w:t xml:space="preserve">0,62–3,89</w:t>
            </w:r>
          </w:p>
        </w:tc>
        <w:tc>
          <w:tcPr/>
          <w:p>
            <w:pPr>
              <w:pStyle w:val="Compact"/>
              <w:jc w:val="left"/>
            </w:pPr>
            <w:r>
              <w:t xml:space="preserve">0,853</w:t>
            </w:r>
          </w:p>
        </w:tc>
      </w:tr>
      <w:tr>
        <w:tc>
          <w:tcPr/>
          <w:p>
            <w:pPr>
              <w:pStyle w:val="Compact"/>
              <w:jc w:val="left"/>
            </w:pPr>
            <w:r>
              <w:t xml:space="preserve">Prior Principal</w:t>
            </w:r>
          </w:p>
        </w:tc>
        <w:tc>
          <w:tcPr/>
          <w:p>
            <w:pPr>
              <w:pStyle w:val="Compact"/>
              <w:jc w:val="left"/>
            </w:pPr>
            <w:r>
              <w:t xml:space="preserve">Acompañada vs sola</w:t>
            </w:r>
          </w:p>
        </w:tc>
        <w:tc>
          <w:tcPr/>
          <w:p>
            <w:pPr>
              <w:pStyle w:val="Compact"/>
              <w:jc w:val="left"/>
            </w:pPr>
            <w:r>
              <w:t xml:space="preserve">0,71</w:t>
            </w:r>
          </w:p>
        </w:tc>
        <w:tc>
          <w:tcPr/>
          <w:p>
            <w:pPr>
              <w:pStyle w:val="Compact"/>
              <w:jc w:val="left"/>
            </w:pPr>
            <w:r>
              <w:t xml:space="preserve">0,58–0,86</w:t>
            </w:r>
          </w:p>
        </w:tc>
        <w:tc>
          <w:tcPr/>
          <w:p>
            <w:pPr>
              <w:pStyle w:val="Compact"/>
              <w:jc w:val="left"/>
            </w:pPr>
            <w:r>
              <w:t xml:space="preserve">1,000</w:t>
            </w:r>
          </w:p>
        </w:tc>
      </w:tr>
      <w:tr>
        <w:tc>
          <w:tcPr/>
          <w:p>
            <w:pPr>
              <w:pStyle w:val="Compact"/>
              <w:jc w:val="left"/>
            </w:pPr>
            <w:r>
              <w:t xml:space="preserve">Prior Principal</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Principal</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0,68–0,84</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Eclampsia vs ningún trastorno hipertensivo</w:t>
            </w:r>
          </w:p>
        </w:tc>
        <w:tc>
          <w:tcPr/>
          <w:p>
            <w:pPr>
              <w:pStyle w:val="Compact"/>
              <w:jc w:val="left"/>
            </w:pPr>
            <w:r>
              <w:t xml:space="preserve">1,44</w:t>
            </w:r>
          </w:p>
        </w:tc>
        <w:tc>
          <w:tcPr/>
          <w:p>
            <w:pPr>
              <w:pStyle w:val="Compact"/>
              <w:jc w:val="left"/>
            </w:pPr>
            <w:r>
              <w:t xml:space="preserve">0,64–3,01</w:t>
            </w:r>
          </w:p>
        </w:tc>
        <w:tc>
          <w:tcPr/>
          <w:p>
            <w:pPr>
              <w:pStyle w:val="Compact"/>
              <w:jc w:val="left"/>
            </w:pPr>
            <w:r>
              <w:t xml:space="preserve">0,812</w:t>
            </w:r>
          </w:p>
        </w:tc>
      </w:tr>
      <w:tr>
        <w:tc>
          <w:tcPr/>
          <w:p>
            <w:pPr>
              <w:pStyle w:val="Compact"/>
              <w:jc w:val="left"/>
            </w:pPr>
            <w:r>
              <w:t xml:space="preserve">Prior Escéptico</w:t>
            </w:r>
          </w:p>
        </w:tc>
        <w:tc>
          <w:tcPr/>
          <w:p>
            <w:pPr>
              <w:pStyle w:val="Compact"/>
              <w:jc w:val="left"/>
            </w:pPr>
            <w:r>
              <w:t xml:space="preserve">Acompañada vs sola</w:t>
            </w:r>
          </w:p>
        </w:tc>
        <w:tc>
          <w:tcPr/>
          <w:p>
            <w:pPr>
              <w:pStyle w:val="Compact"/>
              <w:jc w:val="left"/>
            </w:pPr>
            <w:r>
              <w:t xml:space="preserve">0,71</w:t>
            </w:r>
          </w:p>
        </w:tc>
        <w:tc>
          <w:tcPr/>
          <w:p>
            <w:pPr>
              <w:pStyle w:val="Compact"/>
              <w:jc w:val="left"/>
            </w:pPr>
            <w:r>
              <w:t xml:space="preserve">0,59–0,87</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Escéptico</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0,69–0,84</w:t>
            </w:r>
          </w:p>
        </w:tc>
        <w:tc>
          <w:tcPr/>
          <w:p>
            <w:pPr>
              <w:pStyle w:val="Compact"/>
              <w:jc w:val="left"/>
            </w:pPr>
            <w:r>
              <w:t xml:space="preserve">1,000</w:t>
            </w:r>
          </w:p>
        </w:tc>
      </w:tr>
      <w:tr>
        <w:tc>
          <w:tcPr/>
          <w:p>
            <w:pPr>
              <w:pStyle w:val="Compact"/>
              <w:jc w:val="left"/>
            </w:pPr>
            <w:r>
              <w:t xml:space="preserve">Prior Amplio</w:t>
            </w:r>
          </w:p>
        </w:tc>
        <w:tc>
          <w:tcPr/>
          <w:p>
            <w:pPr>
              <w:pStyle w:val="Compact"/>
              <w:jc w:val="left"/>
            </w:pPr>
            <w:r>
              <w:t xml:space="preserve">Eclampsia vs ningún trastorno hipertensivo</w:t>
            </w:r>
          </w:p>
        </w:tc>
        <w:tc>
          <w:tcPr/>
          <w:p>
            <w:pPr>
              <w:pStyle w:val="Compact"/>
              <w:jc w:val="left"/>
            </w:pPr>
            <w:r>
              <w:t xml:space="preserve">1,91</w:t>
            </w:r>
          </w:p>
        </w:tc>
        <w:tc>
          <w:tcPr/>
          <w:p>
            <w:pPr>
              <w:pStyle w:val="Compact"/>
              <w:jc w:val="left"/>
            </w:pPr>
            <w:r>
              <w:t xml:space="preserve">0,63–4,71</w:t>
            </w:r>
          </w:p>
        </w:tc>
        <w:tc>
          <w:tcPr/>
          <w:p>
            <w:pPr>
              <w:pStyle w:val="Compact"/>
              <w:jc w:val="left"/>
            </w:pPr>
            <w:r>
              <w:t xml:space="preserve">0,886</w:t>
            </w:r>
          </w:p>
        </w:tc>
      </w:tr>
      <w:tr>
        <w:tc>
          <w:tcPr/>
          <w:p>
            <w:pPr>
              <w:pStyle w:val="Compact"/>
              <w:jc w:val="left"/>
            </w:pPr>
            <w:r>
              <w:t xml:space="preserve">Prior Amplio</w:t>
            </w:r>
          </w:p>
        </w:tc>
        <w:tc>
          <w:tcPr/>
          <w:p>
            <w:pPr>
              <w:pStyle w:val="Compact"/>
              <w:jc w:val="left"/>
            </w:pPr>
            <w:r>
              <w:t xml:space="preserve">Acompañada vs sola</w:t>
            </w:r>
          </w:p>
        </w:tc>
        <w:tc>
          <w:tcPr/>
          <w:p>
            <w:pPr>
              <w:pStyle w:val="Compact"/>
              <w:jc w:val="left"/>
            </w:pPr>
            <w:r>
              <w:t xml:space="preserve">0,70</w:t>
            </w:r>
          </w:p>
        </w:tc>
        <w:tc>
          <w:tcPr/>
          <w:p>
            <w:pPr>
              <w:pStyle w:val="Compact"/>
              <w:jc w:val="left"/>
            </w:pPr>
            <w:r>
              <w:t xml:space="preserve">0,58–0,86</w:t>
            </w:r>
          </w:p>
        </w:tc>
        <w:tc>
          <w:tcPr/>
          <w:p>
            <w:pPr>
              <w:pStyle w:val="Compact"/>
              <w:jc w:val="left"/>
            </w:pPr>
            <w:r>
              <w:t xml:space="preserve">0,999</w:t>
            </w:r>
          </w:p>
        </w:tc>
      </w:tr>
      <w:tr>
        <w:tc>
          <w:tcPr/>
          <w:p>
            <w:pPr>
              <w:pStyle w:val="Compact"/>
              <w:jc w:val="left"/>
            </w:pPr>
            <w:r>
              <w:t xml:space="preserve">Prior Amplio</w:t>
            </w:r>
          </w:p>
        </w:tc>
        <w:tc>
          <w:tcPr/>
          <w:p>
            <w:pPr>
              <w:pStyle w:val="Compact"/>
              <w:jc w:val="left"/>
            </w:pPr>
            <w:r>
              <w:t xml:space="preserve">Controles prenatales, por 1 DE adicional</w:t>
            </w:r>
          </w:p>
        </w:tc>
        <w:tc>
          <w:tcPr/>
          <w:p>
            <w:pPr>
              <w:pStyle w:val="Compact"/>
              <w:jc w:val="left"/>
            </w:pPr>
            <w:r>
              <w:t xml:space="preserve">0,62</w:t>
            </w:r>
          </w:p>
        </w:tc>
        <w:tc>
          <w:tcPr/>
          <w:p>
            <w:pPr>
              <w:pStyle w:val="Compact"/>
              <w:jc w:val="left"/>
            </w:pPr>
            <w:r>
              <w:t xml:space="preserve">0,57–0,68</w:t>
            </w:r>
          </w:p>
        </w:tc>
        <w:tc>
          <w:tcPr/>
          <w:p>
            <w:pPr>
              <w:pStyle w:val="Compact"/>
              <w:jc w:val="left"/>
            </w:pPr>
            <w:r>
              <w:t xml:space="preserve">1,000</w:t>
            </w:r>
          </w:p>
        </w:tc>
      </w:tr>
      <w:tr>
        <w:tc>
          <w:tcPr/>
          <w:p>
            <w:pPr>
              <w:pStyle w:val="Compact"/>
              <w:jc w:val="left"/>
            </w:pPr>
            <w:r>
              <w:t xml:space="preserve">Prior Amplio</w:t>
            </w:r>
          </w:p>
        </w:tc>
        <w:tc>
          <w:tcPr/>
          <w:p>
            <w:pPr>
              <w:pStyle w:val="Compact"/>
              <w:jc w:val="left"/>
            </w:pPr>
            <w:r>
              <w:t xml:space="preserve">Sesiones de psicoprofilaxis, por 1 DE adicional</w:t>
            </w:r>
          </w:p>
        </w:tc>
        <w:tc>
          <w:tcPr/>
          <w:p>
            <w:pPr>
              <w:pStyle w:val="Compact"/>
              <w:jc w:val="left"/>
            </w:pPr>
            <w:r>
              <w:t xml:space="preserve">0,76</w:t>
            </w:r>
          </w:p>
        </w:tc>
        <w:tc>
          <w:tcPr/>
          <w:p>
            <w:pPr>
              <w:pStyle w:val="Compact"/>
              <w:jc w:val="left"/>
            </w:pPr>
            <w:r>
              <w:t xml:space="preserve">0,68–0,84</w:t>
            </w:r>
          </w:p>
        </w:tc>
        <w:tc>
          <w:tcPr/>
          <w:p>
            <w:pPr>
              <w:pStyle w:val="Compact"/>
              <w:jc w:val="left"/>
            </w:pPr>
            <w:r>
              <w:t xml:space="preserve">1,000</w:t>
            </w:r>
          </w:p>
        </w:tc>
      </w:tr>
      <w:tr>
        <w:tc>
          <w:tcPr/>
          <w:p>
            <w:pPr>
              <w:pStyle w:val="Compact"/>
              <w:jc w:val="left"/>
            </w:pPr>
            <w:r>
              <w:t xml:space="preserve">Ajustado por edad gestacional</w:t>
            </w:r>
          </w:p>
        </w:tc>
        <w:tc>
          <w:tcPr/>
          <w:p>
            <w:pPr>
              <w:pStyle w:val="Compact"/>
              <w:jc w:val="left"/>
            </w:pPr>
            <w:r>
              <w:t xml:space="preserve">Acompañada vs sola</w:t>
            </w:r>
          </w:p>
        </w:tc>
        <w:tc>
          <w:tcPr/>
          <w:p>
            <w:pPr>
              <w:pStyle w:val="Compact"/>
              <w:jc w:val="left"/>
            </w:pPr>
            <w:r>
              <w:t xml:space="preserve">0,99</w:t>
            </w:r>
          </w:p>
        </w:tc>
        <w:tc>
          <w:tcPr/>
          <w:p>
            <w:pPr>
              <w:pStyle w:val="Compact"/>
              <w:jc w:val="left"/>
            </w:pPr>
            <w:r>
              <w:t xml:space="preserve">0,79–1,25</w:t>
            </w:r>
          </w:p>
        </w:tc>
        <w:tc>
          <w:tcPr/>
          <w:p>
            <w:pPr>
              <w:pStyle w:val="Compact"/>
              <w:jc w:val="left"/>
            </w:pPr>
            <w:r>
              <w:t xml:space="preserve">0,532</w:t>
            </w:r>
          </w:p>
        </w:tc>
      </w:tr>
      <w:tr>
        <w:tc>
          <w:tcPr/>
          <w:p>
            <w:pPr>
              <w:pStyle w:val="Compact"/>
              <w:jc w:val="left"/>
            </w:pPr>
            <w:r>
              <w:t xml:space="preserve">Ajustado por edad gestacional</w:t>
            </w:r>
          </w:p>
        </w:tc>
        <w:tc>
          <w:tcPr/>
          <w:p>
            <w:pPr>
              <w:pStyle w:val="Compact"/>
              <w:jc w:val="left"/>
            </w:pPr>
            <w:r>
              <w:t xml:space="preserve">Controles prenatales, por 1 DE adicional</w:t>
            </w:r>
          </w:p>
        </w:tc>
        <w:tc>
          <w:tcPr/>
          <w:p>
            <w:pPr>
              <w:pStyle w:val="Compact"/>
              <w:jc w:val="left"/>
            </w:pPr>
            <w:r>
              <w:t xml:space="preserve">0,80</w:t>
            </w:r>
          </w:p>
        </w:tc>
        <w:tc>
          <w:tcPr/>
          <w:p>
            <w:pPr>
              <w:pStyle w:val="Compact"/>
              <w:jc w:val="left"/>
            </w:pPr>
            <w:r>
              <w:t xml:space="preserve">0,72–0,89</w:t>
            </w:r>
          </w:p>
        </w:tc>
        <w:tc>
          <w:tcPr/>
          <w:p>
            <w:pPr>
              <w:pStyle w:val="Compact"/>
              <w:jc w:val="left"/>
            </w:pPr>
            <w:r>
              <w:t xml:space="preserve">1,000</w:t>
            </w:r>
          </w:p>
        </w:tc>
      </w:tr>
      <w:tr>
        <w:tc>
          <w:tcPr/>
          <w:p>
            <w:pPr>
              <w:pStyle w:val="Compact"/>
              <w:jc w:val="left"/>
            </w:pPr>
            <w:r>
              <w:t xml:space="preserve">Ajustado por edad gestacional</w:t>
            </w:r>
          </w:p>
        </w:tc>
        <w:tc>
          <w:tcPr/>
          <w:p>
            <w:pPr>
              <w:pStyle w:val="Compact"/>
              <w:jc w:val="left"/>
            </w:pPr>
            <w:r>
              <w:t xml:space="preserve">Sesiones de psicoprofilaxis, por 1 DE adicional</w:t>
            </w:r>
          </w:p>
        </w:tc>
        <w:tc>
          <w:tcPr/>
          <w:p>
            <w:pPr>
              <w:pStyle w:val="Compact"/>
              <w:jc w:val="left"/>
            </w:pPr>
            <w:r>
              <w:t xml:space="preserve">0,93</w:t>
            </w:r>
          </w:p>
        </w:tc>
        <w:tc>
          <w:tcPr/>
          <w:p>
            <w:pPr>
              <w:pStyle w:val="Compact"/>
              <w:jc w:val="left"/>
            </w:pPr>
            <w:r>
              <w:t xml:space="preserve">0,83–1,04</w:t>
            </w:r>
          </w:p>
        </w:tc>
        <w:tc>
          <w:tcPr/>
          <w:p>
            <w:pPr>
              <w:pStyle w:val="Compact"/>
              <w:jc w:val="left"/>
            </w:pPr>
            <w:r>
              <w:t xml:space="preserve">0,904</w:t>
            </w:r>
          </w:p>
        </w:tc>
      </w:tr>
      <w:tr>
        <w:tc>
          <w:tcPr/>
          <w:p>
            <w:pPr>
              <w:pStyle w:val="Compact"/>
              <w:jc w:val="left"/>
            </w:pPr>
            <w:r>
              <w:t xml:space="preserve">Ajustado por edad gestacional</w:t>
            </w:r>
          </w:p>
        </w:tc>
        <w:tc>
          <w:tcPr/>
          <w:p>
            <w:pPr>
              <w:pStyle w:val="Compact"/>
              <w:jc w:val="left"/>
            </w:pPr>
            <w:r>
              <w:t xml:space="preserve">Edad gestacional, por 1 DE adicional</w:t>
            </w:r>
          </w:p>
        </w:tc>
        <w:tc>
          <w:tcPr/>
          <w:p>
            <w:pPr>
              <w:pStyle w:val="Compact"/>
              <w:jc w:val="left"/>
            </w:pPr>
            <w:r>
              <w:t xml:space="preserve">0,57</w:t>
            </w:r>
          </w:p>
        </w:tc>
        <w:tc>
          <w:tcPr/>
          <w:p>
            <w:pPr>
              <w:pStyle w:val="Compact"/>
              <w:jc w:val="left"/>
            </w:pPr>
            <w:r>
              <w:t xml:space="preserve">0,54–0,60</w:t>
            </w:r>
          </w:p>
        </w:tc>
        <w:tc>
          <w:tcPr/>
          <w:p>
            <w:pPr>
              <w:pStyle w:val="Compact"/>
              <w:jc w:val="left"/>
            </w:pPr>
            <w:r>
              <w:t xml:space="preserve">1,000</w:t>
            </w:r>
          </w:p>
        </w:tc>
      </w:tr>
      <w:tr>
        <w:tc>
          <w:tcPr/>
          <w:p>
            <w:pPr>
              <w:pStyle w:val="Compact"/>
              <w:jc w:val="left"/>
            </w:pPr>
            <w:r>
              <w:t xml:space="preserve">Hipertensión agrupada</w:t>
            </w:r>
          </w:p>
        </w:tc>
        <w:tc>
          <w:tcPr/>
          <w:p>
            <w:pPr>
              <w:pStyle w:val="Compact"/>
              <w:jc w:val="left"/>
            </w:pPr>
            <w:r>
              <w:t xml:space="preserve">Preeclampsia/eclampsia vs ninguno</w:t>
            </w:r>
          </w:p>
        </w:tc>
        <w:tc>
          <w:tcPr/>
          <w:p>
            <w:pPr>
              <w:pStyle w:val="Compact"/>
              <w:jc w:val="left"/>
            </w:pPr>
            <w:r>
              <w:t xml:space="preserve">1,12</w:t>
            </w:r>
          </w:p>
        </w:tc>
        <w:tc>
          <w:tcPr/>
          <w:p>
            <w:pPr>
              <w:pStyle w:val="Compact"/>
              <w:jc w:val="left"/>
            </w:pPr>
            <w:r>
              <w:t xml:space="preserve">0,86–1,45</w:t>
            </w:r>
          </w:p>
        </w:tc>
        <w:tc>
          <w:tcPr/>
          <w:p>
            <w:pPr>
              <w:pStyle w:val="Compact"/>
              <w:jc w:val="left"/>
            </w:pPr>
            <w:r>
              <w:t xml:space="preserve">0,801</w:t>
            </w:r>
          </w:p>
        </w:tc>
      </w:tr>
      <w:tr>
        <w:tc>
          <w:tcPr/>
          <w:p>
            <w:pPr>
              <w:pStyle w:val="Compact"/>
              <w:jc w:val="left"/>
            </w:pPr>
            <w:r>
              <w:t xml:space="preserve">Seguro, casos completos</w:t>
            </w:r>
          </w:p>
        </w:tc>
        <w:tc>
          <w:tcPr/>
          <w:p>
            <w:pPr>
              <w:pStyle w:val="Compact"/>
              <w:jc w:val="left"/>
            </w:pPr>
            <w:r>
              <w:t xml:space="preserve">Seguro sí vs no</w:t>
            </w:r>
          </w:p>
        </w:tc>
        <w:tc>
          <w:tcPr/>
          <w:p>
            <w:pPr>
              <w:pStyle w:val="Compact"/>
              <w:jc w:val="left"/>
            </w:pPr>
            <w:r>
              <w:t xml:space="preserve">1,31</w:t>
            </w:r>
          </w:p>
        </w:tc>
        <w:tc>
          <w:tcPr/>
          <w:p>
            <w:pPr>
              <w:pStyle w:val="Compact"/>
              <w:jc w:val="left"/>
            </w:pPr>
            <w:r>
              <w:t xml:space="preserve">0,85–1,94</w:t>
            </w:r>
          </w:p>
        </w:tc>
        <w:tc>
          <w:tcPr/>
          <w:p>
            <w:pPr>
              <w:pStyle w:val="Compact"/>
              <w:jc w:val="left"/>
            </w:pPr>
            <w:r>
              <w:t xml:space="preserve">0,892</w:t>
            </w:r>
          </w:p>
        </w:tc>
      </w:tr>
      <w:tr>
        <w:tc>
          <w:tcPr/>
          <w:p>
            <w:pPr>
              <w:pStyle w:val="Compact"/>
              <w:jc w:val="left"/>
            </w:pPr>
            <w:r>
              <w:t xml:space="preserve">Acompañamiento detallado</w:t>
            </w:r>
          </w:p>
        </w:tc>
        <w:tc>
          <w:tcPr/>
          <w:p>
            <w:pPr>
              <w:pStyle w:val="Compact"/>
              <w:jc w:val="left"/>
            </w:pPr>
            <w:r>
              <w:t xml:space="preserve">Familiar vs pareja</w:t>
            </w:r>
          </w:p>
        </w:tc>
        <w:tc>
          <w:tcPr/>
          <w:p>
            <w:pPr>
              <w:pStyle w:val="Compact"/>
              <w:jc w:val="left"/>
            </w:pPr>
            <w:r>
              <w:t xml:space="preserve">0,81</w:t>
            </w:r>
          </w:p>
        </w:tc>
        <w:tc>
          <w:tcPr/>
          <w:p>
            <w:pPr>
              <w:pStyle w:val="Compact"/>
              <w:jc w:val="left"/>
            </w:pPr>
            <w:r>
              <w:t xml:space="preserve">0,61–1,06</w:t>
            </w:r>
          </w:p>
        </w:tc>
        <w:tc>
          <w:tcPr/>
          <w:p>
            <w:pPr>
              <w:pStyle w:val="Compact"/>
              <w:jc w:val="left"/>
            </w:pPr>
            <w:r>
              <w:t xml:space="preserve">0,943</w:t>
            </w:r>
          </w:p>
        </w:tc>
      </w:tr>
      <w:tr>
        <w:tc>
          <w:tcPr/>
          <w:p>
            <w:pPr>
              <w:pStyle w:val="Compact"/>
              <w:jc w:val="left"/>
            </w:pPr>
            <w:r>
              <w:t xml:space="preserve">Acompañamiento detallado</w:t>
            </w:r>
          </w:p>
        </w:tc>
        <w:tc>
          <w:tcPr/>
          <w:p>
            <w:pPr>
              <w:pStyle w:val="Compact"/>
              <w:jc w:val="left"/>
            </w:pPr>
            <w:r>
              <w:t xml:space="preserve">Otro vs pareja</w:t>
            </w:r>
          </w:p>
        </w:tc>
        <w:tc>
          <w:tcPr/>
          <w:p>
            <w:pPr>
              <w:pStyle w:val="Compact"/>
              <w:jc w:val="left"/>
            </w:pPr>
            <w:r>
              <w:t xml:space="preserve">1,26</w:t>
            </w:r>
          </w:p>
        </w:tc>
        <w:tc>
          <w:tcPr/>
          <w:p>
            <w:pPr>
              <w:pStyle w:val="Compact"/>
              <w:jc w:val="left"/>
            </w:pPr>
            <w:r>
              <w:t xml:space="preserve">0,96–1,65</w:t>
            </w:r>
          </w:p>
        </w:tc>
        <w:tc>
          <w:tcPr/>
          <w:p>
            <w:pPr>
              <w:pStyle w:val="Compact"/>
              <w:jc w:val="left"/>
            </w:pPr>
            <w:r>
              <w:t xml:space="preserve">0,953</w:t>
            </w:r>
          </w:p>
        </w:tc>
      </w:tr>
      <w:tr>
        <w:tc>
          <w:tcPr/>
          <w:p>
            <w:pPr>
              <w:pStyle w:val="Compact"/>
              <w:jc w:val="left"/>
            </w:pPr>
            <w:r>
              <w:t xml:space="preserve">Acompañamiento detallado</w:t>
            </w:r>
          </w:p>
        </w:tc>
        <w:tc>
          <w:tcPr/>
          <w:p>
            <w:pPr>
              <w:pStyle w:val="Compact"/>
              <w:jc w:val="left"/>
            </w:pPr>
            <w:r>
              <w:t xml:space="preserve">Sola vs pareja</w:t>
            </w:r>
          </w:p>
        </w:tc>
        <w:tc>
          <w:tcPr/>
          <w:p>
            <w:pPr>
              <w:pStyle w:val="Compact"/>
              <w:jc w:val="left"/>
            </w:pPr>
            <w:r>
              <w:t xml:space="preserve">1,41</w:t>
            </w:r>
          </w:p>
        </w:tc>
        <w:tc>
          <w:tcPr/>
          <w:p>
            <w:pPr>
              <w:pStyle w:val="Compact"/>
              <w:jc w:val="left"/>
            </w:pPr>
            <w:r>
              <w:t xml:space="preserve">1,13–1,79</w:t>
            </w:r>
          </w:p>
        </w:tc>
        <w:tc>
          <w:tcPr/>
          <w:p>
            <w:pPr>
              <w:pStyle w:val="Compact"/>
              <w:jc w:val="left"/>
            </w:pPr>
            <w:r>
              <w:t xml:space="preserve">0,998</w:t>
            </w:r>
          </w:p>
        </w:tc>
      </w:tr>
    </w:tbl>
    <w:p>
      <w:pPr>
        <w:pStyle w:val="BodyText"/>
      </w:pPr>
      <w:r>
        <w:rPr>
          <w:i/>
          <w:iCs/>
        </w:rPr>
        <w:t xml:space="preserve">Nota: Se muestran estimaciones seleccionadas; las tablas completas están en el suplemento.</w:t>
      </w:r>
    </w:p>
    <w:p>
      <w:pPr>
        <w:pStyle w:val="CaptionedFigure"/>
      </w:pPr>
      <w:r>
        <w:drawing>
          <wp:inline>
            <wp:extent cx="4533900" cy="7808383"/>
            <wp:effectExtent b="0" l="0" r="0" t="0"/>
            <wp:docPr descr="Figura 4. Sensibilidad de las estimaciones a los priors" title="" id="59" name="Picture"/>
            <a:graphic>
              <a:graphicData uri="http://schemas.openxmlformats.org/drawingml/2006/picture">
                <pic:pic>
                  <pic:nvPicPr>
                    <pic:cNvPr descr="figuras/FOREST_SENSIBILIDAD_PRIORS.png" id="60" name="Picture"/>
                    <pic:cNvPicPr>
                      <a:picLocks noChangeArrowheads="1" noChangeAspect="1"/>
                    </pic:cNvPicPr>
                  </pic:nvPicPr>
                  <pic:blipFill>
                    <a:blip r:embed="rId58"/>
                    <a:stretch>
                      <a:fillRect/>
                    </a:stretch>
                  </pic:blipFill>
                  <pic:spPr bwMode="auto">
                    <a:xfrm>
                      <a:off x="0" y="0"/>
                      <a:ext cx="4533900" cy="7808383"/>
                    </a:xfrm>
                    <a:prstGeom prst="rect">
                      <a:avLst/>
                    </a:prstGeom>
                    <a:noFill/>
                    <a:ln w="9525">
                      <a:noFill/>
                      <a:headEnd/>
                      <a:tailEnd/>
                    </a:ln>
                  </pic:spPr>
                </pic:pic>
              </a:graphicData>
            </a:graphic>
          </wp:inline>
        </w:drawing>
      </w:r>
    </w:p>
    <w:p>
      <w:pPr>
        <w:pStyle w:val="ImageCaption"/>
      </w:pPr>
      <w:r>
        <w:t xml:space="preserve">Figura 4. Sensibilidad de las estimaciones a los priors</w:t>
      </w:r>
    </w:p>
    <w:p>
      <w:pPr>
        <w:pStyle w:val="BodyText"/>
      </w:pPr>
      <w:r>
        <w:rPr>
          <w:i/>
          <w:iCs/>
        </w:rPr>
        <w:t xml:space="preserve">Figura 4. Sensibilidad de las estimaciones a los priors. Comparación de medianas posteriores y CrI95% bajo tres esquemas preespecificados.</w:t>
      </w:r>
    </w:p>
    <w:bookmarkEnd w:id="61"/>
    <w:bookmarkStart w:id="62" w:name="diagnóstico-de-modelos-bayesianos"/>
    <w:p>
      <w:pPr>
        <w:pStyle w:val="Heading2"/>
      </w:pPr>
      <w:r>
        <w:t xml:space="preserve">4.11 Diagnóstico de modelos bayesianos</w:t>
      </w:r>
    </w:p>
    <w:p>
      <w:pPr>
        <w:pStyle w:val="FirstParagraph"/>
      </w:pPr>
      <w:r>
        <w:t xml:space="preserve">Se ajustaron diez modelos. El R-hat máximo fue 1,0013; el ESS bulk mínimo fue 8.664 y el ESS tail mínimo 7.153. No se observaron divergencias ni excedencias de profundidad de árbol registradas. Las trazas y los gráficos de rango no mostraron patrones visuales importantes de falta de mezcla. Los chequeos predictivos posteriores compararon el número de eventos observado con réplicas de la distribución posterior; no revelaron discrepancias globales evidentes para ese estadístico, aunque estos chequeos no demuestran por sí solos adecuación en todas las dimensiones.</w:t>
      </w:r>
    </w:p>
    <w:p>
      <w:pPr>
        <w:pStyle w:val="BodyText"/>
      </w:pPr>
      <w:r>
        <w:rPr>
          <w:b/>
          <w:bCs/>
        </w:rPr>
        <w:t xml:space="preserve">Tabla 11. Diagnósticos de los modelos bayesianos.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cantSplit/>
        </w:trPr>
        <w:tc>
          <w:tcPr/>
          <w:p>
            <w:pPr>
              <w:pStyle w:val="Compact"/>
              <w:jc w:val="left"/>
            </w:pPr>
            <w:r>
              <w:rPr>
                <w:sz w:val="15"/>
              </w:rPr>
              <w:t xml:space="preserve">Modelo</w:t>
            </w:r>
          </w:p>
        </w:tc>
        <w:tc>
          <w:tcPr/>
          <w:p>
            <w:pPr>
              <w:pStyle w:val="Compact"/>
              <w:jc w:val="left"/>
            </w:pPr>
            <w:r>
              <w:rPr>
                <w:sz w:val="15"/>
              </w:rPr>
              <w:t xml:space="preserve">N</w:t>
            </w:r>
          </w:p>
        </w:tc>
        <w:tc>
          <w:tcPr/>
          <w:p>
            <w:pPr>
              <w:pStyle w:val="Compact"/>
              <w:jc w:val="left"/>
            </w:pPr>
            <w:r>
              <w:rPr>
                <w:sz w:val="15"/>
              </w:rPr>
              <w:t xml:space="preserve">Eventos</w:t>
            </w:r>
          </w:p>
        </w:tc>
        <w:tc>
          <w:tcPr/>
          <w:p>
            <w:pPr>
              <w:pStyle w:val="Compact"/>
              <w:jc w:val="left"/>
            </w:pPr>
            <w:r>
              <w:rPr>
                <w:sz w:val="15"/>
              </w:rPr>
              <w:t xml:space="preserve">R-hat máximo</w:t>
            </w:r>
          </w:p>
        </w:tc>
        <w:tc>
          <w:tcPr/>
          <w:p>
            <w:pPr>
              <w:pStyle w:val="Compact"/>
              <w:jc w:val="left"/>
            </w:pPr>
            <w:r>
              <w:rPr>
                <w:sz w:val="15"/>
              </w:rPr>
              <w:t xml:space="preserve">ESS bulk mínimo</w:t>
            </w:r>
          </w:p>
        </w:tc>
        <w:tc>
          <w:tcPr/>
          <w:p>
            <w:pPr>
              <w:pStyle w:val="Compact"/>
              <w:jc w:val="left"/>
            </w:pPr>
            <w:r>
              <w:rPr>
                <w:sz w:val="15"/>
              </w:rPr>
              <w:t xml:space="preserve">ESS tail mínimo</w:t>
            </w:r>
          </w:p>
        </w:tc>
        <w:tc>
          <w:tcPr/>
          <w:p>
            <w:pPr>
              <w:pStyle w:val="Compact"/>
              <w:jc w:val="left"/>
            </w:pPr>
            <w:r>
              <w:rPr>
                <w:sz w:val="15"/>
              </w:rPr>
              <w:t xml:space="preserve">Divergencias</w:t>
            </w:r>
          </w:p>
        </w:tc>
        <w:tc>
          <w:tcPr/>
          <w:p>
            <w:pPr>
              <w:pStyle w:val="Compact"/>
              <w:jc w:val="left"/>
            </w:pPr>
            <w:r>
              <w:rPr>
                <w:sz w:val="15"/>
              </w:rPr>
              <w:t xml:space="preserve">Estado</w:t>
            </w:r>
          </w:p>
        </w:tc>
      </w:tr>
      <w:tr>
        <w:trPr>
          <w:cantSplit/>
        </w:trPr>
        <w:tc>
          <w:tcPr/>
          <w:p>
            <w:pPr>
              <w:pStyle w:val="Compact"/>
              <w:jc w:val="left"/>
            </w:pPr>
            <w:r>
              <w:rPr>
                <w:sz w:val="15"/>
              </w:rPr>
              <w:t xml:space="preserve">BAYES_ACOMPANAMIENTO_DETALLE</w:t>
            </w:r>
          </w:p>
        </w:tc>
        <w:tc>
          <w:tcPr/>
          <w:p>
            <w:pPr>
              <w:pStyle w:val="Compact"/>
              <w:jc w:val="left"/>
            </w:pPr>
            <w:r>
              <w:rPr>
                <w:sz w:val="15"/>
              </w:rPr>
              <w:t xml:space="preserve">23095</w:t>
            </w:r>
          </w:p>
        </w:tc>
        <w:tc>
          <w:tcPr/>
          <w:p>
            <w:pPr>
              <w:pStyle w:val="Compact"/>
              <w:jc w:val="left"/>
            </w:pPr>
            <w:r>
              <w:rPr>
                <w:sz w:val="15"/>
              </w:rPr>
              <w:t xml:space="preserve">468</w:t>
            </w:r>
          </w:p>
        </w:tc>
        <w:tc>
          <w:tcPr/>
          <w:p>
            <w:pPr>
              <w:pStyle w:val="Compact"/>
              <w:jc w:val="left"/>
            </w:pPr>
            <w:r>
              <w:rPr>
                <w:sz w:val="15"/>
              </w:rPr>
              <w:t xml:space="preserve">1.001</w:t>
            </w:r>
          </w:p>
        </w:tc>
        <w:tc>
          <w:tcPr/>
          <w:p>
            <w:pPr>
              <w:pStyle w:val="Compact"/>
              <w:jc w:val="left"/>
            </w:pPr>
            <w:r>
              <w:rPr>
                <w:sz w:val="15"/>
              </w:rPr>
              <w:t xml:space="preserve">8664</w:t>
            </w:r>
          </w:p>
        </w:tc>
        <w:tc>
          <w:tcPr/>
          <w:p>
            <w:pPr>
              <w:pStyle w:val="Compact"/>
              <w:jc w:val="left"/>
            </w:pPr>
            <w:r>
              <w:rPr>
                <w:sz w:val="15"/>
              </w:rPr>
              <w:t xml:space="preserve">8157</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BAYES_CLINICO_INGRESO</w:t>
            </w:r>
          </w:p>
        </w:tc>
        <w:tc>
          <w:tcPr/>
          <w:p>
            <w:pPr>
              <w:pStyle w:val="Compact"/>
              <w:jc w:val="left"/>
            </w:pPr>
            <w:r>
              <w:rPr>
                <w:sz w:val="15"/>
              </w:rPr>
              <w:t xml:space="preserve">23272</w:t>
            </w:r>
          </w:p>
        </w:tc>
        <w:tc>
          <w:tcPr/>
          <w:p>
            <w:pPr>
              <w:pStyle w:val="Compact"/>
              <w:jc w:val="left"/>
            </w:pPr>
            <w:r>
              <w:rPr>
                <w:sz w:val="15"/>
              </w:rPr>
              <w:t xml:space="preserve">471</w:t>
            </w:r>
          </w:p>
        </w:tc>
        <w:tc>
          <w:tcPr/>
          <w:p>
            <w:pPr>
              <w:pStyle w:val="Compact"/>
              <w:jc w:val="left"/>
            </w:pPr>
            <w:r>
              <w:rPr>
                <w:sz w:val="15"/>
              </w:rPr>
              <w:t xml:space="preserve">1.001</w:t>
            </w:r>
          </w:p>
        </w:tc>
        <w:tc>
          <w:tcPr/>
          <w:p>
            <w:pPr>
              <w:pStyle w:val="Compact"/>
              <w:jc w:val="left"/>
            </w:pPr>
            <w:r>
              <w:rPr>
                <w:sz w:val="15"/>
              </w:rPr>
              <w:t xml:space="preserve">8880</w:t>
            </w:r>
          </w:p>
        </w:tc>
        <w:tc>
          <w:tcPr/>
          <w:p>
            <w:pPr>
              <w:pStyle w:val="Compact"/>
              <w:jc w:val="left"/>
            </w:pPr>
            <w:r>
              <w:rPr>
                <w:sz w:val="15"/>
              </w:rPr>
              <w:t xml:space="preserve">7618</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BAYES_HIPERTENSION_AGRUPADA</w:t>
            </w:r>
          </w:p>
        </w:tc>
        <w:tc>
          <w:tcPr/>
          <w:p>
            <w:pPr>
              <w:pStyle w:val="Compact"/>
              <w:jc w:val="left"/>
            </w:pPr>
            <w:r>
              <w:rPr>
                <w:sz w:val="15"/>
              </w:rPr>
              <w:t xml:space="preserve">23095</w:t>
            </w:r>
          </w:p>
        </w:tc>
        <w:tc>
          <w:tcPr/>
          <w:p>
            <w:pPr>
              <w:pStyle w:val="Compact"/>
              <w:jc w:val="left"/>
            </w:pPr>
            <w:r>
              <w:rPr>
                <w:sz w:val="15"/>
              </w:rPr>
              <w:t xml:space="preserve">468</w:t>
            </w:r>
          </w:p>
        </w:tc>
        <w:tc>
          <w:tcPr/>
          <w:p>
            <w:pPr>
              <w:pStyle w:val="Compact"/>
              <w:jc w:val="left"/>
            </w:pPr>
            <w:r>
              <w:rPr>
                <w:sz w:val="15"/>
              </w:rPr>
              <w:t xml:space="preserve">1.001</w:t>
            </w:r>
          </w:p>
        </w:tc>
        <w:tc>
          <w:tcPr/>
          <w:p>
            <w:pPr>
              <w:pStyle w:val="Compact"/>
              <w:jc w:val="left"/>
            </w:pPr>
            <w:r>
              <w:rPr>
                <w:sz w:val="15"/>
              </w:rPr>
              <w:t xml:space="preserve">11825</w:t>
            </w:r>
          </w:p>
        </w:tc>
        <w:tc>
          <w:tcPr/>
          <w:p>
            <w:pPr>
              <w:pStyle w:val="Compact"/>
              <w:jc w:val="left"/>
            </w:pPr>
            <w:r>
              <w:rPr>
                <w:sz w:val="15"/>
              </w:rPr>
              <w:t xml:space="preserve">7885</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BAYES_OBSTETRICO</w:t>
            </w:r>
          </w:p>
        </w:tc>
        <w:tc>
          <w:tcPr/>
          <w:p>
            <w:pPr>
              <w:pStyle w:val="Compact"/>
              <w:jc w:val="left"/>
            </w:pPr>
            <w:r>
              <w:rPr>
                <w:sz w:val="15"/>
              </w:rPr>
              <w:t xml:space="preserve">23398</w:t>
            </w:r>
          </w:p>
        </w:tc>
        <w:tc>
          <w:tcPr/>
          <w:p>
            <w:pPr>
              <w:pStyle w:val="Compact"/>
              <w:jc w:val="left"/>
            </w:pPr>
            <w:r>
              <w:rPr>
                <w:sz w:val="15"/>
              </w:rPr>
              <w:t xml:space="preserve">480</w:t>
            </w:r>
          </w:p>
        </w:tc>
        <w:tc>
          <w:tcPr/>
          <w:p>
            <w:pPr>
              <w:pStyle w:val="Compact"/>
              <w:jc w:val="left"/>
            </w:pPr>
            <w:r>
              <w:rPr>
                <w:sz w:val="15"/>
              </w:rPr>
              <w:t xml:space="preserve">1.001</w:t>
            </w:r>
          </w:p>
        </w:tc>
        <w:tc>
          <w:tcPr/>
          <w:p>
            <w:pPr>
              <w:pStyle w:val="Compact"/>
              <w:jc w:val="left"/>
            </w:pPr>
            <w:r>
              <w:rPr>
                <w:sz w:val="15"/>
              </w:rPr>
              <w:t xml:space="preserve">12800</w:t>
            </w:r>
          </w:p>
        </w:tc>
        <w:tc>
          <w:tcPr/>
          <w:p>
            <w:pPr>
              <w:pStyle w:val="Compact"/>
              <w:jc w:val="left"/>
            </w:pPr>
            <w:r>
              <w:rPr>
                <w:sz w:val="15"/>
              </w:rPr>
              <w:t xml:space="preserve">7939</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BAYES_PRINCIPAL</w:t>
            </w:r>
          </w:p>
        </w:tc>
        <w:tc>
          <w:tcPr/>
          <w:p>
            <w:pPr>
              <w:pStyle w:val="Compact"/>
              <w:jc w:val="left"/>
            </w:pPr>
            <w:r>
              <w:rPr>
                <w:sz w:val="15"/>
              </w:rPr>
              <w:t xml:space="preserve">23095</w:t>
            </w:r>
          </w:p>
        </w:tc>
        <w:tc>
          <w:tcPr/>
          <w:p>
            <w:pPr>
              <w:pStyle w:val="Compact"/>
              <w:jc w:val="left"/>
            </w:pPr>
            <w:r>
              <w:rPr>
                <w:sz w:val="15"/>
              </w:rPr>
              <w:t xml:space="preserve">468</w:t>
            </w:r>
          </w:p>
        </w:tc>
        <w:tc>
          <w:tcPr/>
          <w:p>
            <w:pPr>
              <w:pStyle w:val="Compact"/>
              <w:jc w:val="left"/>
            </w:pPr>
            <w:r>
              <w:rPr>
                <w:sz w:val="15"/>
              </w:rPr>
              <w:t xml:space="preserve">1.001</w:t>
            </w:r>
          </w:p>
        </w:tc>
        <w:tc>
          <w:tcPr/>
          <w:p>
            <w:pPr>
              <w:pStyle w:val="Compact"/>
              <w:jc w:val="left"/>
            </w:pPr>
            <w:r>
              <w:rPr>
                <w:sz w:val="15"/>
              </w:rPr>
              <w:t xml:space="preserve">12215</w:t>
            </w:r>
          </w:p>
        </w:tc>
        <w:tc>
          <w:tcPr/>
          <w:p>
            <w:pPr>
              <w:pStyle w:val="Compact"/>
              <w:jc w:val="left"/>
            </w:pPr>
            <w:r>
              <w:rPr>
                <w:sz w:val="15"/>
              </w:rPr>
              <w:t xml:space="preserve">8037</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BAYES_PRIOR_AMPLIO</w:t>
            </w:r>
          </w:p>
        </w:tc>
        <w:tc>
          <w:tcPr/>
          <w:p>
            <w:pPr>
              <w:pStyle w:val="Compact"/>
              <w:jc w:val="left"/>
            </w:pPr>
            <w:r>
              <w:rPr>
                <w:sz w:val="15"/>
              </w:rPr>
              <w:t xml:space="preserve">23095</w:t>
            </w:r>
          </w:p>
        </w:tc>
        <w:tc>
          <w:tcPr/>
          <w:p>
            <w:pPr>
              <w:pStyle w:val="Compact"/>
              <w:jc w:val="left"/>
            </w:pPr>
            <w:r>
              <w:rPr>
                <w:sz w:val="15"/>
              </w:rPr>
              <w:t xml:space="preserve">468</w:t>
            </w:r>
          </w:p>
        </w:tc>
        <w:tc>
          <w:tcPr/>
          <w:p>
            <w:pPr>
              <w:pStyle w:val="Compact"/>
              <w:jc w:val="left"/>
            </w:pPr>
            <w:r>
              <w:rPr>
                <w:sz w:val="15"/>
              </w:rPr>
              <w:t xml:space="preserve">1.001</w:t>
            </w:r>
          </w:p>
        </w:tc>
        <w:tc>
          <w:tcPr/>
          <w:p>
            <w:pPr>
              <w:pStyle w:val="Compact"/>
              <w:jc w:val="left"/>
            </w:pPr>
            <w:r>
              <w:rPr>
                <w:sz w:val="15"/>
              </w:rPr>
              <w:t xml:space="preserve">9953</w:t>
            </w:r>
          </w:p>
        </w:tc>
        <w:tc>
          <w:tcPr/>
          <w:p>
            <w:pPr>
              <w:pStyle w:val="Compact"/>
              <w:jc w:val="left"/>
            </w:pPr>
            <w:r>
              <w:rPr>
                <w:sz w:val="15"/>
              </w:rPr>
              <w:t xml:space="preserve">7153</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BAYES_PRIOR_ESCEPTICO</w:t>
            </w:r>
          </w:p>
        </w:tc>
        <w:tc>
          <w:tcPr/>
          <w:p>
            <w:pPr>
              <w:pStyle w:val="Compact"/>
              <w:jc w:val="left"/>
            </w:pPr>
            <w:r>
              <w:rPr>
                <w:sz w:val="15"/>
              </w:rPr>
              <w:t xml:space="preserve">23095</w:t>
            </w:r>
          </w:p>
        </w:tc>
        <w:tc>
          <w:tcPr/>
          <w:p>
            <w:pPr>
              <w:pStyle w:val="Compact"/>
              <w:jc w:val="left"/>
            </w:pPr>
            <w:r>
              <w:rPr>
                <w:sz w:val="15"/>
              </w:rPr>
              <w:t xml:space="preserve">468</w:t>
            </w:r>
          </w:p>
        </w:tc>
        <w:tc>
          <w:tcPr/>
          <w:p>
            <w:pPr>
              <w:pStyle w:val="Compact"/>
              <w:jc w:val="left"/>
            </w:pPr>
            <w:r>
              <w:rPr>
                <w:sz w:val="15"/>
              </w:rPr>
              <w:t xml:space="preserve">1.001</w:t>
            </w:r>
          </w:p>
        </w:tc>
        <w:tc>
          <w:tcPr/>
          <w:p>
            <w:pPr>
              <w:pStyle w:val="Compact"/>
              <w:jc w:val="left"/>
            </w:pPr>
            <w:r>
              <w:rPr>
                <w:sz w:val="15"/>
              </w:rPr>
              <w:t xml:space="preserve">11829</w:t>
            </w:r>
          </w:p>
        </w:tc>
        <w:tc>
          <w:tcPr/>
          <w:p>
            <w:pPr>
              <w:pStyle w:val="Compact"/>
              <w:jc w:val="left"/>
            </w:pPr>
            <w:r>
              <w:rPr>
                <w:sz w:val="15"/>
              </w:rPr>
              <w:t xml:space="preserve">7868</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BAYES_SEGURO_SENSIBILIDAD</w:t>
            </w:r>
          </w:p>
        </w:tc>
        <w:tc>
          <w:tcPr/>
          <w:p>
            <w:pPr>
              <w:pStyle w:val="Compact"/>
              <w:jc w:val="left"/>
            </w:pPr>
            <w:r>
              <w:rPr>
                <w:sz w:val="15"/>
              </w:rPr>
              <w:t xml:space="preserve">15924</w:t>
            </w:r>
          </w:p>
        </w:tc>
        <w:tc>
          <w:tcPr/>
          <w:p>
            <w:pPr>
              <w:pStyle w:val="Compact"/>
              <w:jc w:val="left"/>
            </w:pPr>
            <w:r>
              <w:rPr>
                <w:sz w:val="15"/>
              </w:rPr>
              <w:t xml:space="preserve">324</w:t>
            </w:r>
          </w:p>
        </w:tc>
        <w:tc>
          <w:tcPr/>
          <w:p>
            <w:pPr>
              <w:pStyle w:val="Compact"/>
              <w:jc w:val="left"/>
            </w:pPr>
            <w:r>
              <w:rPr>
                <w:sz w:val="15"/>
              </w:rPr>
              <w:t xml:space="preserve">1.001</w:t>
            </w:r>
          </w:p>
        </w:tc>
        <w:tc>
          <w:tcPr/>
          <w:p>
            <w:pPr>
              <w:pStyle w:val="Compact"/>
              <w:jc w:val="left"/>
            </w:pPr>
            <w:r>
              <w:rPr>
                <w:sz w:val="15"/>
              </w:rPr>
              <w:t xml:space="preserve">11732</w:t>
            </w:r>
          </w:p>
        </w:tc>
        <w:tc>
          <w:tcPr/>
          <w:p>
            <w:pPr>
              <w:pStyle w:val="Compact"/>
              <w:jc w:val="left"/>
            </w:pPr>
            <w:r>
              <w:rPr>
                <w:sz w:val="15"/>
              </w:rPr>
              <w:t xml:space="preserve">7902</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BAYES_SENS_EDAD_CONTINUA</w:t>
            </w:r>
          </w:p>
        </w:tc>
        <w:tc>
          <w:tcPr/>
          <w:p>
            <w:pPr>
              <w:pStyle w:val="Compact"/>
              <w:jc w:val="left"/>
            </w:pPr>
            <w:r>
              <w:rPr>
                <w:sz w:val="15"/>
              </w:rPr>
              <w:t xml:space="preserve">23095</w:t>
            </w:r>
          </w:p>
        </w:tc>
        <w:tc>
          <w:tcPr/>
          <w:p>
            <w:pPr>
              <w:pStyle w:val="Compact"/>
              <w:jc w:val="left"/>
            </w:pPr>
            <w:r>
              <w:rPr>
                <w:sz w:val="15"/>
              </w:rPr>
              <w:t xml:space="preserve">468</w:t>
            </w:r>
          </w:p>
        </w:tc>
        <w:tc>
          <w:tcPr/>
          <w:p>
            <w:pPr>
              <w:pStyle w:val="Compact"/>
              <w:jc w:val="left"/>
            </w:pPr>
            <w:r>
              <w:rPr>
                <w:sz w:val="15"/>
              </w:rPr>
              <w:t xml:space="preserve">1.001</w:t>
            </w:r>
          </w:p>
        </w:tc>
        <w:tc>
          <w:tcPr/>
          <w:p>
            <w:pPr>
              <w:pStyle w:val="Compact"/>
              <w:jc w:val="left"/>
            </w:pPr>
            <w:r>
              <w:rPr>
                <w:sz w:val="15"/>
              </w:rPr>
              <w:t xml:space="preserve">10870</w:t>
            </w:r>
          </w:p>
        </w:tc>
        <w:tc>
          <w:tcPr/>
          <w:p>
            <w:pPr>
              <w:pStyle w:val="Compact"/>
              <w:jc w:val="left"/>
            </w:pPr>
            <w:r>
              <w:rPr>
                <w:sz w:val="15"/>
              </w:rPr>
              <w:t xml:space="preserve">7341</w:t>
            </w:r>
          </w:p>
        </w:tc>
        <w:tc>
          <w:tcPr/>
          <w:p>
            <w:pPr>
              <w:pStyle w:val="Compact"/>
              <w:jc w:val="left"/>
            </w:pPr>
            <w:r>
              <w:rPr>
                <w:sz w:val="15"/>
              </w:rPr>
              <w:t xml:space="preserve">0</w:t>
            </w:r>
          </w:p>
        </w:tc>
        <w:tc>
          <w:tcPr/>
          <w:p>
            <w:pPr>
              <w:pStyle w:val="Compact"/>
              <w:jc w:val="left"/>
            </w:pPr>
            <w:r>
              <w:rPr>
                <w:sz w:val="15"/>
              </w:rPr>
              <w:t xml:space="preserve">OK</w:t>
            </w:r>
          </w:p>
        </w:tc>
      </w:tr>
      <w:tr>
        <w:trPr>
          <w:cantSplit/>
        </w:trPr>
        <w:tc>
          <w:tcPr/>
          <w:p>
            <w:pPr>
              <w:pStyle w:val="Compact"/>
              <w:jc w:val="left"/>
            </w:pPr>
            <w:r>
              <w:rPr>
                <w:sz w:val="15"/>
              </w:rPr>
              <w:t xml:space="preserve">BAYES_SENS_EDAD_GESTACIONAL</w:t>
            </w:r>
          </w:p>
        </w:tc>
        <w:tc>
          <w:tcPr/>
          <w:p>
            <w:pPr>
              <w:pStyle w:val="Compact"/>
              <w:jc w:val="left"/>
            </w:pPr>
            <w:r>
              <w:rPr>
                <w:sz w:val="15"/>
              </w:rPr>
              <w:t xml:space="preserve">22963</w:t>
            </w:r>
          </w:p>
        </w:tc>
        <w:tc>
          <w:tcPr/>
          <w:p>
            <w:pPr>
              <w:pStyle w:val="Compact"/>
              <w:jc w:val="left"/>
            </w:pPr>
            <w:r>
              <w:rPr>
                <w:sz w:val="15"/>
              </w:rPr>
              <w:t xml:space="preserve">404</w:t>
            </w:r>
          </w:p>
        </w:tc>
        <w:tc>
          <w:tcPr/>
          <w:p>
            <w:pPr>
              <w:pStyle w:val="Compact"/>
              <w:jc w:val="left"/>
            </w:pPr>
            <w:r>
              <w:rPr>
                <w:sz w:val="15"/>
              </w:rPr>
              <w:t xml:space="preserve">1.001</w:t>
            </w:r>
          </w:p>
        </w:tc>
        <w:tc>
          <w:tcPr/>
          <w:p>
            <w:pPr>
              <w:pStyle w:val="Compact"/>
              <w:jc w:val="left"/>
            </w:pPr>
            <w:r>
              <w:rPr>
                <w:sz w:val="15"/>
              </w:rPr>
              <w:t xml:space="preserve">10868</w:t>
            </w:r>
          </w:p>
        </w:tc>
        <w:tc>
          <w:tcPr/>
          <w:p>
            <w:pPr>
              <w:pStyle w:val="Compact"/>
              <w:jc w:val="left"/>
            </w:pPr>
            <w:r>
              <w:rPr>
                <w:sz w:val="15"/>
              </w:rPr>
              <w:t xml:space="preserve">7616</w:t>
            </w:r>
          </w:p>
        </w:tc>
        <w:tc>
          <w:tcPr/>
          <w:p>
            <w:pPr>
              <w:pStyle w:val="Compact"/>
              <w:jc w:val="left"/>
            </w:pPr>
            <w:r>
              <w:rPr>
                <w:sz w:val="15"/>
              </w:rPr>
              <w:t xml:space="preserve">0</w:t>
            </w:r>
          </w:p>
        </w:tc>
        <w:tc>
          <w:tcPr/>
          <w:p>
            <w:pPr>
              <w:pStyle w:val="Compact"/>
              <w:jc w:val="left"/>
            </w:pPr>
            <w:r>
              <w:rPr>
                <w:sz w:val="15"/>
              </w:rPr>
              <w:t xml:space="preserve">OK</w:t>
            </w:r>
          </w:p>
        </w:tc>
      </w:tr>
    </w:tbl>
    <w:p>
      <w:pPr>
        <w:pStyle w:val="BodyText"/>
      </w:pPr>
      <w:r>
        <w:rPr>
          <w:i/>
          <w:iCs/>
        </w:rPr>
        <w:t xml:space="preserve">Nota: Estado OK requirió R-hat ≤1,01 y cero divergencias; ESS se presenta para los parámetros principales.</w:t>
      </w:r>
    </w:p>
    <w:bookmarkEnd w:id="62"/>
    <w:bookmarkStart w:id="63" w:name="comparación-frecuentista-bayesiana"/>
    <w:p>
      <w:pPr>
        <w:pStyle w:val="Heading2"/>
      </w:pPr>
      <w:r>
        <w:t xml:space="preserve">4.12 Comparación frecuentista-bayesiana</w:t>
      </w:r>
    </w:p>
    <w:p>
      <w:pPr>
        <w:pStyle w:val="FirstParagraph"/>
      </w:pPr>
      <w:r>
        <w:t xml:space="preserve">Los enfoques coincidieron en la dirección de DPP, riesgo alto e inminente, acompañamiento, controles, psicoprofilaxis y RPM. La estimación bayesiana obstétrica de eclampsia fue positiva pero más regularizada y más incierta que la estimación frecuentista. Las probabilidades posteriores describen masa de la distribución y no son equivalentes a p-valores.</w:t>
      </w:r>
    </w:p>
    <w:p>
      <w:pPr>
        <w:pStyle w:val="BodyText"/>
      </w:pPr>
      <w:r>
        <w:rPr>
          <w:b/>
          <w:bCs/>
        </w:rPr>
        <w:t xml:space="preserve">Tabla 10. Comparación de resultados frecuentistas y bayesianos.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Factor</w:t>
            </w:r>
          </w:p>
        </w:tc>
        <w:tc>
          <w:tcPr/>
          <w:p>
            <w:pPr>
              <w:pStyle w:val="Compact"/>
              <w:jc w:val="left"/>
            </w:pPr>
            <w:r>
              <w:t xml:space="preserve">OR frecuentista (IC95%)</w:t>
            </w:r>
          </w:p>
        </w:tc>
        <w:tc>
          <w:tcPr/>
          <w:p>
            <w:pPr>
              <w:pStyle w:val="Compact"/>
              <w:jc w:val="left"/>
            </w:pPr>
            <w:r>
              <w:t xml:space="preserve">p</w:t>
            </w:r>
          </w:p>
        </w:tc>
        <w:tc>
          <w:tcPr/>
          <w:p>
            <w:pPr>
              <w:pStyle w:val="Compact"/>
              <w:jc w:val="left"/>
            </w:pPr>
            <w:r>
              <w:t xml:space="preserve">OR bayesiano (CrI95%)</w:t>
            </w:r>
          </w:p>
        </w:tc>
        <w:tc>
          <w:tcPr/>
          <w:p>
            <w:pPr>
              <w:pStyle w:val="Compact"/>
              <w:jc w:val="left"/>
            </w:pPr>
            <w:r>
              <w:t xml:space="preserve">P dirección</w:t>
            </w:r>
          </w:p>
        </w:tc>
        <w:tc>
          <w:tcPr/>
          <w:p>
            <w:pPr>
              <w:pStyle w:val="Compact"/>
              <w:jc w:val="left"/>
            </w:pPr>
            <w:r>
              <w:t xml:space="preserve">Modelo</w:t>
            </w:r>
          </w:p>
        </w:tc>
      </w:tr>
      <w:tr>
        <w:tc>
          <w:tcPr/>
          <w:p>
            <w:pPr>
              <w:pStyle w:val="Compact"/>
              <w:jc w:val="left"/>
            </w:pPr>
            <w:r>
              <w:t xml:space="preserve">DPP</w:t>
            </w:r>
          </w:p>
        </w:tc>
        <w:tc>
          <w:tcPr/>
          <w:p>
            <w:pPr>
              <w:pStyle w:val="Compact"/>
              <w:jc w:val="left"/>
            </w:pPr>
            <w:r>
              <w:t xml:space="preserve">6.25 (3.59–10.87)</w:t>
            </w:r>
          </w:p>
        </w:tc>
        <w:tc>
          <w:tcPr/>
          <w:p>
            <w:pPr>
              <w:pStyle w:val="Compact"/>
              <w:jc w:val="left"/>
            </w:pPr>
            <w:r>
              <w:t xml:space="preserve">&lt;0,001</w:t>
            </w:r>
          </w:p>
        </w:tc>
        <w:tc>
          <w:tcPr/>
          <w:p>
            <w:pPr>
              <w:pStyle w:val="Compact"/>
              <w:jc w:val="left"/>
            </w:pPr>
            <w:r>
              <w:t xml:space="preserve">4,73 (2,57–8,10)</w:t>
            </w:r>
          </w:p>
        </w:tc>
        <w:tc>
          <w:tcPr/>
          <w:p>
            <w:pPr>
              <w:pStyle w:val="Compact"/>
              <w:jc w:val="left"/>
            </w:pPr>
            <w:r>
              <w:t xml:space="preserve">1,000</w:t>
            </w:r>
          </w:p>
        </w:tc>
        <w:tc>
          <w:tcPr/>
          <w:p>
            <w:pPr>
              <w:pStyle w:val="Compact"/>
              <w:jc w:val="left"/>
            </w:pPr>
            <w:r>
              <w:t xml:space="preserve">Obstétrico</w:t>
            </w:r>
          </w:p>
        </w:tc>
      </w:tr>
      <w:tr>
        <w:tc>
          <w:tcPr/>
          <w:p>
            <w:pPr>
              <w:pStyle w:val="Compact"/>
              <w:jc w:val="left"/>
            </w:pPr>
            <w:r>
              <w:t xml:space="preserve">Eclampsia</w:t>
            </w:r>
          </w:p>
        </w:tc>
        <w:tc>
          <w:tcPr/>
          <w:p>
            <w:pPr>
              <w:pStyle w:val="Compact"/>
              <w:jc w:val="left"/>
            </w:pPr>
            <w:r>
              <w:t xml:space="preserve">3,37 (1,32–8,61)</w:t>
            </w:r>
          </w:p>
        </w:tc>
        <w:tc>
          <w:tcPr/>
          <w:p>
            <w:pPr>
              <w:pStyle w:val="Compact"/>
              <w:jc w:val="left"/>
            </w:pPr>
            <w:r>
              <w:t xml:space="preserve">0,011</w:t>
            </w:r>
          </w:p>
        </w:tc>
        <w:tc>
          <w:tcPr/>
          <w:p>
            <w:pPr>
              <w:pStyle w:val="Compact"/>
              <w:jc w:val="left"/>
            </w:pPr>
            <w:r>
              <w:t xml:space="preserve">2,16 (0,87–4,89)</w:t>
            </w:r>
          </w:p>
        </w:tc>
        <w:tc>
          <w:tcPr/>
          <w:p>
            <w:pPr>
              <w:pStyle w:val="Compact"/>
              <w:jc w:val="left"/>
            </w:pPr>
            <w:r>
              <w:t xml:space="preserve">0,952</w:t>
            </w:r>
          </w:p>
        </w:tc>
        <w:tc>
          <w:tcPr/>
          <w:p>
            <w:pPr>
              <w:pStyle w:val="Compact"/>
              <w:jc w:val="left"/>
            </w:pPr>
            <w:r>
              <w:t xml:space="preserve">Obstétrico</w:t>
            </w:r>
          </w:p>
        </w:tc>
      </w:tr>
      <w:tr>
        <w:tc>
          <w:tcPr/>
          <w:p>
            <w:pPr>
              <w:pStyle w:val="Compact"/>
              <w:jc w:val="left"/>
            </w:pPr>
            <w:r>
              <w:t xml:space="preserve">Riesgo alto</w:t>
            </w:r>
          </w:p>
        </w:tc>
        <w:tc>
          <w:tcPr/>
          <w:p>
            <w:pPr>
              <w:pStyle w:val="Compact"/>
              <w:jc w:val="left"/>
            </w:pPr>
            <w:r>
              <w:t xml:space="preserve">1.64 (1.32–2.03)</w:t>
            </w:r>
          </w:p>
        </w:tc>
        <w:tc>
          <w:tcPr/>
          <w:p>
            <w:pPr>
              <w:pStyle w:val="Compact"/>
              <w:jc w:val="left"/>
            </w:pPr>
            <w:r>
              <w:t xml:space="preserve">&lt;0,001</w:t>
            </w:r>
          </w:p>
        </w:tc>
        <w:tc>
          <w:tcPr/>
          <w:p>
            <w:pPr>
              <w:pStyle w:val="Compact"/>
              <w:jc w:val="left"/>
            </w:pPr>
            <w:r>
              <w:t xml:space="preserve">1,60 (1,29–1,98)</w:t>
            </w:r>
          </w:p>
        </w:tc>
        <w:tc>
          <w:tcPr/>
          <w:p>
            <w:pPr>
              <w:pStyle w:val="Compact"/>
              <w:jc w:val="left"/>
            </w:pPr>
            <w:r>
              <w:t xml:space="preserve">1,000</w:t>
            </w:r>
          </w:p>
        </w:tc>
        <w:tc>
          <w:tcPr/>
          <w:p>
            <w:pPr>
              <w:pStyle w:val="Compact"/>
              <w:jc w:val="left"/>
            </w:pPr>
            <w:r>
              <w:t xml:space="preserve">Clínico</w:t>
            </w:r>
          </w:p>
        </w:tc>
      </w:tr>
      <w:tr>
        <w:tc>
          <w:tcPr/>
          <w:p>
            <w:pPr>
              <w:pStyle w:val="Compact"/>
              <w:jc w:val="left"/>
            </w:pPr>
            <w:r>
              <w:t xml:space="preserve">Riesgo inminente</w:t>
            </w:r>
          </w:p>
        </w:tc>
        <w:tc>
          <w:tcPr/>
          <w:p>
            <w:pPr>
              <w:pStyle w:val="Compact"/>
              <w:jc w:val="left"/>
            </w:pPr>
            <w:r>
              <w:t xml:space="preserve">1.89 (1.33–2.69)</w:t>
            </w:r>
          </w:p>
        </w:tc>
        <w:tc>
          <w:tcPr/>
          <w:p>
            <w:pPr>
              <w:pStyle w:val="Compact"/>
              <w:jc w:val="left"/>
            </w:pPr>
            <w:r>
              <w:t xml:space="preserve">&lt;0,001</w:t>
            </w:r>
          </w:p>
        </w:tc>
        <w:tc>
          <w:tcPr/>
          <w:p>
            <w:pPr>
              <w:pStyle w:val="Compact"/>
              <w:jc w:val="left"/>
            </w:pPr>
            <w:r>
              <w:t xml:space="preserve">1,81 (1,29–2,51)</w:t>
            </w:r>
          </w:p>
        </w:tc>
        <w:tc>
          <w:tcPr/>
          <w:p>
            <w:pPr>
              <w:pStyle w:val="Compact"/>
              <w:jc w:val="left"/>
            </w:pPr>
            <w:r>
              <w:t xml:space="preserve">1,000</w:t>
            </w:r>
          </w:p>
        </w:tc>
        <w:tc>
          <w:tcPr/>
          <w:p>
            <w:pPr>
              <w:pStyle w:val="Compact"/>
              <w:jc w:val="left"/>
            </w:pPr>
            <w:r>
              <w:t xml:space="preserve">Clínico</w:t>
            </w:r>
          </w:p>
        </w:tc>
      </w:tr>
      <w:tr>
        <w:tc>
          <w:tcPr/>
          <w:p>
            <w:pPr>
              <w:pStyle w:val="Compact"/>
              <w:jc w:val="left"/>
            </w:pPr>
            <w:r>
              <w:t xml:space="preserve">Acompañamiento</w:t>
            </w:r>
          </w:p>
        </w:tc>
        <w:tc>
          <w:tcPr/>
          <w:p>
            <w:pPr>
              <w:pStyle w:val="Compact"/>
              <w:jc w:val="left"/>
            </w:pPr>
            <w:r>
              <w:t xml:space="preserve">0.7 (0.58–0.86)</w:t>
            </w:r>
          </w:p>
        </w:tc>
        <w:tc>
          <w:tcPr/>
          <w:p>
            <w:pPr>
              <w:pStyle w:val="Compact"/>
              <w:jc w:val="left"/>
            </w:pPr>
            <w:r>
              <w:t xml:space="preserve">&lt;0,001</w:t>
            </w:r>
          </w:p>
        </w:tc>
        <w:tc>
          <w:tcPr/>
          <w:p>
            <w:pPr>
              <w:pStyle w:val="Compact"/>
              <w:jc w:val="left"/>
            </w:pPr>
            <w:r>
              <w:t xml:space="preserve">0,71 (0,58–0,86)</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Controles prenatales, por 1 control adicional</w:t>
            </w:r>
          </w:p>
        </w:tc>
        <w:tc>
          <w:tcPr/>
          <w:p>
            <w:pPr>
              <w:pStyle w:val="Compact"/>
              <w:jc w:val="left"/>
            </w:pPr>
            <w:r>
              <w:t xml:space="preserve">0,84 (0,81–0,87)</w:t>
            </w:r>
          </w:p>
        </w:tc>
        <w:tc>
          <w:tcPr/>
          <w:p>
            <w:pPr>
              <w:pStyle w:val="Compact"/>
              <w:jc w:val="left"/>
            </w:pPr>
            <w:r>
              <w:t xml:space="preserve">&lt;0,001</w:t>
            </w:r>
          </w:p>
        </w:tc>
        <w:tc>
          <w:tcPr/>
          <w:p>
            <w:pPr>
              <w:pStyle w:val="Compact"/>
              <w:jc w:val="left"/>
            </w:pPr>
            <w:r>
              <w:t xml:space="preserve">0,84 (0,81–0,87)</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Psicoprofilaxis, por 1 sesión adicional</w:t>
            </w:r>
          </w:p>
        </w:tc>
        <w:tc>
          <w:tcPr/>
          <w:p>
            <w:pPr>
              <w:pStyle w:val="Compact"/>
              <w:jc w:val="left"/>
            </w:pPr>
            <w:r>
              <w:t xml:space="preserve">0,87 (0,83–0,92)</w:t>
            </w:r>
          </w:p>
        </w:tc>
        <w:tc>
          <w:tcPr/>
          <w:p>
            <w:pPr>
              <w:pStyle w:val="Compact"/>
              <w:jc w:val="left"/>
            </w:pPr>
            <w:r>
              <w:t xml:space="preserve">&lt;0,001</w:t>
            </w:r>
          </w:p>
        </w:tc>
        <w:tc>
          <w:tcPr/>
          <w:p>
            <w:pPr>
              <w:pStyle w:val="Compact"/>
              <w:jc w:val="left"/>
            </w:pPr>
            <w:r>
              <w:t xml:space="preserve">0,88 (0,83–0,92)</w:t>
            </w:r>
          </w:p>
        </w:tc>
        <w:tc>
          <w:tcPr/>
          <w:p>
            <w:pPr>
              <w:pStyle w:val="Compact"/>
              <w:jc w:val="left"/>
            </w:pPr>
            <w:r>
              <w:t xml:space="preserve">1,000</w:t>
            </w:r>
          </w:p>
        </w:tc>
        <w:tc>
          <w:tcPr/>
          <w:p>
            <w:pPr>
              <w:pStyle w:val="Compact"/>
              <w:jc w:val="left"/>
            </w:pPr>
            <w:r>
              <w:t xml:space="preserve">Principal</w:t>
            </w:r>
          </w:p>
        </w:tc>
      </w:tr>
      <w:tr>
        <w:tc>
          <w:tcPr/>
          <w:p>
            <w:pPr>
              <w:pStyle w:val="Compact"/>
              <w:jc w:val="left"/>
            </w:pPr>
            <w:r>
              <w:t xml:space="preserve">RPM</w:t>
            </w:r>
          </w:p>
        </w:tc>
        <w:tc>
          <w:tcPr/>
          <w:p>
            <w:pPr>
              <w:pStyle w:val="Compact"/>
              <w:jc w:val="left"/>
            </w:pPr>
            <w:r>
              <w:t xml:space="preserve">0.51 (0.35–0.74)</w:t>
            </w:r>
          </w:p>
        </w:tc>
        <w:tc>
          <w:tcPr/>
          <w:p>
            <w:pPr>
              <w:pStyle w:val="Compact"/>
              <w:jc w:val="left"/>
            </w:pPr>
            <w:r>
              <w:t xml:space="preserve">&lt;0,001</w:t>
            </w:r>
          </w:p>
        </w:tc>
        <w:tc>
          <w:tcPr/>
          <w:p>
            <w:pPr>
              <w:pStyle w:val="Compact"/>
              <w:jc w:val="left"/>
            </w:pPr>
            <w:r>
              <w:t xml:space="preserve">0,52 (0,36–0,73)</w:t>
            </w:r>
          </w:p>
        </w:tc>
        <w:tc>
          <w:tcPr/>
          <w:p>
            <w:pPr>
              <w:pStyle w:val="Compact"/>
              <w:jc w:val="left"/>
            </w:pPr>
            <w:r>
              <w:t xml:space="preserve">1,000</w:t>
            </w:r>
          </w:p>
        </w:tc>
        <w:tc>
          <w:tcPr/>
          <w:p>
            <w:pPr>
              <w:pStyle w:val="Compact"/>
              <w:jc w:val="left"/>
            </w:pPr>
            <w:r>
              <w:t xml:space="preserve">Obstétrico</w:t>
            </w:r>
          </w:p>
        </w:tc>
      </w:tr>
    </w:tbl>
    <w:p>
      <w:pPr>
        <w:pStyle w:val="BodyText"/>
      </w:pPr>
      <w:r>
        <w:rPr>
          <w:i/>
          <w:iCs/>
        </w:rPr>
        <w:t xml:space="preserve">Nota: IC95% corresponde al análisis frecuentista; CrI95% al bayesiano. Los OR de controles prenatales y psicoprofilaxis se presentan por una unidad adicional en ambos paradigmas, a partir de las transformaciones a escala original ya documentadas. No deben interpretarse p y P dirección como medidas equivalentes.</w:t>
      </w:r>
    </w:p>
    <w:bookmarkEnd w:id="63"/>
    <w:bookmarkEnd w:id="64"/>
    <w:bookmarkStart w:id="75" w:name="discusión"/>
    <w:p>
      <w:pPr>
        <w:pStyle w:val="Heading1"/>
      </w:pPr>
      <w:r>
        <w:t xml:space="preserve">5. Discusión</w:t>
      </w:r>
    </w:p>
    <w:bookmarkStart w:id="65" w:name="hallazgos-principales"/>
    <w:p>
      <w:pPr>
        <w:pStyle w:val="Heading2"/>
      </w:pPr>
      <w:r>
        <w:t xml:space="preserve">5.1 Hallazgos principales</w:t>
      </w:r>
    </w:p>
    <w:p>
      <w:pPr>
        <w:pStyle w:val="FirstParagraph"/>
      </w:pPr>
      <w:r>
        <w:t xml:space="preserve">El análisis identificó al DPP como la asociación positiva más fuerte y consistente. El riesgo alto e inminente al ingreso también mostró mayores odds. Para eclampsia, la mayor parte de la distribución posterior favoreció una asociación positiva, pero la incertidumbre fue mayor. Acompañamiento, controles, sesiones y RPM mostraron asociaciones negativas cuya interpretación depende de temporalidad, medición y especificación.</w:t>
      </w:r>
    </w:p>
    <w:bookmarkEnd w:id="65"/>
    <w:bookmarkStart w:id="66" w:name="desprendimiento-prematuro-de-placenta"/>
    <w:p>
      <w:pPr>
        <w:pStyle w:val="Heading2"/>
      </w:pPr>
      <w:r>
        <w:t xml:space="preserve">5.2 Desprendimiento prematuro de placenta</w:t>
      </w:r>
    </w:p>
    <w:p>
      <w:pPr>
        <w:pStyle w:val="FirstParagraph"/>
      </w:pPr>
      <w:r>
        <w:t xml:space="preserve">La magnitud de la asociación de DPP fue considerable en ambos enfoques. Su coherencia direccional y la concentración de la distribución posterior por encima de OR=1 respaldan que constituye un marcador obstétrico estrechamente asociado con muerte fetal en estos registros. El diseño no permite establecer el mecanismo ni cuantificar un efecto causal.</w:t>
      </w:r>
    </w:p>
    <w:bookmarkEnd w:id="66"/>
    <w:bookmarkStart w:id="67" w:name="eclampsia-y-trastornos-hipertensivos"/>
    <w:p>
      <w:pPr>
        <w:pStyle w:val="Heading2"/>
      </w:pPr>
      <w:r>
        <w:t xml:space="preserve">5.3 Eclampsia y trastornos hipertensivos</w:t>
      </w:r>
    </w:p>
    <w:p>
      <w:pPr>
        <w:pStyle w:val="FirstParagraph"/>
      </w:pPr>
      <w:r>
        <w:t xml:space="preserve">La eclampsia presentó una señal positiva, pero con CrI95% amplio por los datos escasos. La regularización evitó extrapolar una estimación extrema y la sensibilidad al ancho del prior mostró cambios de magnitud. La agrupación con preeclampsia redujo la señal, lo que refleja que combinar categorías modifica la pregunta clínica.</w:t>
      </w:r>
    </w:p>
    <w:bookmarkEnd w:id="67"/>
    <w:bookmarkStart w:id="68" w:name="riesgo-al-ingreso"/>
    <w:p>
      <w:pPr>
        <w:pStyle w:val="Heading2"/>
      </w:pPr>
      <w:r>
        <w:t xml:space="preserve">5.4 Riesgo al ingreso</w:t>
      </w:r>
    </w:p>
    <w:p>
      <w:pPr>
        <w:pStyle w:val="FirstParagraph"/>
      </w:pPr>
      <w:r>
        <w:t xml:space="preserve">Riesgo alto e inminente se asociaron positivamente con el desenlace. Es razonable interpretarlos como marcadores de gravedad clínica y oportunidad de ingreso, no como exposiciones independientes. Su proximidad temporal al desenlace limita cualquier ordenamiento causal.</w:t>
      </w:r>
      <w:r>
        <w:t xml:space="preserve"> Las categorías de riesgo al ingreso son evaluaciones clínicas realizadas al momento de la atención; se presentan para caracterizar la gravedad clínica asociada con los casos y no como exposiciones etiológicas independientes ni como estimaciones causales.</w:t>
      </w:r>
    </w:p>
    <w:bookmarkEnd w:id="68"/>
    <w:bookmarkStart w:id="69" w:name="atención-prenatal-y-psicoprofilaxis"/>
    <w:p>
      <w:pPr>
        <w:pStyle w:val="Heading2"/>
      </w:pPr>
      <w:r>
        <w:t xml:space="preserve">5.5 Atención prenatal y psicoprofilaxis</w:t>
      </w:r>
    </w:p>
    <w:p>
      <w:pPr>
        <w:pStyle w:val="FirstParagraph"/>
      </w:pPr>
      <w:r>
        <w:t xml:space="preserve">Las asociaciones negativas del modelo principal pueden relacionarse con acceso, continuidad, adherencia, condiciones socioeconómicas y tiempo gestacional disponible. La atenuación en el análisis de sensibilidad que incorporó edad gestacional, especialmente para sesiones y acompañamiento, indica dependencia de la especificación. Como la edad gestacional puede representar tiempo disponible y formar parte de procesos intermedios, su ajuste modifica el estimando y no equivale automáticamente a controlar confusión. Estas asociaciones no demuestran un efecto preventivo.</w:t>
      </w:r>
      <w:r>
        <w:t xml:space="preserve"> En el indicador operacional, la categoría baja presentó mayores odds que la categoría buena. La estimación se desplazó hacia la nulidad al incluir edad gestacional, pero este cambio no distingue entre confusión, acoplamiento matemático, oportunidad acumulada de controles, selección, temporalidad o una asociación real.</w:t>
      </w:r>
      <w:r>
        <w:t xml:space="preserve"> La adherencia parcial no mostró diferencias claras respecto de la buena adherencia; la baja adherencia mostró mayores odds, que permanecieron alejadas de la nulidad aunque con menor magnitud en la sensibilidad por edad gestacional. Esta persistencia no establece causalidad ni elimina explicaciones por oportunidad acumulada, temporalidad, selección o confusión residual.</w:t>
      </w:r>
    </w:p>
    <w:bookmarkEnd w:id="69"/>
    <w:bookmarkStart w:id="70" w:name="acompañamiento"/>
    <w:p>
      <w:pPr>
        <w:pStyle w:val="Heading2"/>
      </w:pPr>
      <w:r>
        <w:t xml:space="preserve">5.6 Acompañamiento</w:t>
      </w:r>
    </w:p>
    <w:p>
      <w:pPr>
        <w:pStyle w:val="FirstParagraph"/>
      </w:pPr>
      <w:r>
        <w:t xml:space="preserve">El acompañamiento puede funcionar como indicador de soporte social, redes familiares o dinámica asistencial. El análisis detallado mostró diferencias según acompañante, pero estas categorías no representan una intervención aleatorizada y pueden capturar perfiles sociales distintos.</w:t>
      </w:r>
    </w:p>
    <w:bookmarkEnd w:id="70"/>
    <w:bookmarkStart w:id="71" w:name="ruptura-prematura-de-membranas"/>
    <w:p>
      <w:pPr>
        <w:pStyle w:val="Heading2"/>
      </w:pPr>
      <w:r>
        <w:t xml:space="preserve">5.7 Ruptura prematura de membranas</w:t>
      </w:r>
    </w:p>
    <w:p>
      <w:pPr>
        <w:pStyle w:val="FirstParagraph"/>
      </w:pPr>
      <w:r>
        <w:t xml:space="preserve">RPM presentó OR posterior 0,52, una asociación negativa con las odds de muerte fetal. No se interpreta como factor preventivo. Entre las explicaciones posibles se encuentran temporalidad inversa, momento del registro, selección clínica y clasificación diferencial. También es posible que determinados registros de muerte fetal no hayan documentado RPM con la misma oportunidad que otros desenlaces.</w:t>
      </w:r>
    </w:p>
    <w:bookmarkEnd w:id="71"/>
    <w:bookmarkStart w:id="72" w:name="concordancia-entre-enfoques"/>
    <w:p>
      <w:pPr>
        <w:pStyle w:val="Heading2"/>
      </w:pPr>
      <w:r>
        <w:t xml:space="preserve">5.8 Concordancia entre enfoques</w:t>
      </w:r>
    </w:p>
    <w:p>
      <w:pPr>
        <w:pStyle w:val="FirstParagraph"/>
      </w:pPr>
      <w:r>
        <w:t xml:space="preserve">La concordancia direccional general aumentó la confianza descriptiva en varios hallazgos. El enfoque frecuentista informó compatibilidad mediante IC95% y p-valores; el bayesiano cuantificó incertidumbre y probabilidad direccional. Estas métricas son complementarias, no intercambiables.</w:t>
      </w:r>
    </w:p>
    <w:bookmarkEnd w:id="72"/>
    <w:bookmarkStart w:id="73" w:name="fortalezas"/>
    <w:p>
      <w:pPr>
        <w:pStyle w:val="Heading2"/>
      </w:pPr>
      <w:r>
        <w:t xml:space="preserve">5.9 Fortalezas</w:t>
      </w:r>
    </w:p>
    <w:p>
      <w:pPr>
        <w:pStyle w:val="FirstParagraph"/>
      </w:pPr>
      <w:r>
        <w:t xml:space="preserve">Entre las fortalezas se encuentran el gran número de registros, la preespecificación de modelos por dominio, la regularización bayesiana de categorías escasas, la sensibilidad a priors y especificaciones, diagnósticos adecuados y trazabilidad reproducible de datos, scripts y resultados.</w:t>
      </w:r>
    </w:p>
    <w:bookmarkEnd w:id="73"/>
    <w:bookmarkStart w:id="74" w:name="limitaciones"/>
    <w:p>
      <w:pPr>
        <w:pStyle w:val="Heading2"/>
      </w:pPr>
      <w:r>
        <w:t xml:space="preserve">5.10 Limitaciones</w:t>
      </w:r>
    </w:p>
    <w:p>
      <w:pPr>
        <w:pStyle w:val="FirstParagraph"/>
      </w:pPr>
      <w:r>
        <w:t xml:space="preserve">Las limitaciones incluyen diseño transversal, incertidumbre temporal, uso de datos secundarios, potencial misclasificación, faltantes, 31% de ausencia en seguro, imposibilidad de analizar embarazo múltiple por falta completa del desenlace, escasez en categorías como eclampsia, confusión residual y dependencia de la calidad del registro. No es posible inferir causalidad.</w:t>
      </w:r>
      <w:r>
        <w:t xml:space="preserve"> El indicador de adherencia utilizó una regla operacional solicitada no validada externamente en este proyecto; además, la edad gestacional determina los controles esperados y participa en el modelo de sensibilidad, lo que introduce dependencia estructural y limita la interpretación del cambio entre estimaciones.</w:t>
      </w:r>
      <w:r>
        <w:t xml:space="preserve"> Además, 15,75% de los registros analíticos tuvo adherencia &gt;100%; estos valores se conservaron porque indican más controles observados que los operacionalmente esperados y no constituyen por sí mismos errores. El recuento de controles no mide la calidad, oportunidad ni contenido de la atención prenatal.</w:t>
      </w:r>
    </w:p>
    <w:bookmarkEnd w:id="74"/>
    <w:bookmarkEnd w:id="75"/>
    <w:bookmarkStart w:id="76" w:name="conclusiones"/>
    <w:p>
      <w:pPr>
        <w:pStyle w:val="Heading1"/>
      </w:pPr>
      <w:r>
        <w:t xml:space="preserve">6. Conclusiones</w:t>
      </w:r>
    </w:p>
    <w:p>
      <w:pPr>
        <w:pStyle w:val="FirstParagraph"/>
      </w:pPr>
      <w:r>
        <w:t>En estos registros obstétricos, el DPP mostró la asociación positiva de mayor magnitud con muerte fetal, con resultados concordantes en los análisis frecuentista y bayesiano. Riesgo alto e inminente al ingreso también se asociaron con mayores odds y deben entenderse como evaluaciones clínicas al momento de la atención y marcadores de gravedad, no como exposiciones etiológicas independientes ni estimaciones causales. Para eclampsia, la distribución posterior favoreció una asociación positiva, aunque con incertidumbre considerable debido a la escasez de datos.</w:t>
      </w:r>
    </w:p>
    <w:p>
      <w:pPr>
        <w:pStyle w:val="BodyText"/>
      </w:pPr>
      <w:r>
        <w:t xml:space="preserve">Controles prenatales, sesiones de psicoprofilaxis, acompañamiento y RPM mostraron asociaciones negativas. Sin embargo, la sensibilidad al ajuste por edad gestacional, la proximidad temporal de algunas variables al desenlace y la naturaleza observacional del estudio impiden atribuirles efectos preventivos. En particular, la dirección observada para RPM puede relacionarse con temporalidad inversa, selección clínica o diferencias de registro.</w:t>
      </w:r>
      <w:r>
        <w:t xml:space="preserve"> En el análisis adicional, la adherencia baja se asoció con mayores odds frente a la buena, con atenuación en la sensibilidad por edad gestacional; este resultado depende de la definición operacional y no demuestra un efecto causal.</w:t>
      </w:r>
    </w:p>
    <w:p>
      <w:pPr>
        <w:pStyle w:val="BodyText"/>
      </w:pPr>
      <w:r>
        <w:t xml:space="preserve">La combinación de estimaciones frecuentistas y distribuciones posteriores permitió describir magnitud, incertidumbre y dirección sin imponer una dicotomía única de significación. Los hallazgos deben confirmarse con datos que documenten mejor temporalidad, calidad de exposición y estructura de embarazos múltiples.</w:t>
      </w:r>
    </w:p>
    <w:bookmarkEnd w:id="76"/>
    <w:bookmarkStart w:id="77" w:name="referencias"/>
    <w:p>
      <w:pPr>
        <w:pStyle w:val="Heading1"/>
      </w:pPr>
      <w:r>
        <w:t xml:space="preserve">Referencias</w:t>
      </w:r>
    </w:p>
    <w:p>
      <w:pPr>
        <w:pStyle w:val="FirstParagraph"/>
      </w:pPr>
      <w:r>
        <w:t>1. World Health Organization. Stillbirth. Disponible en: https://www.who.int/health-topics/stillbirth (consulta: 12 de agosto de 2026).</w:t>
      </w:r>
    </w:p>
    <w:p>
      <w:pPr>
        <w:pStyle w:val="FirstParagraph"/>
      </w:pPr>
      <w:r>
        <w:t>2. Aminu M, Bar-Zeev S, van den Broek N. Cause of and factors associated with stillbirth: a systematic review of classification systems. Acta Obstet Gynecol Scand. 2017;96(5):519–528. doi:10.1111/aogs.13126.</w:t>
      </w:r>
    </w:p>
    <w:p>
      <w:pPr>
        <w:pStyle w:val="FirstParagraph"/>
      </w:pPr>
      <w:r>
        <w:t>3. Downes KL, Grantz KL, Shenassa ED. Maternal, labor, delivery, and perinatal outcomes associated with placental abruption: a systematic review. Am J Perinatol. 2017;34(10):935–957. doi:10.1055/s-0037-1599149.</w:t>
      </w:r>
    </w:p>
    <w:p>
      <w:pPr>
        <w:pStyle w:val="FirstParagraph"/>
      </w:pPr>
      <w:r>
        <w:t>4. Vandenbroucke JP, von Elm E, Altman DG, et al. Strengthening the Reporting of Observational Studies in Epidemiology (STROBE): explanation and elaboration. Epidemiology. 2007;18(6):805–835. doi:10.1097/EDE.0b013e3181577511.</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image" Target="media/rId49.png"/><Relationship Id="rId53" Type="http://schemas.openxmlformats.org/officeDocument/2006/relationships/image" Target="media/rId53.png"/><Relationship Id="rId45" Type="http://schemas.openxmlformats.org/officeDocument/2006/relationships/image" Target="media/rId45.png"/><Relationship Id="rId58" Type="http://schemas.openxmlformats.org/officeDocument/2006/relationships/image" Target="media/rId58.pn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2026-08-13T01:22:36Z</dcterms:created>
  <dcterms:modified xsi:type="dcterms:W3CDTF">2026-08-13T01:22:36Z</dcterms:modified>
</cp:coreProperties>
</file>

<file path=docProps/custom.xml><?xml version="1.0" encoding="utf-8"?>
<Properties xmlns="http://schemas.openxmlformats.org/officeDocument/2006/custom-properties" xmlns:vt="http://schemas.openxmlformats.org/officeDocument/2006/docPropsVTypes"/>
</file>