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Tabla 1. Características maternas, obstétricas y neonatales de los casos de sífilis congénita según origen materno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2"/>
        <w:gridCol w:w="2088"/>
        <w:gridCol w:w="2088"/>
        <w:gridCol w:w="2088"/>
      </w:tblGrid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Extranjera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Casos, n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Edad materna,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26,0 [21,0–32,0]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25,0 [21,0–32,0]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26,5 [21,0–30,2]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Pareja estable,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179 (70,2%)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 (70,3%)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(69,4%)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Embarazo planeado,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 (32,2%)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 (31,1%)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 (38,9%)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Escolaridad,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Ninguna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 (3,1%)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 (3,7%)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(0,0%)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 (29,0%)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 (28,3%)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 (33,3%)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158 (62,0%)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136 (62,1%)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 (61,1%)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 (5,9%)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(5,9%)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(5,6%)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Consultas prenatales,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6,0 [4,0–8,0]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6,0 [4,0–8,0]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5,0 [1,0–6,0]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Densidad de controles/semana,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0,2 [0,1–0,2]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0,2 [0,1–0,2]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0,1 [0,0–0,2]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Control prenatal subóptimo por densidad,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181 (72,4%)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150 (70,1%)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 (86,1%)</w:t>
            </w:r>
          </w:p>
        </w:tc>
      </w:tr>
      <w:tr>
        <w:trPr>
          <w:cantSplit/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Edad gestacional,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39,0 [37,0–39,0]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39,0 [37,0–39,0]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38,0 [37,0–39,0]</w:t>
            </w:r>
          </w:p>
        </w:tc>
      </w:tr>
      <w:tr>
        <w:trPr>
          <w:cantSplit/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Prematuro,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 (12,6%)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 (12,8%)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(11,1%)</w:t>
            </w:r>
          </w:p>
        </w:tc>
      </w:tr>
      <w:tr>
        <w:trPr>
          <w:cantSplit/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Peso al nacer (g),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2925,0 [2616,0–3232,5]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2940,0 [2620,0–3280,0]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2905,0 [2554,2–3155,0]</w:t>
            </w:r>
          </w:p>
        </w:tc>
      </w:tr>
      <w:tr>
        <w:trPr>
          <w:cantSplit/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Pequeño para EG,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(21,2%)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 (21,5%)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(19,4%)</w:t>
            </w:r>
          </w:p>
        </w:tc>
      </w:tr>
      <w:tr>
        <w:trPr>
          <w:cantSplit/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Parto por cesárea,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 (41,2%)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 (42,5%)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 (33,3%)</w:t>
            </w:r>
          </w:p>
        </w:tc>
      </w:tr>
      <w:tr>
        <w:trPr>
          <w:cantSplit/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Trastorno hipertensivo,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 (11,1%)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 (12,0%)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(5,6%)</w:t>
            </w:r>
          </w:p>
        </w:tc>
      </w:tr>
      <w:tr>
        <w:trPr>
          <w:cantSplit/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Defecto congénito,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(8,2%)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(9,1%)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(2,8%)</w:t>
            </w:r>
          </w:p>
        </w:tc>
      </w:tr>
      <w:tr>
        <w:trPr>
          <w:cantSplit/>
          <w:trHeight w:val="360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Fallecimiento neonatal, n 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(0,8%)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(0,9%)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(0,0%)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z w:val="18"/>
          <w:szCs w:val="18"/>
          <w:color w:val="000000"/>
        </w:rPr>
        <w:t xml:space="preserve">Nota: Los datos se presentan como mediana [rango intercuartílico (RIC)] o n (%), según corresponda. La densidad de control prenatal se calculó como el número de consultas prenatales dividido por las semanas de gestación y se clasificó operacionalmente como no densa cuando fue &lt;0,20 consultas por semana. Los porcentajes se calcularon utilizando los casos con información disponible para cada variable. Faltaron datos de consultas prenatales en 4 casos, de densidad de control prenatal y su clasificación en 5 casos, de edad gestacional y prematuridad en 1 caso, y de trastorno hipertensivo en 2 casos. No se imputaron datos.</w:t>
      </w:r>
    </w:p>
    <w:p>
      <w:pPr>
        <w:sectPr w:officer="true">
          <w:type w:val="continuous"/>
          <w:cols/>
          <w:pgSz w:h="16838" w:w="11905" w:orient="portrait"/>
          <w:pgMar w:header="720" w:bottom="1417" w:top="1417" w:right="1417" w:left="1417" w:footer="720" w:gutter="720"/>
        </w:sectPr>
      </w:pPr>
    </w:p>
    <w:sectPr w:officer="true">
      <w:pgMar w:header="720" w:bottom="1417" w:top="1417" w:right="1417" w:left="1417" w:footer="720" w:gutter="720"/>
      <w:pgSz w:h="16838" w:w="11905" w:orient="portrait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debian</cp:lastModifiedBy>
  <cp:revision>9</cp:revision>
  <dcterms:created xsi:type="dcterms:W3CDTF">2017-02-28T11:18:00Z</dcterms:created>
  <dcterms:modified xsi:type="dcterms:W3CDTF">2026-08-27T14:34:19Z</dcterms:modified>
  <cp:category/>
</cp:coreProperties>
</file>