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Tablas finales dependientes del modelo bayesiano Poisson principal</w:t>
      </w:r>
    </w:p>
    <w:p>
      <w:pPr>
        <w:pStyle w:val="Normal"/>
      </w:pPr>
      <w:r>
        <w:t xml:space="preserve">Documento independiente para incorporación manual al manuscrito.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Tabla 2. Modelo bayesiano Poisson principal.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36"/>
        <w:gridCol w:w="2736"/>
        <w:gridCol w:w="2736"/>
        <w:gridCol w:w="2736"/>
        <w:gridCol w:w="2736"/>
      </w:tblGrid>
      <w:tr>
        <w:trPr>
          <w:cantSplit/>
          <w:trHeight w:val="360" w:hRule="auto"/>
          <w:tblHeader/>
        </w:trPr>
        header1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Parámetro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Referencia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IRR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ICr95%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P(IRR &gt; 1)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Origen materno: extranjera frente a nacional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Nacional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2,47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1,69–3,51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z w:val="18"/>
          <w:szCs w:val="18"/>
          <w:color w:val="000000"/>
        </w:rPr>
        <w:t xml:space="preserve">Nota: IRR = razón de tasas de incidencia; ICr95% = intervalo de credibilidad del 95%. Referencia: origen materno nacional.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Tabla S4. Diagnósticos MCMC del modelo Poisson principal.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60"/>
        <w:gridCol w:w="4560"/>
        <w:gridCol w:w="4560"/>
      </w:tblGrid>
      <w:tr>
        <w:trPr>
          <w:cantSplit/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Diagnóstico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Cadena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Valor</w:t>
            </w:r>
          </w:p>
        </w:tc>
      </w:tr>
      <w:tr>
        <w:trPr>
          <w:cantSplit/>
          <w:trHeight w:val="36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Rhat máximo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Todas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1,0021</w:t>
            </w:r>
          </w:p>
        </w:tc>
      </w:tr>
      <w:tr>
        <w:trPr>
          <w:cantSplit/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ESS bulk mínimo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1.746</w:t>
            </w:r>
          </w:p>
        </w:tc>
      </w:tr>
      <w:tr>
        <w:trPr>
          <w:cantSplit/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ESS tail mínimo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2.501</w:t>
            </w:r>
          </w:p>
        </w:tc>
      </w:tr>
      <w:tr>
        <w:trPr>
          <w:cantSplit/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Divergencias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Excedencias de max_treedepth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E-BFMI mínimo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0,8055</w:t>
            </w:r>
          </w:p>
        </w:tc>
      </w:tr>
      <w:tr>
        <w:trPr>
          <w:cantSplit/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E-BFMI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0,8532</w:t>
            </w:r>
          </w:p>
        </w:tc>
      </w:tr>
      <w:tr>
        <w:trPr>
          <w:cantSplit/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E-BFMI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0,8631</w:t>
            </w:r>
          </w:p>
        </w:tc>
      </w:tr>
      <w:tr>
        <w:trPr>
          <w:cantSplit/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E-BFMI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0,8682</w:t>
            </w:r>
          </w:p>
        </w:tc>
      </w:tr>
      <w:tr>
        <w:trPr>
          <w:cantSplit/>
          <w:trHeight w:val="360" w:hRule="auto"/>
        </w:trPr>
        body10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E-BFMI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0,8055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z w:val="18"/>
          <w:szCs w:val="18"/>
          <w:color w:val="000000"/>
        </w:rPr>
        <w:t xml:space="preserve">Nota: ESS = tamaño efectivo de muestra; E-BFMI = Bayesian fraction of missing information. Se utilizaron cuatro cadenas.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Tabla S5. Comprobaciones predictivas posteriores del modelo Poisson principal.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840"/>
        <w:gridCol w:w="6840"/>
      </w:tblGrid>
      <w:tr>
        <w:trPr>
          <w:cantSplit/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Métrica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Valor</w:t>
            </w:r>
          </w:p>
        </w:tc>
      </w:tr>
      <w:tr>
        <w:trPr>
          <w:cantSplit/>
          <w:trHeight w:val="36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Varianza observada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59,32</w:t>
            </w:r>
          </w:p>
        </w:tc>
      </w:tr>
      <w:tr>
        <w:trPr>
          <w:cantSplit/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Mediana de la varianza replicada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51,47</w:t>
            </w:r>
          </w:p>
        </w:tc>
      </w:tr>
      <w:tr>
        <w:trPr>
          <w:cantSplit/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IP95% inferior de la varianza replicada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32,51</w:t>
            </w:r>
          </w:p>
        </w:tc>
      </w:tr>
      <w:tr>
        <w:trPr>
          <w:cantSplit/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IP95% superior de la varianza replicada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80,26</w:t>
            </w:r>
          </w:p>
        </w:tc>
      </w:tr>
      <w:tr>
        <w:trPr>
          <w:cantSplit/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P(varianza replicada ≥ observada)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0,2687</w:t>
            </w:r>
          </w:p>
        </w:tc>
      </w:tr>
      <w:tr>
        <w:trPr>
          <w:cantSplit/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Máximo observado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</w:tr>
      <w:tr>
        <w:trPr>
          <w:cantSplit/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P(máximo replicado ≥ observado)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0,4298</w:t>
            </w:r>
          </w:p>
        </w:tc>
      </w:tr>
      <w:tr>
        <w:trPr>
          <w:cantSplit/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2021–nacional: observado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cantSplit/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2021–nacional: mediana predictiva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</w:tr>
      <w:tr>
        <w:trPr>
          <w:cantSplit/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2021–nacional: IP95% inferior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cantSplit/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2021–nacional: IP95% superior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</w:tr>
      <w:tr>
        <w:trPr>
          <w:cantSplit/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2021–nacional: P(yrep ≥ observado)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0,0014</w:t>
            </w:r>
          </w:p>
        </w:tc>
      </w:tr>
      <w:tr>
        <w:trPr>
          <w:cantSplit/>
          <w:trHeight w:val="360" w:hRule="auto"/>
        </w:trPr>
        body13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2021–nacional: percentil observado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0,9990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z w:val="18"/>
          <w:szCs w:val="18"/>
          <w:color w:val="000000"/>
        </w:rPr>
        <w:t xml:space="preserve">Nota: PPC = posterior predictive check; IP95% = intervalo predictivo posterior del 95%; yrep = conteo replicado posterior.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Tabla S6. LOO y diagnósticos Pareto-k. Panel A: resumen.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840"/>
        <w:gridCol w:w="6840"/>
      </w:tblGrid>
      <w:tr>
        <w:trPr>
          <w:cantSplit/>
          <w:trHeight w:val="360" w:hRule="auto"/>
          <w:tblHeader/>
        </w:trPr>
        header1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Métrica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Valor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ELPD-LOO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-82,88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 del ELPD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9,66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p-LOO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8,40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Pareto-k máximo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0,695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Estrato con Pareto-k máximo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2021-nacional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z w:val="18"/>
          <w:szCs w:val="18"/>
          <w:color w:val="000000"/>
        </w:rPr>
        <w:t xml:space="preserve">Nota: LOO = leave-one-out cross-validation; ELPD = expected log predictive density.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Panel B: distribución de Pareto-k.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840"/>
        <w:gridCol w:w="6840"/>
      </w:tblGrid>
      <w:tr>
        <w:trPr>
          <w:cantSplit/>
          <w:trHeight w:val="360" w:hRule="auto"/>
          <w:tblHeader/>
        </w:trPr>
        header1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Clasificación de Pareto-k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Estratos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k ≤ 0,5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0,5 &lt; k &lt; 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0,7 ≤ k ≤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k &gt; 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Panel C: diez estratos con mayor Pareto-k.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36"/>
        <w:gridCol w:w="2736"/>
        <w:gridCol w:w="2736"/>
        <w:gridCol w:w="2736"/>
        <w:gridCol w:w="2736"/>
      </w:tblGrid>
      <w:tr>
        <w:trPr>
          <w:cantSplit/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Año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Origen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Casos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Nacimientos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Pareto-k</w:t>
            </w:r>
          </w:p>
        </w:tc>
      </w:tr>
      <w:tr>
        <w:trPr>
          <w:cantSplit/>
          <w:trHeight w:val="36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3.657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0,695</w:t>
            </w:r>
          </w:p>
        </w:tc>
      </w:tr>
      <w:tr>
        <w:trPr>
          <w:cantSplit/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0,561</w:t>
            </w:r>
          </w:p>
        </w:tc>
      </w:tr>
      <w:tr>
        <w:trPr>
          <w:cantSplit/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0,465</w:t>
            </w:r>
          </w:p>
        </w:tc>
      </w:tr>
      <w:tr>
        <w:trPr>
          <w:cantSplit/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0,370</w:t>
            </w:r>
          </w:p>
        </w:tc>
      </w:tr>
      <w:tr>
        <w:trPr>
          <w:cantSplit/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0,353</w:t>
            </w:r>
          </w:p>
        </w:tc>
      </w:tr>
      <w:tr>
        <w:trPr>
          <w:cantSplit/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0,353</w:t>
            </w:r>
          </w:p>
        </w:tc>
      </w:tr>
      <w:tr>
        <w:trPr>
          <w:cantSplit/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0,341</w:t>
            </w:r>
          </w:p>
        </w:tc>
      </w:tr>
      <w:tr>
        <w:trPr>
          <w:cantSplit/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0,335</w:t>
            </w:r>
          </w:p>
        </w:tc>
      </w:tr>
      <w:tr>
        <w:trPr>
          <w:cantSplit/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0,308</w:t>
            </w:r>
          </w:p>
        </w:tc>
      </w:tr>
      <w:tr>
        <w:trPr>
          <w:cantSplit/>
          <w:trHeight w:val="360" w:hRule="auto"/>
        </w:trPr>
        body10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Extranjera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0,301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z w:val="18"/>
          <w:szCs w:val="18"/>
          <w:color w:val="000000"/>
        </w:rPr>
        <w:t xml:space="preserve">Nota: Todos los valores fueron &lt;0,7; esto no implica ausencia absoluta de observaciones influyentes.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Tabla S7. Sensibilidad temporal del modelo Poisson principal.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cantSplit/>
          <w:trHeight w:val="360" w:hRule="auto"/>
          <w:tblHeader/>
        </w:trPr>
        header1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Panel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Escenario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Estratos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IRR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ICr95%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P(IRR &gt; 1)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Referencia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2,47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1,69–3,51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1,0000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Sin ambos estratos de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1,86–4,17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1,0000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Sin ambos estratos de 2024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1,65–3,47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z w:val="18"/>
          <w:szCs w:val="18"/>
          <w:color w:val="000000"/>
        </w:rPr>
        <w:t xml:space="preserve">Nota: Panel A excluye ambos estratos de 2021; panel B excluye ambos estratos de 2024. La referencia conserva 32 estratos.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Tabla S8. Sensibilidad al prior del coeficiente de origen materno.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rPr>
          <w:cantSplit/>
          <w:trHeight w:val="360" w:hRule="auto"/>
          <w:tblHeader/>
        </w:trPr>
        header1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Escenario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Prior para origen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IRR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ICr95%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P(IRR &gt; 1)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Rhat máximo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Divergencias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ELPD-LOO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Normal(0,1)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2,47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1,69–3,51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1,0000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1,0021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-82,88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Mas regularizado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Normal(0,0.5)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1,57–3,19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-82,70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Menos regularizado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Normal(0,1.5)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1,75–3,52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1,0009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-82,87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z w:val="18"/>
          <w:szCs w:val="18"/>
          <w:color w:val="000000"/>
        </w:rPr>
        <w:t xml:space="preserve">Nota: Cada escenario modifica únicamente la desviación estándar del prior Normal centrado en cero para origen; no incluye shape.</w:t>
      </w:r>
    </w:p>
    <w:sectPr w:officer="true">
      <w:pgMar w:header="720" w:bottom="1417" w:top="1417" w:right="1417" w:left="1417" w:footer="720" w:gutter="720"/>
      <w:pgSz w:h="11905" w:w="16838" w:orient="landscape"/>
      <w:cols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debian</cp:lastModifiedBy>
  <cp:revision>9</cp:revision>
  <dcterms:created xsi:type="dcterms:W3CDTF">2017-02-28T11:18:00Z</dcterms:created>
  <dcterms:modified xsi:type="dcterms:W3CDTF">2026-08-27T14:53:19Z</dcterms:modified>
  <cp:category/>
</cp:coreProperties>
</file>