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4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Tendencia</w:t>
      </w:r>
      <w:r>
        <w:t xml:space="preserve"> </w:t>
      </w:r>
      <w:r>
        <w:t xml:space="preserve">temporal</w:t>
      </w:r>
      <w:r>
        <w:t xml:space="preserve"> </w:t>
      </w:r>
      <w:r>
        <w:t xml:space="preserve">y</w:t>
      </w:r>
      <w:r>
        <w:t xml:space="preserve"> </w:t>
      </w:r>
      <w:r>
        <w:t xml:space="preserve">asociación</w:t>
      </w:r>
      <w:r>
        <w:t xml:space="preserve"> </w:t>
      </w:r>
      <w:r>
        <w:t xml:space="preserve">con</w:t>
      </w:r>
      <w:r>
        <w:t xml:space="preserve"> </w:t>
      </w:r>
      <w:r>
        <w:t xml:space="preserve">el</w:t>
      </w:r>
      <w:r>
        <w:t xml:space="preserve"> </w:t>
      </w:r>
      <w:r>
        <w:t xml:space="preserve">origen</w:t>
      </w:r>
      <w:r>
        <w:t xml:space="preserve"> </w:t>
      </w:r>
      <w:r>
        <w:t xml:space="preserve">materno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sífilis</w:t>
      </w:r>
      <w:r>
        <w:t xml:space="preserve"> </w:t>
      </w:r>
      <w:r>
        <w:t xml:space="preserve">congénita:</w:t>
      </w:r>
      <w:r>
        <w:t xml:space="preserve"> </w:t>
      </w:r>
      <w:r>
        <w:t xml:space="preserve">análisis</w:t>
      </w:r>
      <w:r>
        <w:t xml:space="preserve"> </w:t>
      </w:r>
      <w:r>
        <w:t xml:space="preserve">bayesiano</w:t>
      </w:r>
      <w:r>
        <w:t xml:space="preserve"> </w:t>
      </w:r>
      <w:r>
        <w:t xml:space="preserve">en</w:t>
      </w:r>
      <w:r>
        <w:t xml:space="preserve"> </w:t>
      </w:r>
      <w:r>
        <w:t xml:space="preserve">un</w:t>
      </w:r>
      <w:r>
        <w:t xml:space="preserve"> </w:t>
      </w:r>
      <w:r>
        <w:t xml:space="preserve">hospital</w:t>
      </w:r>
      <w:r>
        <w:t xml:space="preserve"> </w:t>
      </w:r>
      <w:r>
        <w:t xml:space="preserve">de</w:t>
      </w:r>
      <w:r>
        <w:t xml:space="preserve"> </w:t>
      </w:r>
      <w:r>
        <w:t xml:space="preserve">referencia</w:t>
      </w:r>
      <w:r>
        <w:t xml:space="preserve"> </w:t>
      </w:r>
      <w:r>
        <w:t xml:space="preserve">ecuatoriano</w:t>
      </w:r>
      <w:r>
        <w:t xml:space="preserve"> </w:t>
      </w:r>
      <w:r>
        <w:t xml:space="preserve">(2009–2024)</w:t>
      </w:r>
    </w:p>
    <w:p>
      <w:pPr>
        <w:pStyle w:val="Author"/>
      </w:pPr>
      <w:r>
        <w:t xml:space="preserve">Santiago</w:t>
      </w:r>
      <w:r>
        <w:t xml:space="preserve"> </w:t>
      </w:r>
      <w:r>
        <w:t xml:space="preserve">[et</w:t>
      </w:r>
      <w:r>
        <w:t xml:space="preserve"> </w:t>
      </w:r>
      <w:r>
        <w:t xml:space="preserve">al.]</w:t>
      </w:r>
    </w:p>
    <w:p>
      <w:pPr>
        <w:pStyle w:val="Date"/>
      </w:pPr>
      <w:r>
        <w:t xml:space="preserve">12-08-2026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resume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Resumen</w:t>
      </w:r>
    </w:p>
    <w:p>
      <w:pPr>
        <w:pStyle w:val="FirstParagraph"/>
      </w:pPr>
      <w:r>
        <w:rPr>
          <w:b/>
          <w:bCs/>
        </w:rPr>
        <w:t xml:space="preserve">Introducción:</w:t>
      </w:r>
      <w:r>
        <w:t xml:space="preserve"> </w:t>
      </w:r>
      <w:r>
        <w:t xml:space="preserve">Se describió la tendencia temporal de la sífilis congénita y</w:t>
      </w:r>
      <w:r>
        <w:t xml:space="preserve"> </w:t>
      </w:r>
      <w:r>
        <w:t xml:space="preserve">su asociación con el origen materno en un hospital ecuatoriano.</w:t>
      </w:r>
      <w:r>
        <w:t xml:space="preserve"> </w:t>
      </w:r>
      <w:r>
        <w:rPr>
          <w:b/>
          <w:bCs/>
        </w:rPr>
        <w:t xml:space="preserve">Métodos:</w:t>
      </w:r>
      <w:r>
        <w:t xml:space="preserve"> </w:t>
      </w:r>
      <w:r>
        <w:t xml:space="preserve">Estudio retrospectivo de 255 casos y 111.742</w:t>
      </w:r>
      <w:r>
        <w:t xml:space="preserve"> </w:t>
      </w:r>
      <w:r>
        <w:t xml:space="preserve">nacidos vivos entre 2009 y 2024. Se ajustó un modelo bayesiano binomial negativo</w:t>
      </w:r>
      <w:r>
        <w:t xml:space="preserve"> </w:t>
      </w:r>
      <w:r>
        <w:t xml:space="preserve">con spline temporal de placa delgada y offset de nacimientos a 32 estratos año ×</w:t>
      </w:r>
      <w:r>
        <w:t xml:space="preserve"> </w:t>
      </w:r>
      <w:r>
        <w:t xml:space="preserve">origen.</w:t>
      </w:r>
      <w:r>
        <w:t xml:space="preserve"> </w:t>
      </w:r>
      <w:r>
        <w:rPr>
          <w:b/>
          <w:bCs/>
        </w:rPr>
        <w:t xml:space="preserve">Resultados:</w:t>
      </w:r>
      <w:r>
        <w:t xml:space="preserve"> </w:t>
      </w:r>
      <w:r>
        <w:t xml:space="preserve">El origen materno extranjero se asoció con mayor</w:t>
      </w:r>
      <w:r>
        <w:t xml:space="preserve"> </w:t>
      </w:r>
      <w:r>
        <w:t xml:space="preserve">incidencia hospitalaria registrada (IRR 2,37; ICr95%</w:t>
      </w:r>
      <w:r>
        <w:t xml:space="preserve"> </w:t>
      </w:r>
      <w:r>
        <w:t xml:space="preserve">1,42–3,99;</w:t>
      </w:r>
      <w:r>
        <w:t xml:space="preserve"> </w:t>
      </w:r>
      <w:r>
        <w:t xml:space="preserve">P[IRR&gt;1]=0,9988). No hubo divergencias y las</w:t>
      </w:r>
      <w:r>
        <w:t xml:space="preserve"> </w:t>
      </w:r>
      <w:r>
        <w:t xml:space="preserve">sensibilidades mantuvieron la dirección y la interpretación. Entre 250 casos con</w:t>
      </w:r>
      <w:r>
        <w:t xml:space="preserve"> </w:t>
      </w:r>
      <w:r>
        <w:t xml:space="preserve">datos completos, la OR de control prenatal adecuado para origen extranjero fue</w:t>
      </w:r>
      <w:r>
        <w:t xml:space="preserve"> </w:t>
      </w:r>
      <w:r>
        <w:t xml:space="preserve">0,60 (ICr95% 0,25–1,33).</w:t>
      </w:r>
      <w:r>
        <w:t xml:space="preserve"> </w:t>
      </w:r>
      <w:r>
        <w:rPr>
          <w:b/>
          <w:bCs/>
        </w:rPr>
        <w:t xml:space="preserve">Conclusión:</w:t>
      </w:r>
      <w:r>
        <w:t xml:space="preserve"> </w:t>
      </w:r>
      <w:r>
        <w:t xml:space="preserve">El origen extranjero se asoció con mayor incidencia hospitalaria</w:t>
      </w:r>
      <w:r>
        <w:t xml:space="preserve"> </w:t>
      </w:r>
      <w:r>
        <w:t xml:space="preserve">registrada, con resultados robustos a la exclusión de 2021 y a priors razonables.</w:t>
      </w:r>
      <w:r>
        <w:t xml:space="preserve"> </w:t>
      </w:r>
      <w:r>
        <w:t xml:space="preserve">El análisis entre casos no permite evaluar mediación por control prenatal.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sífilis congénita; epidemiología; análisis bayesiano; origen</w:t>
      </w:r>
      <w:r>
        <w:t xml:space="preserve"> </w:t>
      </w:r>
      <w:r>
        <w:t xml:space="preserve">materno; migración; Ecuador.</w:t>
      </w:r>
    </w:p>
    <w:bookmarkEnd w:id="20"/>
    <w:bookmarkStart w:id="21" w:name="introducció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sífilis congénita es un desenlace perinatal prevenible cuya frecuencia refleja</w:t>
      </w:r>
      <w:r>
        <w:t xml:space="preserve"> </w:t>
      </w:r>
      <w:r>
        <w:t xml:space="preserve">la interacción entre infección materna, diagnóstico, tratamiento oportuno y</w:t>
      </w:r>
      <w:r>
        <w:t xml:space="preserve"> </w:t>
      </w:r>
      <w:r>
        <w:t xml:space="preserve">acceso efectivo a servicios. La interpretación de series institucionales exige</w:t>
      </w:r>
      <w:r>
        <w:t xml:space="preserve"> </w:t>
      </w:r>
      <w:r>
        <w:t xml:space="preserve">considerar simultáneamente cambios temporales, denominadores de nacimientos y</w:t>
      </w:r>
      <w:r>
        <w:t xml:space="preserve"> </w:t>
      </w:r>
      <w:r>
        <w:t xml:space="preserve">heterogeneidad entre grupos atendidos.</w:t>
      </w:r>
    </w:p>
    <w:p>
      <w:pPr>
        <w:pStyle w:val="BodyText"/>
      </w:pPr>
      <w:r>
        <w:t xml:space="preserve">En contextos de movilidad humana, el origen materno puede resumir diferencias</w:t>
      </w:r>
      <w:r>
        <w:t xml:space="preserve"> </w:t>
      </w:r>
      <w:r>
        <w:t xml:space="preserve">sociales, administrativas y asistenciales, pero no constituye por sí mismo un</w:t>
      </w:r>
      <w:r>
        <w:t xml:space="preserve"> </w:t>
      </w:r>
      <w:r>
        <w:t xml:space="preserve">mecanismo causal. Además, las covariables individuales disponibles solo entre</w:t>
      </w:r>
      <w:r>
        <w:t xml:space="preserve"> </w:t>
      </w:r>
      <w:r>
        <w:t xml:space="preserve">casos no permiten explicar diferencias de incidencia en la población fuente.</w:t>
      </w:r>
      <w:r>
        <w:t xml:space="preserve"> </w:t>
      </w:r>
      <w:r>
        <w:t xml:space="preserve">Este estudio describió la incidencia hospitalaria registrada entre 2009 y 2024,</w:t>
      </w:r>
      <w:r>
        <w:t xml:space="preserve"> </w:t>
      </w:r>
      <w:r>
        <w:t xml:space="preserve">estimó su asociación con el origen materno y describió secundariamente el control</w:t>
      </w:r>
      <w:r>
        <w:t xml:space="preserve"> </w:t>
      </w:r>
      <w:r>
        <w:t xml:space="preserve">prenatal entre los casos.</w:t>
      </w:r>
    </w:p>
    <w:bookmarkEnd w:id="21"/>
    <w:bookmarkStart w:id="26" w:name="métod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Métodos</w:t>
      </w:r>
    </w:p>
    <w:bookmarkStart w:id="22" w:name="diseño-datos-y-variabl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Diseño, datos y variables</w:t>
      </w:r>
    </w:p>
    <w:p>
      <w:pPr>
        <w:pStyle w:val="FirstParagraph"/>
      </w:pPr>
      <w:r>
        <w:t xml:space="preserve">Se realizaron dos análisis con unidades distintas. El análisis principal utilizó</w:t>
      </w:r>
      <w:r>
        <w:t xml:space="preserve"> </w:t>
      </w:r>
      <w:r>
        <w:t xml:space="preserve">datos agregados en 32 estratos (16 años × dos categorías de origen materno); el</w:t>
      </w:r>
      <w:r>
        <w:t xml:space="preserve"> </w:t>
      </w:r>
      <w:r>
        <w:t xml:space="preserve">desenlace fue el número de casos de sífilis congénita y el denominador fueron los</w:t>
      </w:r>
      <w:r>
        <w:t xml:space="preserve"> </w:t>
      </w:r>
      <w:r>
        <w:t xml:space="preserve">nacidos vivos institucionales, incorporados como offset logarítmico. El análisis</w:t>
      </w:r>
      <w:r>
        <w:t xml:space="preserve"> </w:t>
      </w:r>
      <w:r>
        <w:t xml:space="preserve">secundario utilizó datos individuales y se restringió a los casos de sífilis</w:t>
      </w:r>
      <w:r>
        <w:t xml:space="preserve"> </w:t>
      </w:r>
      <w:r>
        <w:t xml:space="preserve">congénita con el único fin de evaluar la asociación entre origen materno y</w:t>
      </w:r>
      <w:r>
        <w:t xml:space="preserve"> </w:t>
      </w:r>
      <w:r>
        <w:t xml:space="preserve">densidad de control prenatal; no permite evaluar mediación poblacional.</w:t>
      </w:r>
    </w:p>
    <w:p>
      <w:pPr>
        <w:pStyle w:val="BodyText"/>
      </w:pPr>
      <w:r>
        <w:t xml:space="preserve">El estudio retrospectivo incluyó 255 casos registrados en el HGOIA entre 2009 y 2024.</w:t>
      </w:r>
      <w:r>
        <w:t xml:space="preserve"> </w:t>
      </w:r>
      <w:r>
        <w:t xml:space="preserve">Los denominadores institucionales fueron 111.742</w:t>
      </w:r>
      <w:r>
        <w:t xml:space="preserve"> </w:t>
      </w:r>
      <w:r>
        <w:t xml:space="preserve">nacidos vivos. La fuente los clasifica según país de origen materno: los</w:t>
      </w:r>
      <w:r>
        <w:t xml:space="preserve"> </w:t>
      </w:r>
      <w:r>
        <w:t xml:space="preserve">nacimientos extranjeros procedieron de la fila institucional</w:t>
      </w:r>
      <w:r>
        <w:t xml:space="preserve"> </w:t>
      </w:r>
      <w:r>
        <w:t xml:space="preserve">“</w:t>
      </w:r>
      <w:r>
        <w:t xml:space="preserve">Total extrangeras</w:t>
      </w:r>
      <w:r>
        <w:t xml:space="preserve">”</w:t>
      </w:r>
      <w:r>
        <w:t xml:space="preserve"> </w:t>
      </w:r>
      <w:r>
        <w:t xml:space="preserve">y los nacionales se definieron como el total institucional menos los extranjeros;</w:t>
      </w:r>
      <w:r>
        <w:t xml:space="preserve"> </w:t>
      </w:r>
      <w:r>
        <w:t xml:space="preserve">la suma fue exacta en los 16 años. Se construyeron 32 estratos año × origen, con</w:t>
      </w:r>
      <w:r>
        <w:t xml:space="preserve"> </w:t>
      </w:r>
      <w:r>
        <w:t xml:space="preserve">219 casos nacionales y 36 extranjeros. El origen materno estuvo registrado en</w:t>
      </w:r>
      <w:r>
        <w:t xml:space="preserve"> </w:t>
      </w:r>
      <w:r>
        <w:t xml:space="preserve">255/255 casos (100%); la completitud fue 100% en cada año calendario, sin</w:t>
      </w:r>
      <w:r>
        <w:t xml:space="preserve"> </w:t>
      </w:r>
      <w:r>
        <w:t xml:space="preserve">variación anual ni años por debajo de 90%.</w:t>
      </w:r>
    </w:p>
    <w:p>
      <w:pPr>
        <w:pStyle w:val="BodyText"/>
      </w:pPr>
      <w:r>
        <w:t xml:space="preserve">Se calcularon tasas como casos/nacidos vivos × 1.000. La densidad de control</w:t>
      </w:r>
      <w:r>
        <w:t xml:space="preserve"> </w:t>
      </w:r>
      <w:r>
        <w:t xml:space="preserve">prenatal se definió como el número de consultas prenatales dividido por las</w:t>
      </w:r>
      <w:r>
        <w:t xml:space="preserve"> </w:t>
      </w:r>
      <w:r>
        <w:t xml:space="preserve">semanas de gestación. Se clasificó operacionalmente como densa cuando fue ≥0,20</w:t>
      </w:r>
      <w:r>
        <w:t xml:space="preserve"> </w:t>
      </w:r>
      <w:r>
        <w:t xml:space="preserve">consultas/semana y como no densa cuando fue &lt;0,20; este punto de corte es una</w:t>
      </w:r>
      <w:r>
        <w:t xml:space="preserve"> </w:t>
      </w:r>
      <w:r>
        <w:t xml:space="preserve">clasificación operacional del presente análisis, no una medida universalmente</w:t>
      </w:r>
      <w:r>
        <w:t xml:space="preserve"> </w:t>
      </w:r>
      <w:r>
        <w:t xml:space="preserve">validada de adecuación prenatal. El análisis se restringió a casos con ambas</w:t>
      </w:r>
      <w:r>
        <w:t xml:space="preserve"> </w:t>
      </w:r>
      <w:r>
        <w:t xml:space="preserve">variables disponibles.</w:t>
      </w:r>
    </w:p>
    <w:bookmarkEnd w:id="22"/>
    <w:bookmarkStart w:id="23" w:name="diagnóstico-exploratorio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Diagnóstico exploratorio</w:t>
      </w:r>
    </w:p>
    <w:p>
      <w:pPr>
        <w:pStyle w:val="FirstParagraph"/>
      </w:pPr>
      <w:r>
        <w:t xml:space="preserve">Se compararon modelos Poisson con origen, año lineal, interacción origen × año y</w:t>
      </w:r>
      <w:r>
        <w:t xml:space="preserve"> </w:t>
      </w:r>
      <w:r>
        <w:t xml:space="preserve">spline natural de tres grados de libertad, además de una binomial negativa</w:t>
      </w:r>
      <w:r>
        <w:t xml:space="preserve"> </w:t>
      </w:r>
      <w:r>
        <w:t xml:space="preserve">exploratoria. Se obtuvieron log-verosimilitud, AIC y BIC, y los modelos Poisson</w:t>
      </w:r>
      <w:r>
        <w:t xml:space="preserve"> </w:t>
      </w:r>
      <w:r>
        <w:t xml:space="preserve">anidados se compararon mediante LRT. La dispersión de Pearson se calculó como la</w:t>
      </w:r>
      <w:r>
        <w:t xml:space="preserve"> </w:t>
      </w:r>
      <w:r>
        <w:t xml:space="preserve">suma de residuos de Pearson al cuadrado dividida por los grados de libertad</w:t>
      </w:r>
      <w:r>
        <w:t xml:space="preserve"> </w:t>
      </w:r>
      <w:r>
        <w:t xml:space="preserve">residuales. La influencia se evaluó mediante distancia de Cook, con umbral 4/32</w:t>
      </w:r>
      <w:r>
        <w:t xml:space="preserve"> </w:t>
      </w:r>
      <w:r>
        <w:t xml:space="preserve">=0,125.</w:t>
      </w:r>
    </w:p>
    <w:bookmarkEnd w:id="23"/>
    <w:bookmarkStart w:id="24" w:name="modelo-bayesiano-principal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Modelo bayesiano principal</w:t>
      </w:r>
    </w:p>
    <w:p>
      <w:pPr>
        <w:pStyle w:val="FirstParagraph"/>
      </w:pPr>
      <w:r>
        <w:t xml:space="preserve">Se ajustó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NB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ϕ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fue un spline de placa delgada (</w:t>
      </w:r>
      <w:r>
        <w:rPr>
          <w:rStyle w:val="VerbatimChar"/>
        </w:rPr>
        <w:t xml:space="preserve">bs="tp"</w:t>
      </w:r>
      <w:r>
        <w:t xml:space="preserve">, dimensión de base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los nacimientos y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el origen extranjero. Los priors fueron</w:t>
      </w:r>
      <w:r>
        <w:t xml:space="preserve"> </w:t>
      </w:r>
      <w:r>
        <w:t xml:space="preserve">Normal(−6;1,5) para el intercepto, Normal(0;1) para origen, Gamma(2;2) para la</w:t>
      </w:r>
      <w:r>
        <w:t xml:space="preserve"> </w:t>
      </w:r>
      <w:r>
        <w:t xml:space="preserve">desviación estándar del spline y Exponencial(1) para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.</w:t>
      </w:r>
    </w:p>
    <w:p>
      <w:pPr>
        <w:pStyle w:val="BodyText"/>
      </w:pPr>
      <w:r>
        <w:t xml:space="preserve">El modelo no incluyó un indicador</w:t>
      </w:r>
      <w:r>
        <w:t xml:space="preserve"> </w:t>
      </w:r>
      <w:r>
        <w:rPr>
          <w:rStyle w:val="VerbatimChar"/>
        </w:rPr>
        <w:t xml:space="preserve">post_2020</w:t>
      </w:r>
      <w:r>
        <w:t xml:space="preserve">, changepoint ni interacción</w:t>
      </w:r>
      <w:r>
        <w:t xml:space="preserve"> </w:t>
      </w:r>
      <w:r>
        <w:t xml:space="preserve">origen × tiempo; la especificación final empleó únicamente una función temporal</w:t>
      </w:r>
      <w:r>
        <w:t xml:space="preserve"> </w:t>
      </w:r>
      <w:r>
        <w:t xml:space="preserve">suave común y un contraste constante de origen.</w:t>
      </w:r>
    </w:p>
    <w:p>
      <w:pPr>
        <w:pStyle w:val="BodyText"/>
      </w:pPr>
      <w:r>
        <w:t xml:space="preserve">Se usaron cuatro cadenas, 4.000 iteraciones por cadena, 2.000 de calentamiento,</w:t>
      </w:r>
      <w:r>
        <w:t xml:space="preserve"> </w:t>
      </w:r>
      <w:r>
        <w:t xml:space="preserve">semilla 20260810,</w:t>
      </w:r>
      <w:r>
        <w:t xml:space="preserve"> </w:t>
      </w:r>
      <w:r>
        <w:rPr>
          <w:rStyle w:val="VerbatimChar"/>
        </w:rPr>
        <w:t xml:space="preserve">adapt_delta=0,999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max_treedepth=15</w:t>
      </w:r>
      <w:r>
        <w:t xml:space="preserve">. Se evaluaron Rhat,</w:t>
      </w:r>
      <w:r>
        <w:t xml:space="preserve"> </w:t>
      </w:r>
      <w:r>
        <w:t xml:space="preserve">ESS, divergencias, treedepth y E-BFMI por cadena. La bondad de ajuste se evaluó</w:t>
      </w:r>
      <w:r>
        <w:t xml:space="preserve"> </w:t>
      </w:r>
      <w:r>
        <w:t xml:space="preserve">mediante comprobaciones predictivas posteriores generadas con</w:t>
      </w:r>
      <w:r>
        <w:t xml:space="preserve"> </w:t>
      </w:r>
      <w:r>
        <w:rPr>
          <w:rStyle w:val="VerbatimChar"/>
        </w:rPr>
        <w:t xml:space="preserve">posterior_predict()</w:t>
      </w:r>
      <w:r>
        <w:t xml:space="preserve">, contrastando la varianza global y el conteo del estrato</w:t>
      </w:r>
      <w:r>
        <w:t xml:space="preserve"> </w:t>
      </w:r>
      <w:r>
        <w:t xml:space="preserve">influyente 2021-nacional con sus distribuciones predictivas. Se calcularon</w:t>
      </w:r>
      <w:r>
        <w:t xml:space="preserve"> </w:t>
      </w:r>
      <w:r>
        <w:t xml:space="preserve">P[varianza replicada ≥ observada] y P[conteo replicado ≥ observado]. La</w:t>
      </w:r>
      <w:r>
        <w:t xml:space="preserve"> </w:t>
      </w:r>
      <w:r>
        <w:t xml:space="preserve">validación cruzada dejando uno fuera (LOO) evaluó la estabilidad predictiva por</w:t>
      </w:r>
      <w:r>
        <w:t xml:space="preserve"> </w:t>
      </w:r>
      <w:r>
        <w:t xml:space="preserve">estrato; valores de Pareto-k ≥0,7 se consideraron potencialmente problemáticos.</w:t>
      </w:r>
    </w:p>
    <w:bookmarkEnd w:id="24"/>
    <w:bookmarkStart w:id="25" w:name="sensibilidades-y-análisis-secundario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Sensibilidades y análisis secundario</w:t>
      </w:r>
    </w:p>
    <w:p>
      <w:pPr>
        <w:pStyle w:val="FirstParagraph"/>
      </w:pPr>
      <w:r>
        <w:t xml:space="preserve">Se repitió el modelo excluyendo ambos estratos de 2021. La sensibilidad de priors</w:t>
      </w:r>
      <w:r>
        <w:t xml:space="preserve"> </w:t>
      </w:r>
      <w:r>
        <w:t xml:space="preserve">varió separadamente la desviación estándar del prior de origen (0,5 y 1,5) y la</w:t>
      </w:r>
      <w:r>
        <w:t xml:space="preserve"> </w:t>
      </w:r>
      <w:r>
        <w:t xml:space="preserve">tasa del prior exponencial de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(0,5 y 2). El análisis logístico de control</w:t>
      </w:r>
      <w:r>
        <w:t xml:space="preserve"> </w:t>
      </w:r>
      <w:r>
        <w:t xml:space="preserve">prenatal evaluó exclusivamente la asociación entre los casos. Usó familia</w:t>
      </w:r>
      <w:r>
        <w:t xml:space="preserve"> </w:t>
      </w:r>
      <w:r>
        <w:t xml:space="preserve">Bernoulli con enlace logit y priors Normal(0;1,5) para el intercepto y Normal(0;1)</w:t>
      </w:r>
      <w:r>
        <w:t xml:space="preserve"> </w:t>
      </w:r>
      <w:r>
        <w:t xml:space="preserve">para origen. Su denominador fueron los casos con edad gestacional, consultas y</w:t>
      </w:r>
      <w:r>
        <w:t xml:space="preserve"> </w:t>
      </w:r>
      <w:r>
        <w:t xml:space="preserve">origen disponibles; no evaluó mediación poblacional. No se realizó sensibilidad</w:t>
      </w:r>
      <w:r>
        <w:t xml:space="preserve"> </w:t>
      </w:r>
      <w:r>
        <w:t xml:space="preserve">por completitud del origen porque esta fue 100% en todos los años.</w:t>
      </w:r>
    </w:p>
    <w:bookmarkEnd w:id="25"/>
    <w:bookmarkEnd w:id="26"/>
    <w:bookmarkStart w:id="41" w:name="resultado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Resultados</w:t>
      </w:r>
    </w:p>
    <w:bookmarkStart w:id="27" w:name="características-de-los-casos-y-tasa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Características de los casos y tasas</w:t>
      </w:r>
    </w:p>
    <w:p>
      <w:pPr>
        <w:pStyle w:val="FirstParagraph"/>
      </w:pPr>
      <w:r>
        <w:t xml:space="preserve">La edad materna mediana fue 26 años (RIC 21–32); 36/255 casos (14,1%) tuvieron</w:t>
      </w:r>
      <w:r>
        <w:t xml:space="preserve"> </w:t>
      </w:r>
      <w:r>
        <w:t xml:space="preserve">madre extranjera. El origen materno estuvo documentado en 255/255 casos (100%) y</w:t>
      </w:r>
      <w:r>
        <w:t xml:space="preserve"> </w:t>
      </w:r>
      <w:r>
        <w:t xml:space="preserve">en el 100% de los casos de cada año calendario (rango anual 100%–100%); no se</w:t>
      </w:r>
      <w:r>
        <w:t xml:space="preserve"> </w:t>
      </w:r>
      <w:r>
        <w:t xml:space="preserve">identificó documentación diferencial por año. La Tabla 1 presenta variables</w:t>
      </w:r>
      <w:r>
        <w:t xml:space="preserve"> </w:t>
      </w:r>
      <w:r>
        <w:t xml:space="preserve">clínicas seleccionadas con sus denominadores disponibles.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Características de los casos por origen materno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90"/>
        <w:gridCol w:w="3072"/>
        <w:gridCol w:w="3072"/>
        <w:gridCol w:w="3072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Caracteristica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Casos, 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 materna,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 [21.0–32.0]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[21.0–32.0]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 [21.0–30.2]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Consultas prenatales, mediana [RIC] (n=251)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 [4.0–8.0]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 [4.0–8.0]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 [2.0–7.0]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Densidad de controles/semana, mediana [RIC] (n=250)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[0.1–0.2]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[0.1–0.2]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[0.1–0.2]</w:t>
            </w:r>
          </w:p>
        </w:tc>
      </w:tr>
      <w:tr>
        <w:trPr>
          <w:trHeight w:val="63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 prenatal no denso, n/N (%) (clasificación operacional)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179/250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150/214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29/36 (80.6%)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 gestacional, mediana [RIC] (n=254)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 [37.0–39.0]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 [37.0–39.0]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 [37.0–39.0]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Prematuro, n/N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32/254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28/218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4/36 (11.1%)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Peso al nacer (g),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2925.0 [2616.0–3232.5]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2940.0 [2620.0–3280.0]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2905.0 [2554.2–3155.0]</w:t>
            </w:r>
          </w:p>
        </w:tc>
      </w:tr>
      <w:tr>
        <w:trPr>
          <w:trHeight w:val="62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Pequeño para EG,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(19.4%)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Cesárea,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(33.3%)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Trastorno hipertensivo, n/N (%) (N=253)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28/253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26/217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2/36 (5.6%)</w:t>
            </w:r>
          </w:p>
        </w:tc>
      </w:tr>
      <w:tr>
        <w:trPr>
          <w:trHeight w:val="63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Defecto congénito,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(2.8%)</w:t>
            </w:r>
          </w:p>
        </w:tc>
      </w:tr>
      <w:tr>
        <w:trPr>
          <w:trHeight w:val="607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Fallecimiento neonatal, n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RIC: rango intercuartílico; EG: edad gestacional. Los porcentajes excluyen valores faltantes; la densidad ≥0,20 consultas/semana es una clasificación operacional.</w:t>
            </w:r>
          </w:p>
        </w:tc>
      </w:tr>
    </w:tbl>
    <w:p>
      <w:pPr>
        <w:pStyle w:val="BodyText"/>
      </w:pPr>
      <w:r>
        <w:t xml:space="preserve">Las tasas observadas por los 32 estratos se muestran en la Tabla 2.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Casos, nacimientos y tasas por año y origen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0"/>
        <w:gridCol w:w="1549"/>
        <w:gridCol w:w="1030"/>
        <w:gridCol w:w="1753"/>
        <w:gridCol w:w="1551"/>
      </w:tblGrid>
      <w:tr>
        <w:trPr>
          <w:trHeight w:val="62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nacimientos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tasa_1000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</w:t>
            </w:r>
          </w:p>
        </w:tc>
      </w:tr>
      <w:tr>
        <w:trPr>
          <w:trHeight w:val="62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</w:t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7.97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8.09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12.08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7.53</w:t>
            </w:r>
          </w:p>
        </w:tc>
      </w:tr>
      <w:tr>
        <w:trPr>
          <w:trHeight w:val="6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</w:tr>
      <w:tr>
        <w:trPr>
          <w:trHeight w:val="62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</w:t>
            </w:r>
          </w:p>
        </w:tc>
      </w:tr>
      <w:tr>
        <w:trPr>
          <w:trHeight w:val="62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11.01</w:t>
            </w:r>
          </w:p>
        </w:tc>
      </w:tr>
      <w:tr>
        <w:trPr>
          <w:trHeight w:val="6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11.44</w:t>
            </w:r>
          </w:p>
        </w:tc>
      </w:tr>
      <w:tr>
        <w:trPr>
          <w:trHeight w:val="624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Tasa por 1.000 nacidos vivos institucionales.</w:t>
            </w:r>
          </w:p>
        </w:tc>
      </w:tr>
    </w:tbl>
    <w:bookmarkEnd w:id="27"/>
    <w:bookmarkStart w:id="28" w:name="diagnósticos-exploratorio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Diagnósticos exploratorios</w:t>
      </w:r>
    </w:p>
    <w:p>
      <w:pPr>
        <w:pStyle w:val="FirstParagraph"/>
      </w:pPr>
      <w:r>
        <w:t xml:space="preserve">El spline mejoró el ajuste frente al año lineal (LRT χ²=12,998,</w:t>
      </w:r>
      <w:r>
        <w:t xml:space="preserve"> </w:t>
      </w:r>
      <w:r>
        <w:t xml:space="preserve">2 gl; p=0.001505; AIC 157,1</w:t>
      </w:r>
      <w:r>
        <w:t xml:space="preserve"> </w:t>
      </w:r>
      <w:r>
        <w:t xml:space="preserve">frente a 166,1).</w:t>
      </w:r>
      <w:r>
        <w:t xml:space="preserve"> </w:t>
      </w:r>
      <w:r>
        <w:t xml:space="preserve">La dispersión de Pearson del Poisson con interacción fue</w:t>
      </w:r>
      <w:r>
        <w:t xml:space="preserve"> </w:t>
      </w:r>
      <w:r>
        <w:t xml:space="preserve">2,01.</w:t>
      </w:r>
      <w:r>
        <w:t xml:space="preserve"> </w:t>
      </w:r>
      <w:r>
        <w:t xml:space="preserve">Cinco estratos superaron el umbral de Cook: 2021-nacional (0,810),</w:t>
      </w:r>
      <w:r>
        <w:t xml:space="preserve"> </w:t>
      </w:r>
      <w:r>
        <w:t xml:space="preserve">2010-nacional (0,190), 2023-nacional (0,148), 2020-extranjera (0,136) y</w:t>
      </w:r>
      <w:r>
        <w:t xml:space="preserve"> </w:t>
      </w:r>
      <w:r>
        <w:t xml:space="preserve">2013-nacional (0,134).</w:t>
      </w:r>
    </w:p>
    <w:bookmarkEnd w:id="28"/>
    <w:bookmarkStart w:id="29" w:name="Xe5cad61b2c7fc9041b87abd843bf4e7607dd925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Modelo principal y comprobación predictiva</w:t>
      </w:r>
    </w:p>
    <w:p>
      <w:pPr>
        <w:pStyle w:val="FirstParagraph"/>
      </w:pPr>
      <w:r>
        <w:t xml:space="preserve">La IRR extranjera frente a nacional fue 2,37 (ICr95%</w:t>
      </w:r>
      <w:r>
        <w:t xml:space="preserve"> </w:t>
      </w:r>
      <w:r>
        <w:t xml:space="preserve">1,42–3,99), con P(IRR&gt;1)=</w:t>
      </w:r>
      <w:r>
        <w:t xml:space="preserve"> </w:t>
      </w:r>
      <w:r>
        <w:t xml:space="preserve">0,9988. La mediana de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fue</w:t>
      </w:r>
      <w:r>
        <w:t xml:space="preserve"> </w:t>
      </w:r>
      <w:r>
        <w:t xml:space="preserve">4,01 (ICr95% 2,01–7,51).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Modelo bayesiano principal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1"/>
        <w:gridCol w:w="1522"/>
        <w:gridCol w:w="1388"/>
        <w:gridCol w:w="1503"/>
        <w:gridCol w:w="2884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probabilidad_posterior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 origen extranjera vs 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0.9988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 binomial negativa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IRR: razón de tasas; ICr95%: intervalo de credibilidad del 95%.</w:t>
            </w:r>
          </w:p>
        </w:tc>
      </w:tr>
    </w:tbl>
    <w:p>
      <w:pPr>
        <w:pStyle w:val="BodyText"/>
      </w:pPr>
      <w:r>
        <w:t xml:space="preserve">Rhat máximo=1,0013, ESS bulk mínimo=</w:t>
      </w:r>
      <w:r>
        <w:t xml:space="preserve"> </w:t>
      </w:r>
      <w:r>
        <w:t xml:space="preserve">2939, ESS tail mínimo=</w:t>
      </w:r>
      <w:r>
        <w:t xml:space="preserve"> </w:t>
      </w:r>
      <w:r>
        <w:t xml:space="preserve">3020, E-BFMI mínimo=</w:t>
      </w:r>
      <w:r>
        <w:t xml:space="preserve"> </w:t>
      </w:r>
      <w:r>
        <w:t xml:space="preserve">0,942 y cero divergencias. La probabilidad de</w:t>
      </w:r>
      <w:r>
        <w:t xml:space="preserve"> </w:t>
      </w:r>
      <w:r>
        <w:t xml:space="preserve">una varianza replicada al menos tan grande como la observada fue</w:t>
      </w:r>
      <w:r>
        <w:t xml:space="preserve"> </w:t>
      </w:r>
      <w:r>
        <w:t xml:space="preserve">0,709. Para 2021-nacional, el conteo</w:t>
      </w:r>
      <w:r>
        <w:t xml:space="preserve"> </w:t>
      </w:r>
      <w:r>
        <w:t xml:space="preserve">observado fue 24, la mediana predictiva</w:t>
      </w:r>
      <w:r>
        <w:t xml:space="preserve"> </w:t>
      </w:r>
      <w:r>
        <w:t xml:space="preserve">10 (ICr95% 1–</w:t>
      </w:r>
      <w:r>
        <w:t xml:space="preserve"> </w:t>
      </w:r>
      <w:r>
        <w:t xml:space="preserve">29) y P(Yrep≥observado)=</w:t>
      </w:r>
      <w:r>
        <w:t xml:space="preserve"> </w:t>
      </w:r>
      <w:r>
        <w:t xml:space="preserve">0,061. El valor observado se situó en la</w:t>
      </w:r>
      <w:r>
        <w:t xml:space="preserve"> </w:t>
      </w:r>
      <w:r>
        <w:t xml:space="preserve">cola superior de la distribución predictiva (percentil</w:t>
      </w:r>
      <w:r>
        <w:t xml:space="preserve"> </w:t>
      </w:r>
      <w:r>
        <w:t xml:space="preserve">94,8), pero permaneció dentro del</w:t>
      </w:r>
      <w:r>
        <w:t xml:space="preserve"> </w:t>
      </w:r>
      <w:r>
        <w:t xml:space="preserve">intervalo predictivo, compatible con buen ajuste global y un pico temporal poco</w:t>
      </w:r>
      <w:r>
        <w:t xml:space="preserve"> </w:t>
      </w:r>
      <w:r>
        <w:t xml:space="preserve">frecuente bajo una tendencia suave.</w:t>
      </w:r>
    </w:p>
    <w:p>
      <w:pPr>
        <w:pStyle w:val="BodyText"/>
      </w:pPr>
      <w:r>
        <w:t xml:space="preserve">LOO produjo ELPD=-80,24 (SE 5,95) y Pareto-k máximo</w:t>
      </w:r>
      <w:r>
        <w:t xml:space="preserve"> </w:t>
      </w:r>
      <w:r>
        <w:t xml:space="preserve">0,473 en 2009-nacional; ningún estrato alcanzó 0,7.</w:t>
      </w:r>
    </w:p>
    <w:bookmarkEnd w:id="29"/>
    <w:bookmarkStart w:id="30" w:name="X6e5032b00328e32539a2411f3afb6217599dec9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Análisis secundario: densidad de control prenatal entre casos</w:t>
      </w:r>
    </w:p>
    <w:p>
      <w:pPr>
        <w:pStyle w:val="FirstParagraph"/>
      </w:pPr>
      <w:r>
        <w:t xml:space="preserve">Hubo 250 casos evaluables: 214 nacionales y 36 extranjeros. Según la</w:t>
      </w:r>
      <w:r>
        <w:t xml:space="preserve"> </w:t>
      </w:r>
      <w:r>
        <w:t xml:space="preserve">clasificación operacional, el control fue no denso en 150/214 nacionales (70,1%)</w:t>
      </w:r>
      <w:r>
        <w:t xml:space="preserve"> </w:t>
      </w:r>
      <w:r>
        <w:t xml:space="preserve">y 29/36 extranjeros (80,6%). La OR de control denso para origen extranjero fue</w:t>
      </w:r>
      <w:r>
        <w:t xml:space="preserve"> </w:t>
      </w:r>
      <w:r>
        <w:t xml:space="preserve">0,60 (ICr95% 0,25–1,33),</w:t>
      </w:r>
      <w:r>
        <w:t xml:space="preserve"> </w:t>
      </w:r>
      <w:r>
        <w:t xml:space="preserve">P(OR&gt;1)=0,112. La incertidumbre fue compatible con</w:t>
      </w:r>
      <w:r>
        <w:t xml:space="preserve"> </w:t>
      </w:r>
      <w:r>
        <w:t xml:space="preserve">asociaciones en ambas direcciones.</w:t>
      </w:r>
    </w:p>
    <w:p>
      <w:pPr>
        <w:pStyle w:val="BodyText"/>
      </w:pPr>
      <w:r>
        <w:t xml:space="preserve">Este análisis se restringe a los casos y describe una asociación del origen con</w:t>
      </w:r>
      <w:r>
        <w:t xml:space="preserve"> </w:t>
      </w:r>
      <w:r>
        <w:t xml:space="preserve">la densidad de control prenatal dentro de esta población. No permite evaluar si</w:t>
      </w:r>
      <w:r>
        <w:t xml:space="preserve"> </w:t>
      </w:r>
      <w:r>
        <w:t xml:space="preserve">el control prenatal media la disparidad observada en incidencia, dado que solo</w:t>
      </w:r>
      <w:r>
        <w:t xml:space="preserve"> </w:t>
      </w:r>
      <w:r>
        <w:t xml:space="preserve">se dispone de datos prenatales entre casos, sin no-casos con covariables</w:t>
      </w:r>
      <w:r>
        <w:t xml:space="preserve"> </w:t>
      </w:r>
      <w:r>
        <w:t xml:space="preserve">comparables.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Densidad de control prenatal por origen entre los casos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3"/>
        <w:gridCol w:w="3324"/>
        <w:gridCol w:w="831"/>
        <w:gridCol w:w="901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control_prenatal_densidad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</w:t>
            </w:r>
          </w:p>
        </w:tc>
      </w:tr>
      <w:tr>
        <w:trPr>
          <w:trHeight w:val="58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denso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70.1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</w:t>
            </w:r>
          </w:p>
        </w:tc>
      </w:tr>
      <w:tr>
        <w:trPr>
          <w:trHeight w:val="62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denso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80.6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Denso: ≥0,20 consultas por semana según clasificación operacional del análisis.</w:t>
            </w:r>
          </w:p>
        </w:tc>
      </w:tr>
    </w:tbl>
    <w:bookmarkEnd w:id="30"/>
    <w:bookmarkStart w:id="40" w:name="sensibilidade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Sensibilidades</w:t>
      </w:r>
    </w:p>
    <w:p>
      <w:pPr>
        <w:pStyle w:val="FirstParagraph"/>
      </w:pPr>
      <w:r>
        <w:t xml:space="preserve">Al excluir ambos estratos de 2021, la IRR fue 2,67 (ICr95%</w:t>
      </w:r>
      <w:r>
        <w:t xml:space="preserve"> </w:t>
      </w:r>
      <w:r>
        <w:t xml:space="preserve">1,56–4,43). En las sensibilidades de</w:t>
      </w:r>
      <w:r>
        <w:t xml:space="preserve"> </w:t>
      </w:r>
      <w:r>
        <w:t xml:space="preserve">priors, las medianas de IRR variaron entre 2,03 y</w:t>
      </w:r>
      <w:r>
        <w:t xml:space="preserve"> </w:t>
      </w:r>
      <w:r>
        <w:t xml:space="preserve">2,45; los cinco escenarios mantuvieron la dirección, intervalos</w:t>
      </w:r>
      <w:r>
        <w:t xml:space="preserve"> </w:t>
      </w:r>
      <w:r>
        <w:t xml:space="preserve">con límite inferior mayor que 1 y alta probabilidad posterior de IRR&gt;1. No fue</w:t>
      </w:r>
      <w:r>
        <w:t xml:space="preserve"> </w:t>
      </w:r>
      <w:r>
        <w:t xml:space="preserve">necesaria una sensibilidad por completitud del origen materno.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Figura 1. Tasas observadas y predicciones posteriores por origen materno." title="" id="32" name="Picture"/>
            <a:graphic>
              <a:graphicData uri="http://schemas.openxmlformats.org/drawingml/2006/picture">
                <pic:pic>
                  <pic:nvPicPr>
                    <pic:cNvPr descr="articulo_maestro_files/figures/articulo/figura1_tasas_prediccion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Tasas observadas y predicciones posteriores por origen materno.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a 2. Estimaciones bayesianas principales con ICr95%." title="" id="35" name="Picture"/>
            <a:graphic>
              <a:graphicData uri="http://schemas.openxmlformats.org/drawingml/2006/picture">
                <pic:pic>
                  <pic:nvPicPr>
                    <pic:cNvPr descr="articulo_maestro_files/figures/articulo/figura2_estimaciones_principal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Estimaciones bayesianas principales con ICr95%.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a 3. Control prenatal por origen materno entre los casos." title="" id="38" name="Picture"/>
            <a:graphic>
              <a:graphicData uri="http://schemas.openxmlformats.org/drawingml/2006/picture">
                <pic:pic>
                  <pic:nvPicPr>
                    <pic:cNvPr descr="articulo_maestro_files/figures/articulo/figura3_control_prenatal_orige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Control prenatal por origen materno entre los casos.</w:t>
      </w:r>
    </w:p>
    <w:bookmarkEnd w:id="40"/>
    <w:bookmarkEnd w:id="41"/>
    <w:bookmarkStart w:id="42" w:name="discusió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Discusión</w:t>
      </w:r>
    </w:p>
    <w:p>
      <w:pPr>
        <w:pStyle w:val="FirstParagraph"/>
      </w:pPr>
      <w:r>
        <w:t xml:space="preserve">El origen materno extranjero se asoció con una incidencia hospitalaria registrada</w:t>
      </w:r>
      <w:r>
        <w:t xml:space="preserve"> </w:t>
      </w:r>
      <w:r>
        <w:t xml:space="preserve">mayor después de ajustar por una tendencia temporal común flexible. La dirección</w:t>
      </w:r>
      <w:r>
        <w:t xml:space="preserve"> </w:t>
      </w:r>
      <w:r>
        <w:t xml:space="preserve">y la interpretación se conservaron al excluir 2021 y bajo cambios razonables de</w:t>
      </w:r>
      <w:r>
        <w:t xml:space="preserve"> </w:t>
      </w:r>
      <w:r>
        <w:t xml:space="preserve">los priors, mientras que los diagnósticos MCMC y LOO no indicaron dependencia</w:t>
      </w:r>
      <w:r>
        <w:t xml:space="preserve"> </w:t>
      </w:r>
      <w:r>
        <w:t xml:space="preserve">crítica de problemas de muestreo o de un único estrato.</w:t>
      </w:r>
    </w:p>
    <w:p>
      <w:pPr>
        <w:pStyle w:val="BodyText"/>
      </w:pPr>
      <w:r>
        <w:t xml:space="preserve">La trayectoria no fue adecuadamente descrita por un cambio anual lineal. El pico</w:t>
      </w:r>
      <w:r>
        <w:t xml:space="preserve"> </w:t>
      </w:r>
      <w:r>
        <w:t xml:space="preserve">de 2021 fue poco frecuente bajo la distribución predictiva suave, pero permaneció</w:t>
      </w:r>
      <w:r>
        <w:t xml:space="preserve"> </w:t>
      </w:r>
      <w:r>
        <w:t xml:space="preserve">dentro de su ICr95%. Este hallazgo debe interpretarse en el contexto de posibles</w:t>
      </w:r>
      <w:r>
        <w:t xml:space="preserve"> </w:t>
      </w:r>
      <w:r>
        <w:t xml:space="preserve">cambios temporales de vigilancia, cobertura institucional, movilidad y atención,</w:t>
      </w:r>
      <w:r>
        <w:t xml:space="preserve"> </w:t>
      </w:r>
      <w:r>
        <w:t xml:space="preserve">ninguno de los cuales fue medido de forma suficiente para atribuir mecanismos.</w:t>
      </w:r>
    </w:p>
    <w:p>
      <w:pPr>
        <w:pStyle w:val="BodyText"/>
      </w:pPr>
      <w:r>
        <w:t xml:space="preserve">El análisis de control prenatal mostró gran incertidumbre entre los casos. Como</w:t>
      </w:r>
      <w:r>
        <w:t xml:space="preserve"> </w:t>
      </w:r>
      <w:r>
        <w:t xml:space="preserve">las covariables individuales no están disponibles en los no-casos, este análisis</w:t>
      </w:r>
      <w:r>
        <w:t xml:space="preserve"> </w:t>
      </w:r>
      <w:r>
        <w:t xml:space="preserve">no representa a todas las gestantes, no identifica mediación y no permite afirmar</w:t>
      </w:r>
      <w:r>
        <w:t xml:space="preserve"> </w:t>
      </w:r>
      <w:r>
        <w:t xml:space="preserve">que el control prenatal explique o descarte la diferencia de incidencia.</w:t>
      </w:r>
    </w:p>
    <w:p>
      <w:pPr>
        <w:pStyle w:val="BodyText"/>
      </w:pPr>
      <w:r>
        <w:t xml:space="preserve">Entre las fortalezas se encuentran denominadores por año y origen, tratamiento</w:t>
      </w:r>
      <w:r>
        <w:t xml:space="preserve"> </w:t>
      </w:r>
      <w:r>
        <w:t xml:space="preserve">explícito de la sobredispersión y no-linealidad, y evaluación mediante PPC, LOO y</w:t>
      </w:r>
      <w:r>
        <w:t xml:space="preserve"> </w:t>
      </w:r>
      <w:r>
        <w:t xml:space="preserve">sensibilidades. Las limitaciones incluyen solo 36 casos extranjeros, 16 años por</w:t>
      </w:r>
      <w:r>
        <w:t xml:space="preserve"> </w:t>
      </w:r>
      <w:r>
        <w:t xml:space="preserve">grupo, posible dependencia temporal, cambios de cobertura —incluida posible</w:t>
      </w:r>
      <w:r>
        <w:t xml:space="preserve"> </w:t>
      </w:r>
      <w:r>
        <w:t xml:space="preserve">incompletitud de 2024—, covariables individuales solo entre casos y el supuesto</w:t>
      </w:r>
      <w:r>
        <w:t xml:space="preserve"> </w:t>
      </w:r>
      <w:r>
        <w:t xml:space="preserve">de una función temporal común con una IRR de origen constante.</w:t>
      </w:r>
    </w:p>
    <w:bookmarkEnd w:id="42"/>
    <w:bookmarkStart w:id="43" w:name="conclusion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Conclusiones</w:t>
      </w:r>
    </w:p>
    <w:p>
      <w:pPr>
        <w:pStyle w:val="FirstParagraph"/>
      </w:pPr>
      <w:r>
        <w:t xml:space="preserve">Entre 2009 y 2024, el origen materno extranjero se asoció con mayor incidencia</w:t>
      </w:r>
      <w:r>
        <w:t xml:space="preserve"> </w:t>
      </w:r>
      <w:r>
        <w:t xml:space="preserve">hospitalaria registrada de sífilis congénita. La inferencia fue robusta a la</w:t>
      </w:r>
      <w:r>
        <w:t xml:space="preserve"> </w:t>
      </w:r>
      <w:r>
        <w:t xml:space="preserve">exclusión de 2021 y a priors razonables. Los resultados no establecen causalidad</w:t>
      </w:r>
      <w:r>
        <w:t xml:space="preserve"> </w:t>
      </w:r>
      <w:r>
        <w:t xml:space="preserve">ni permiten evaluar si el control prenatal media la asociación observada.</w:t>
      </w:r>
    </w:p>
    <w:bookmarkEnd w:id="43"/>
    <w:bookmarkStart w:id="45" w:name="referencia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Referencias</w:t>
      </w:r>
    </w:p>
    <w:p>
      <w:pPr>
        <w:pStyle w:val="FirstParagraph"/>
      </w:pPr>
      <w:r>
        <w:t xml:space="preserve">Gelman A, Carlin JB, Stern HS, Dunson DB, Vehtari A, Rubin DB.</w:t>
      </w:r>
      <w:r>
        <w:t xml:space="preserve"> </w:t>
      </w:r>
      <w:r>
        <w:rPr>
          <w:i/>
          <w:iCs/>
        </w:rPr>
        <w:t xml:space="preserve">Bayesian Data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  <w:r>
        <w:t xml:space="preserve">. 3rd ed. Chapman and Hall/CRC; 2013.</w:t>
      </w:r>
      <w:r>
        <w:t xml:space="preserve"> </w:t>
      </w:r>
      <w:hyperlink r:id="rId44">
        <w:r>
          <w:rPr>
            <w:rStyle w:val="Hyperlink"/>
          </w:rPr>
          <w:t xml:space="preserve">doi:10.1201/b16018</w:t>
        </w:r>
      </w:hyperlink>
      <w:r>
        <w:t xml:space="preserve">.</w:t>
      </w:r>
    </w:p>
    <w:bookmarkEnd w:id="45"/>
    <w:bookmarkStart w:id="52" w:name="material-suplementario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Material suplementario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S1. Diagnósticos MCMC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90"/>
        <w:gridCol w:w="1216"/>
        <w:gridCol w:w="1670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diagnostico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cadena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59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 máximo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1.0013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ESS bulk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2,939.2691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ESS tail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3,019.8815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 treedepth excedido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E-BFMI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0.9420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E-BFMI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0.9527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E-BFMI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1.0232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E-BFMI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0.9600</w:t>
            </w:r>
          </w:p>
        </w:tc>
      </w:tr>
      <w:tr>
        <w:trPr>
          <w:trHeight w:val="577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E-BFMI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0.9420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ESS: tamaño efectivo de muestra; E-BFMI: Bayesian fraction of missing information.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S2. Diagnósticos frecuentistas exploratorios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1"/>
        <w:gridCol w:w="1400"/>
        <w:gridCol w:w="1460"/>
        <w:gridCol w:w="1460"/>
        <w:gridCol w:w="1506"/>
        <w:gridCol w:w="1148"/>
        <w:gridCol w:w="1261"/>
        <w:gridCol w:w="254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dispersion_pearson</w:t>
            </w:r>
          </w:p>
        </w:tc>
      </w:tr>
      <w:tr>
        <w:trPr>
          <w:trHeight w:val="62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Solo origen vs año lineal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-80.0260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166.0519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170.4491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1.9318</w:t>
            </w:r>
          </w:p>
        </w:tc>
      </w:tr>
      <w:tr>
        <w:trPr>
          <w:trHeight w:val="59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Lineal vs interacción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-79.7165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2.0079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Lineal vs spline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-73.5269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157.0538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1.5425</w:t>
            </w:r>
          </w:p>
        </w:tc>
      </w:tr>
      <w:tr>
        <w:trPr>
          <w:trHeight w:val="59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Poisson interacción vs NB interacción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-75.1718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160.3435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167.6722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1.0309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NA: no aplicable; dispersión de Pearson correspondiente al segundo modelo.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S3. Verificación aritmética de denominadores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0"/>
        <w:gridCol w:w="3039"/>
        <w:gridCol w:w="3115"/>
        <w:gridCol w:w="2366"/>
        <w:gridCol w:w="1506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nacimientos_nacionales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nacimientos_extranjeros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total_nacimientos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diferencia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Nacionales = total institucional − extranjeros; diferencia esperada: cero.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S4. Sensibilidad excluyendo ambos estratos de 2021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09"/>
        <w:gridCol w:w="1557"/>
        <w:gridCol w:w="1180"/>
        <w:gridCol w:w="1388"/>
        <w:gridCol w:w="1503"/>
        <w:gridCol w:w="1610"/>
        <w:gridCol w:w="1180"/>
        <w:gridCol w:w="1463"/>
        <w:gridCol w:w="1578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n_estratos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P_IRR_gt_1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shape_sup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7.5087</w:t>
            </w:r>
          </w:p>
        </w:tc>
      </w:tr>
      <w:tr>
        <w:trPr>
          <w:trHeight w:val="63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 2021 ambos orígenes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8.3956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 modelo principal conserva los 32 estratos.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S5. Sensibilidad de priors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8"/>
        <w:gridCol w:w="1040"/>
        <w:gridCol w:w="1388"/>
        <w:gridCol w:w="1503"/>
        <w:gridCol w:w="1610"/>
        <w:gridCol w:w="1075"/>
        <w:gridCol w:w="1463"/>
        <w:gridCol w:w="1578"/>
        <w:gridCol w:w="1513"/>
        <w:gridCol w:w="1813"/>
        <w:gridCol w:w="1553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ICr95_sup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P_IRR_gt_1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shape_sup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divergencias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ELPD_LOO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-80.241</w:t>
            </w:r>
          </w:p>
        </w:tc>
      </w:tr>
      <w:tr>
        <w:trPr>
          <w:trHeight w:val="63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 Origen más regularizado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-80.448</w:t>
            </w:r>
          </w:p>
        </w:tc>
      </w:tr>
      <w:tr>
        <w:trPr>
          <w:trHeight w:val="62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 Origen menos regularizado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-80.051</w:t>
            </w:r>
          </w:p>
        </w:tc>
      </w:tr>
      <w:tr>
        <w:trPr>
          <w:trHeight w:val="63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 Shape más amplio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-79.346</w:t>
            </w:r>
          </w:p>
        </w:tc>
      </w:tr>
      <w:tr>
        <w:trPr>
          <w:trHeight w:val="632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 Shape más concentrado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-81.484</w:t>
            </w:r>
          </w:p>
        </w:tc>
      </w:tr>
      <w:tr>
        <w:trPr>
          <w:trHeight w:val="360" w:hRule="auto"/>
        </w:trPr>
        footer1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Cada escenario modifica únicamente el prior señalado.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S6. Resumen de comprobaciones predictivas posteriores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1"/>
        <w:gridCol w:w="1320"/>
      </w:tblGrid>
      <w:tr>
        <w:trPr>
          <w:trHeight w:val="58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Varianza observada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59.3216</w:t>
            </w:r>
          </w:p>
        </w:tc>
      </w:tr>
      <w:tr>
        <w:trPr>
          <w:trHeight w:val="62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P(var yrep &gt;= var yobs)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0.7092</w:t>
            </w:r>
          </w:p>
        </w:tc>
      </w:tr>
      <w:tr>
        <w:trPr>
          <w:trHeight w:val="58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 nacional observado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24.0000</w:t>
            </w:r>
          </w:p>
        </w:tc>
      </w:tr>
      <w:tr>
        <w:trPr>
          <w:trHeight w:val="62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 mediana predictiva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10.0000</w:t>
            </w:r>
          </w:p>
        </w:tc>
      </w:tr>
      <w:tr>
        <w:trPr>
          <w:trHeight w:val="58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 ICr95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2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 ICr95 sup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29.0000</w:t>
            </w:r>
          </w:p>
        </w:tc>
      </w:tr>
      <w:tr>
        <w:trPr>
          <w:trHeight w:val="62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P(yrep &gt;= observado)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0.0612</w:t>
            </w:r>
          </w:p>
        </w:tc>
      </w:tr>
      <w:tr>
        <w:trPr>
          <w:trHeight w:val="58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Percentil observado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0.9485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Yrep: conteos generados con posterior_predict().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S7. Diez estratos con mayor Pareto-k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0"/>
        <w:gridCol w:w="1549"/>
        <w:gridCol w:w="1030"/>
        <w:gridCol w:w="1753"/>
        <w:gridCol w:w="1369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nacimientos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pareto_k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</w:tr>
      <w:tr>
        <w:trPr>
          <w:trHeight w:val="6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</w:tr>
      <w:tr>
        <w:trPr>
          <w:trHeight w:val="62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extranjera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nacional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CSV completo disponible en output/articulo/tabla_loo_diagnosticos.csv.</w:t>
            </w:r>
          </w:p>
        </w:tc>
      </w:tr>
    </w:tbl>
    <w:p>
      <w:pPr>
        <w:pStyle w:val="CaptionedFigure"/>
      </w:pPr>
      <w:r>
        <w:drawing>
          <wp:inline>
            <wp:extent cx="5334000" cy="4667250"/>
            <wp:effectExtent b="0" l="0" r="0" t="0"/>
            <wp:docPr descr="Figura S1. Comprobaciones predictivas posteriores; línea naranja: valor observado." title="" id="47" name="Picture"/>
            <a:graphic>
              <a:graphicData uri="http://schemas.openxmlformats.org/drawingml/2006/picture">
                <pic:pic>
                  <pic:nvPicPr>
                    <pic:cNvPr descr="articulo_maestro_files/figures/articulo/figura_s1_ppc_modelo_fina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S1. Comprobaciones predictivas posteriores; línea naranja: valor observado.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Figura S2. DAG conceptual. El control prenatal individual está disponible únicamente entre casos y no identifica mediación poblacional." title="" id="50" name="Picture"/>
            <a:graphic>
              <a:graphicData uri="http://schemas.openxmlformats.org/drawingml/2006/picture">
                <pic:pic>
                  <pic:nvPicPr>
                    <pic:cNvPr descr="articulo_maestro_files/figures/articulo/figura_dag_conceptu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S2. DAG conceptual. El control prenatal individual está disponible únicamente entre casos y no identifica mediación poblacional.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hyperlink" Id="rId44" Target="doi:10.1201/b160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oi:10.1201/b160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 temporal y asociación con el origen materno en la sífilis congénita: análisis bayesiano en un hospital de referencia ecuatoriano (2009–2024)</dc:title>
  <dc:creator>Santiago [et al.]</dc:creator>
  <cp:keywords/>
  <dcterms:created xsi:type="dcterms:W3CDTF">2026-08-12T18:15:45Z</dcterms:created>
  <dcterms:modified xsi:type="dcterms:W3CDTF">2026-08-12T18:15:45Z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12-08-2026</vt:lpwstr>
  </property>
  <property fmtid="{D5CDD505-2E9C-101B-9397-08002B2CF9AE}" pid="3" name="output">
    <vt:lpwstr/>
  </property>
</Properties>
</file>