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Tabla 1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1. Características de los casos por origen materno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676"/>
        <w:gridCol w:w="3072"/>
        <w:gridCol w:w="3072"/>
        <w:gridCol w:w="3072"/>
      </w:tblGrid>
      <w:tr>
        <w:trPr>
          <w:trHeight w:val="62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Caracteristica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Nacional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Extranjera</w:t>
            </w:r>
          </w:p>
        </w:tc>
      </w:tr>
      <w:tr>
        <w:trPr>
          <w:trHeight w:val="60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Casos, 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</w:tr>
      <w:tr>
        <w:trPr>
          <w:trHeight w:val="60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Edad materna, mediana [RIC]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26.0 [21.0–32.0]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25.0 [21.0–32.0]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26.5 [21.0–30.2]</w:t>
            </w:r>
          </w:p>
        </w:tc>
      </w:tr>
      <w:tr>
        <w:trPr>
          <w:trHeight w:val="62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Consultas prenatales, mediana [RIC]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 [4.0–8.0]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 [4.0–8.0]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 [2.0–7.0]</w:t>
            </w:r>
          </w:p>
        </w:tc>
      </w:tr>
      <w:tr>
        <w:trPr>
          <w:trHeight w:val="60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Densidad de controles/semana, mediana [RIC]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 [0.1–0.2]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 [0.1–0.2]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 [0.1–0.2]</w:t>
            </w:r>
          </w:p>
        </w:tc>
      </w:tr>
      <w:tr>
        <w:trPr>
          <w:trHeight w:val="632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Control prenatal subóptimo por densidad,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179 (71.6%)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 (70.1%)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 (80.6%)</w:t>
            </w:r>
          </w:p>
        </w:tc>
      </w:tr>
      <w:tr>
        <w:trPr>
          <w:trHeight w:val="62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Edad gestacional, mediana [RIC]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39.0 [37.0–39.0]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39.0 [37.0–39.0]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38.0 [37.0–39.0]</w:t>
            </w:r>
          </w:p>
        </w:tc>
      </w:tr>
      <w:tr>
        <w:trPr>
          <w:trHeight w:val="60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Prematuro,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 (12.6%)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 (12.8%)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 (11.1%)</w:t>
            </w:r>
          </w:p>
        </w:tc>
      </w:tr>
      <w:tr>
        <w:trPr>
          <w:trHeight w:val="62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Peso al nacer (g), mediana [RIC]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2925.0 [2616.0–3232.5]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2940.0 [2620.0–3280.0]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2905.0 [2554.2–3155.0]</w:t>
            </w:r>
          </w:p>
        </w:tc>
      </w:tr>
      <w:tr>
        <w:trPr>
          <w:trHeight w:val="62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Pequeño para EG,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 (21.2%)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 (21.5%)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 (19.4%)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Cesárea,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105 (41.2%)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 (42.5%)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(33.3%)</w:t>
            </w:r>
          </w:p>
        </w:tc>
      </w:tr>
      <w:tr>
        <w:trPr>
          <w:trHeight w:val="62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Trastorno hipertensivo,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 (12.0%)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(5.6%)</w:t>
            </w:r>
          </w:p>
        </w:tc>
      </w:tr>
      <w:tr>
        <w:trPr>
          <w:trHeight w:val="632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Defecto congénito,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(2.8%)</w:t>
            </w:r>
          </w:p>
        </w:tc>
      </w:tr>
      <w:tr>
        <w:trPr>
          <w:trHeight w:val="607" w:hRule="auto"/>
        </w:trPr>
        body13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Fallecimiento neonatal, n (%)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(0.8%)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(0.9%)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</w:tr>
    </w:tbl>
    <w:p>
      <w:pPr>
        <w:pStyle w:val="Titre2"/>
      </w:pPr>
      <w:r>
        <w:t xml:space="preserve">Tabla 2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2. Casos, nacimientos y tasas por año y origen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40"/>
        <w:gridCol w:w="1549"/>
        <w:gridCol w:w="1030"/>
        <w:gridCol w:w="1753"/>
        <w:gridCol w:w="1600"/>
        <w:gridCol w:w="1740"/>
        <w:gridCol w:w="1600"/>
      </w:tblGrid>
      <w:tr>
        <w:trPr>
          <w:trHeight w:val="63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origen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casos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nacimientos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tasa_1000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IC95_inf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IC95_sup</w:t>
            </w:r>
          </w:p>
        </w:tc>
      </w:tr>
      <w:tr>
        <w:trPr>
          <w:trHeight w:val="60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2,009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nacional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11,265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1.952952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1.22390438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2.956792</w:t>
            </w:r>
          </w:p>
        </w:tc>
      </w:tr>
      <w:tr>
        <w:trPr>
          <w:trHeight w:val="60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nacional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11,392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2.282303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1.49087634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3.344103</w:t>
            </w:r>
          </w:p>
        </w:tc>
      </w:tr>
      <w:tr>
        <w:trPr>
          <w:trHeight w:val="60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nacional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10,804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1.203258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0.64068424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2.057608</w:t>
            </w:r>
          </w:p>
        </w:tc>
      </w:tr>
      <w:tr>
        <w:trPr>
          <w:trHeight w:val="60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nacional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9,507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2.524456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1.61746638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3.756190</w:t>
            </w:r>
          </w:p>
        </w:tc>
      </w:tr>
      <w:tr>
        <w:trPr>
          <w:trHeight w:val="60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nacional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9,731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1.027644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0.49279506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1.889873</w:t>
            </w:r>
          </w:p>
        </w:tc>
      </w:tr>
      <w:tr>
        <w:trPr>
          <w:trHeight w:val="60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nacional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1.836969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1.04998650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2.983123</w:t>
            </w:r>
          </w:p>
        </w:tc>
      </w:tr>
      <w:tr>
        <w:trPr>
          <w:trHeight w:val="60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nacional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7,378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1.355381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0.64995781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2.492594</w:t>
            </w:r>
          </w:p>
        </w:tc>
      </w:tr>
      <w:tr>
        <w:trPr>
          <w:trHeight w:val="60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nacional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5,757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1.563314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0.71484681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2.967657</w:t>
            </w:r>
          </w:p>
        </w:tc>
      </w:tr>
      <w:tr>
        <w:trPr>
          <w:trHeight w:val="60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nacional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5,312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1.506024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0.65019431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2.967468</w:t>
            </w:r>
          </w:p>
        </w:tc>
      </w:tr>
      <w:tr>
        <w:trPr>
          <w:trHeight w:val="60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nacional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4,717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1.907992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0.87245561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3.621964</w:t>
            </w:r>
          </w:p>
        </w:tc>
      </w:tr>
      <w:tr>
        <w:trPr>
          <w:trHeight w:val="60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nacional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3,681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4.346645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2.48448314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7.058679</w:t>
            </w:r>
          </w:p>
        </w:tc>
      </w:tr>
      <w:tr>
        <w:trPr>
          <w:trHeight w:val="60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nacional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3.136903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1.71497429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5.263191</w:t>
            </w:r>
          </w:p>
        </w:tc>
      </w:tr>
      <w:tr>
        <w:trPr>
          <w:trHeight w:val="60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nacional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3,657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6.562756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4.20488183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9.764861</w:t>
            </w:r>
          </w:p>
        </w:tc>
      </w:tr>
      <w:tr>
        <w:trPr>
          <w:trHeight w:val="60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nacional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3,851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2.337055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1.06865051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4.436459</w:t>
            </w:r>
          </w:p>
        </w:tc>
      </w:tr>
      <w:tr>
        <w:trPr>
          <w:trHeight w:val="60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nacional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3,671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1.634432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0.59980775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3.557470</w:t>
            </w:r>
          </w:p>
        </w:tc>
      </w:tr>
      <w:tr>
        <w:trPr>
          <w:trHeight w:val="60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nacional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1.397950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0.28829083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4.085402</w:t>
            </w:r>
          </w:p>
        </w:tc>
      </w:tr>
      <w:tr>
        <w:trPr>
          <w:trHeight w:val="62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extranjera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4.830918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0.12230825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26.916152</w:t>
            </w:r>
          </w:p>
        </w:tc>
      </w:tr>
      <w:tr>
        <w:trPr>
          <w:trHeight w:val="62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extranjera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4.424779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0.11202570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24.653289</w:t>
            </w:r>
          </w:p>
        </w:tc>
      </w:tr>
      <w:tr>
        <w:trPr>
          <w:trHeight w:val="6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extranjera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15.056651</w:t>
            </w:r>
          </w:p>
        </w:tc>
      </w:tr>
      <w:tr>
        <w:trPr>
          <w:trHeight w:val="62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extranjera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4.255319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0.10773535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23.709121</w:t>
            </w:r>
          </w:p>
        </w:tc>
      </w:tr>
      <w:tr>
        <w:trPr>
          <w:trHeight w:val="624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extranjera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4.016064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0.10167794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22.376078</w:t>
            </w:r>
          </w:p>
        </w:tc>
      </w:tr>
      <w:tr>
        <w:trPr>
          <w:trHeight w:val="6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extranjera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17.318683</w:t>
            </w:r>
          </w:p>
        </w:tc>
      </w:tr>
      <w:tr>
        <w:trPr>
          <w:trHeight w:val="624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extranjera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3.115265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0.07887168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17.357145</w:t>
            </w:r>
          </w:p>
        </w:tc>
      </w:tr>
      <w:tr>
        <w:trPr>
          <w:trHeight w:val="624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extranjera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7.968127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0.96497721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28.783616</w:t>
            </w:r>
          </w:p>
        </w:tc>
      </w:tr>
      <w:tr>
        <w:trPr>
          <w:trHeight w:val="6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extranjera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8.086253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1.66757985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23.631464</w:t>
            </w:r>
          </w:p>
        </w:tc>
      </w:tr>
      <w:tr>
        <w:trPr>
          <w:trHeight w:val="624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extranjera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12.077295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3.92146471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28.184377</w:t>
            </w:r>
          </w:p>
        </w:tc>
      </w:tr>
      <w:tr>
        <w:trPr>
          <w:trHeight w:val="624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extranjera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7.532957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2.05247716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19.287361</w:t>
            </w:r>
          </w:p>
        </w:tc>
      </w:tr>
      <w:tr>
        <w:trPr>
          <w:trHeight w:val="6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extranjera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2.587322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0.31333671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9.346297</w:t>
            </w:r>
          </w:p>
        </w:tc>
      </w:tr>
      <w:tr>
        <w:trPr>
          <w:trHeight w:val="624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extranjera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7.130125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1.94271903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18.255951</w:t>
            </w:r>
          </w:p>
        </w:tc>
      </w:tr>
      <w:tr>
        <w:trPr>
          <w:trHeight w:val="624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extranjera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11.013216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3.57596121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25.701172</w:t>
            </w:r>
          </w:p>
        </w:tc>
      </w:tr>
      <w:tr>
        <w:trPr>
          <w:trHeight w:val="6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extranjera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11.441648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3.71507183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26.700989</w:t>
            </w:r>
          </w:p>
        </w:tc>
      </w:tr>
      <w:tr>
        <w:trPr>
          <w:trHeight w:val="624" w:hRule="auto"/>
        </w:trPr>
        body32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extranjera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4.716981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0.11942362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26.281337</w:t>
            </w:r>
          </w:p>
        </w:tc>
      </w:tr>
    </w:tbl>
    <w:p>
      <w:pPr>
        <w:pStyle w:val="Titre2"/>
      </w:pPr>
      <w:r>
        <w:t xml:space="preserve">Tabla 3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3. Modelo binomial negativo con spline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75"/>
        <w:gridCol w:w="1460"/>
        <w:gridCol w:w="1460"/>
        <w:gridCol w:w="1503"/>
        <w:gridCol w:w="1550"/>
      </w:tblGrid>
      <w:tr>
        <w:trPr>
          <w:trHeight w:val="63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Parametro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ICr95_inf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ICr95_sup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P(IRR &gt; 1)</w:t>
            </w:r>
          </w:p>
        </w:tc>
      </w:tr>
      <w:tr>
        <w:trPr>
          <w:trHeight w:val="624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IRR: extranjera vs nacional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2.371757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1.418365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3.989573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0.99875</w:t>
            </w:r>
          </w:p>
        </w:tc>
      </w:tr>
      <w:tr>
        <w:trPr>
          <w:trHeight w:val="624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Shape binomial negativa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4.007212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2.007870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7.508745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</w:tbl>
    <w:p>
      <w:pPr>
        <w:pStyle w:val="Titre2"/>
      </w:pPr>
      <w:r>
        <w:t xml:space="preserve">Tabla 4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4. Control prenatal por origen materno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53"/>
        <w:gridCol w:w="3324"/>
        <w:gridCol w:w="831"/>
        <w:gridCol w:w="1460"/>
      </w:tblGrid>
      <w:tr>
        <w:trPr>
          <w:trHeight w:val="63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origen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control_prenatal_densidad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pct</w:t>
            </w:r>
          </w:p>
        </w:tc>
      </w:tr>
      <w:tr>
        <w:trPr>
          <w:trHeight w:val="581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Nacional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adecuado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29.90654</w:t>
            </w:r>
          </w:p>
        </w:tc>
      </w:tr>
      <w:tr>
        <w:trPr>
          <w:trHeight w:val="632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Nacional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subóptimo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70.09346</w:t>
            </w:r>
          </w:p>
        </w:tc>
      </w:tr>
      <w:tr>
        <w:trPr>
          <w:trHeight w:val="624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Extranjera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adecuado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19.44444</w:t>
            </w:r>
          </w:p>
        </w:tc>
      </w:tr>
      <w:tr>
        <w:trPr>
          <w:trHeight w:val="632" w:hRule="auto"/>
        </w:trPr>
        body4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Extranjera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subóptimo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80.55556</w:t>
            </w:r>
          </w:p>
        </w:tc>
      </w:tr>
    </w:tbl>
    <w:p>
      <w:pPr>
        <w:pStyle w:val="Titre2"/>
      </w:pPr>
      <w:r>
        <w:t xml:space="preserve">Tabla S1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S1. Diagnósticos del modelo final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291"/>
        <w:gridCol w:w="2090"/>
      </w:tblGrid>
      <w:tr>
        <w:trPr>
          <w:trHeight w:val="581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Metrica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Valor</w:t>
            </w:r>
          </w:p>
        </w:tc>
      </w:tr>
      <w:tr>
        <w:trPr>
          <w:trHeight w:val="59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Rhat máximo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1.0013133</w:t>
            </w:r>
          </w:p>
        </w:tc>
      </w:tr>
      <w:tr>
        <w:trPr>
          <w:trHeight w:val="60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ESS bulk mínimo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2,939.2691438</w:t>
            </w:r>
          </w:p>
        </w:tc>
      </w:tr>
      <w:tr>
        <w:trPr>
          <w:trHeight w:val="60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ESS tail mínimo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3,019.8815008</w:t>
            </w:r>
          </w:p>
        </w:tc>
      </w:tr>
      <w:tr>
        <w:trPr>
          <w:trHeight w:val="624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Divergencias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0.0000000</w:t>
            </w:r>
          </w:p>
        </w:tc>
      </w:tr>
      <w:tr>
        <w:trPr>
          <w:trHeight w:val="577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ELPD-LOO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-80.2409117</w:t>
            </w:r>
          </w:p>
        </w:tc>
      </w:tr>
      <w:tr>
        <w:trPr>
          <w:trHeight w:val="577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 ELPD-LOO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5.9467955</w:t>
            </w:r>
          </w:p>
        </w:tc>
      </w:tr>
      <w:tr>
        <w:trPr>
          <w:trHeight w:val="590" w:hRule="auto"/>
        </w:trPr>
        body7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Pareto-k máximo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0.4725261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debian</cp:lastModifiedBy>
  <cp:revision>9</cp:revision>
  <dcterms:created xsi:type="dcterms:W3CDTF">2017-02-28T11:18:00Z</dcterms:created>
  <dcterms:modified xsi:type="dcterms:W3CDTF">2026-08-12T12:18:07Z</dcterms:modified>
  <cp:category/>
</cp:coreProperties>
</file>