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41" w:name="resultados"/>
      <w:r>
        <w:rPr>
          <w:color w:val="000000" w:themeColor="text1"/>
        </w:rPr>
        <w:t xml:space="preserve">Resultados</w:t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0" w:name="X5010c8af08d4c212bb06ad021c3bdc6495566fd"/>
      <w:r>
        <w:rPr>
          <w:color w:val="000000" w:themeColor="text1"/>
        </w:rPr>
        <w:t xml:space="preserve">Características de la población analizada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análisis incluyó 255 casos de sífilis congénita y 111.742 nacimientos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registrados entre 2009 y 2024. Los datos se organizaron en 32 estratos,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correspondientes a 16 años y dos categorías de origen materno. De los 255 casos,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219 (85,9%) correspondieron a origen nacional y 36 (14,1%) a origen extranjero.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El origen materno estuvo disponible en los 255 casos y en todos los años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analizados.</w:t>
      </w:r>
      <w:bookmarkEnd w:id="2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1" w:name="características-de-los-casos"/>
      <w:r>
        <w:rPr>
          <w:color w:val="000000" w:themeColor="text1"/>
        </w:rPr>
        <w:t xml:space="preserve">Características de los casos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edad materna mediana fue de 26 años (RIC: 21–32). El número de consultas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prenatales estuvo disponible en 251 casos (98,4%): la mediana fue 6 (RIC: 4–8)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en el total, 6 (RIC: 4–8) entre los casos de origen nacional y 5 (RIC: 1–6)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entre los de origen extranjero. La edad gestacional estuvo disponible en 254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casos. Las características restantes se presentan en la Tabla 1.</w:t>
      </w:r>
      <w:r>
        <w:rPr>
          <w:color w:val="000000" w:themeColor="text1"/>
        </w:rPr>
      </w:r>
    </w:p>
    <w:p>
      <w:pPr>
        <w:pStyle w:val="909"/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firstLine="0" w:left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Tabla 1. Características de los casos, en total y por origen materno.</w:t>
      </w:r>
      <w:r>
        <w:rPr>
          <w:color w:val="000000" w:themeColor="text1"/>
        </w:rPr>
      </w:r>
    </w:p>
    <w:tbl>
      <w:tblPr>
        <w:jc w:val="center"/>
        <w:tblW w:w="0" w:type="auto"/>
        <w:tblBorders/>
        <w:tblLayout w:type="fixed"/>
        <w:tblLook w:val="0420" w:firstRow="1" w:lastRow="0" w:firstColumn="0" w:lastColumn="0" w:noHBand="0" w:noVBand="1"/>
      </w:tblPr>
      <w:tblGrid>
        <w:gridCol w:w="4100"/>
        <w:gridCol w:w="2219"/>
        <w:gridCol w:w="2219"/>
        <w:gridCol w:w="2219"/>
      </w:tblGrid>
      <w:tr>
        <w:trPr>
          <w:trHeight w:val="462"/>
          <w:tblHeader/>
        </w:trPr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Característica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Total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Casos, n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255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219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Edad materna, mediana [RIC]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26,0 [21,0–32,0]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25,0 [21,0–32,0]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26,5 [21,0–30,2]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Consultas prenatales, mediana [RIC]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6,0 [4,0–8,0]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6,0 [4,0–8,0]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5,0 [1,0–6,0]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72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Densidad de controles/semana, mediana [RIC]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0,2 [0,1–0,2]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0,2 [0,1–0,2]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0,1 [0,0–0,2]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72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Control prenatal subóptimo por densidad,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181 (72,4%)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150 (70,1%)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31 (86,1%)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Edad gestacional, mediana [RIC]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39,0 [37,0–39,0]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39,0 [37,0–39,0]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38,0 [37,0–39,0]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Prematuro,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32 (12,6%)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28 (12,8%)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 (11,1%)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72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Peso al nacer (g), mediana [RIC]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2925,0 [2616,0–3232,5]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2940,0 [2620,0–3280,0]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2905,0 [2554,2–3155,0]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Pequeño para EG,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54 (21,2%)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47 (21,5%)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 (19,4%)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Parto por cesárea,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105 (41,2%)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93 (42,5%)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12 (33,3%)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Trastorno hipertensivo,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28 (11,1%)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26 (12,0%)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 (5,6%)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Defecto congénito,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21 (8,2%)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 (9,1%)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 (2,8%)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462"/>
        </w:trPr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Fallecimiento neonatal, n (%)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 (0,8%)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 (0,9%)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 (0,0%)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>
          <w:trHeight w:val="722"/>
        </w:trPr>
        <w:tc>
          <w:tcPr>
            <w:gridSpan w:val="4"/>
            <w:shd w:val="clear" w:color="auto" w:fill="ffffff"/>
            <w:tcBorders>
              <w:top w:val="single" w:color="666666" w:sz="12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0" w:type="auto"/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Las variables continuas se presentan como mediana [RIC]; las categóricas, como n (%). Los porcentajes usan los registros disponibles para cada variable.</w:t>
            </w:r>
            <w:bookmarkEnd w:id="21"/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</w:tbl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5" w:name="tasas-observadas"/>
      <w:r>
        <w:rPr>
          <w:color w:val="000000" w:themeColor="text1"/>
        </w:rPr>
        <w:t xml:space="preserve">Tasas observadas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tasa global fue de 2,28 casos por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1.000 nacimientos. La tasa total anual alcanzó su máximo en 2021, con 28 casos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entre 4.218 nacimientos (6,64 por 1.000). La Tabla 2 presenta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los conteos, denominadores y tasas por año y origen materno.</w:t>
      </w:r>
      <w:r>
        <w:rPr>
          <w:color w:val="000000" w:themeColor="text1"/>
        </w:rPr>
      </w:r>
    </w:p>
    <w:p>
      <w:pPr>
        <w:pStyle w:val="909"/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firstLine="0" w:left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Tabla 2. Casos, nacimientos y tasas por año y origen materno.</w:t>
      </w:r>
      <w:r>
        <w:rPr>
          <w:color w:val="000000" w:themeColor="text1"/>
        </w:rPr>
      </w:r>
    </w:p>
    <w:tbl>
      <w:tblPr>
        <w:jc w:val="center"/>
        <w:tblBorders/>
        <w:tblLayout w:type="fixed"/>
        <w:tblLook w:val="0420" w:firstRow="1" w:lastRow="0" w:firstColumn="0" w:lastColumn="0" w:noHBand="0" w:noVBand="1"/>
      </w:tblPr>
      <w:tblGrid>
        <w:gridCol w:w="971"/>
        <w:gridCol w:w="1553"/>
        <w:gridCol w:w="1063"/>
        <w:gridCol w:w="1778"/>
        <w:gridCol w:w="2064"/>
      </w:tblGrid>
      <w:tr>
        <w:trPr>
          <w:tblHeader/>
        </w:trPr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Año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Origen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Casos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Nacimientos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Tasa por 1.000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2009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11.265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1,95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11.392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2,28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10.804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1,20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9.507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2,52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9.731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1,03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8.710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1,84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7.378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1,36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5.757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1,56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5.312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1,51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4.717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1,91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3.681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4,35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4.463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3,14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3.657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6,56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3.851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2,34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3.671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1,63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2.146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1,40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2009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4,83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226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4,42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245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0,00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235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4,26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249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4,02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213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0,00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321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3,12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251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7,97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371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8,09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414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12,08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2019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531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7,53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773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2,59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561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7,13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454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11,01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2023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437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11,44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2024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212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4,72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</w:tbl>
    <w:p>
      <w:pPr>
        <w:pStyle w:val="912"/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3096683"/>
                <wp:effectExtent l="0" t="0" r="0" b="0"/>
                <wp:docPr id="1" name="Picture" descr="Figura 1. Tasas observadas y predicciones posteriores por origen materno.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" descr="RESULTADOS_FINALES_AUDITADOS_files/figures/articulo/figura1_tasas_modelo_fi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067300" cy="3096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9.00pt;height:243.83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910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Figura 1. Tasas observadas y predicciones posteriores por origen materno.</w:t>
      </w:r>
      <w:bookmarkEnd w:id="2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26" w:name="diagnósticos-exploratorios"/>
      <w:r>
        <w:rPr>
          <w:color w:val="000000" w:themeColor="text1"/>
        </w:rPr>
        <w:t xml:space="preserve">Diagnósticos exploratorios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modelo Poisson con spline natural del año presentó un AIC de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157,1 y mejoró el ajuste frente al modelo con año lineal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(LRT: χ²=12,998, 2 grados de libertad;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p=0.001505). La dispersión de Pearson del modelo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Poisson con interacción fue 2,01.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Cinco estratos superaron el umbral de Cook de 0,125: 2021-nacional (0,810),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2010-nacional (0,190), 2023-nacional (0,148), 2020-extranjera (0,136) y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2013-nacional (0,134).</w:t>
      </w:r>
      <w:bookmarkEnd w:id="26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30" w:name="modelo-bayesiano-principal"/>
      <w:r>
        <w:rPr>
          <w:color w:val="000000" w:themeColor="text1"/>
        </w:rPr>
        <w:t xml:space="preserve">Modelo bayesiano principal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IRR para origen materno extranjero frente a nacional fue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2,37 (ICr95%: 1,42–3,99;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P[IRR&gt;1]=0,9988). La mediana del parámetro</w:t>
      </w:r>
      <w:r>
        <w:rPr>
          <w:color w:val="000000" w:themeColor="text1"/>
        </w:rPr>
        <w:t xml:space="preserve"> </w:t>
      </w:r>
      <w:r>
        <w:rPr>
          <w:rStyle w:val="914"/>
          <w:color w:val="000000" w:themeColor="text1"/>
        </w:rPr>
        <w:t xml:space="preserve">shape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fue 4,01 (ICr95%: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2,01–7,51).</w:t>
      </w:r>
      <w:r>
        <w:rPr>
          <w:color w:val="000000" w:themeColor="text1"/>
        </w:rPr>
      </w:r>
    </w:p>
    <w:p>
      <w:pPr>
        <w:pStyle w:val="909"/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firstLine="0" w:left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Tabla 3. Estimaciones del modelo bayesiano principal.</w:t>
      </w:r>
      <w:r>
        <w:rPr>
          <w:color w:val="000000" w:themeColor="text1"/>
        </w:rPr>
      </w:r>
    </w:p>
    <w:tbl>
      <w:tblPr>
        <w:jc w:val="center"/>
        <w:tblBorders/>
        <w:tblLayout w:type="fixed"/>
        <w:tblLook w:val="0420" w:firstRow="1" w:lastRow="0" w:firstColumn="0" w:lastColumn="0" w:noHBand="0" w:noVBand="1"/>
      </w:tblPr>
      <w:tblGrid>
        <w:gridCol w:w="3999"/>
        <w:gridCol w:w="1617"/>
        <w:gridCol w:w="1780"/>
        <w:gridCol w:w="2837"/>
      </w:tblGrid>
      <w:tr>
        <w:trPr>
          <w:tblHeader/>
        </w:trPr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Parámetro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Estimación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ICr95%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Probabilidad posterior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IRR: extranjera frente a 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2,372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1,418–3,990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0,9988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Shape de la binomial negativa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4,007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2,008–7,509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—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</w:tbl>
    <w:p>
      <w:pPr>
        <w:pStyle w:val="912"/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2400300"/>
                <wp:effectExtent l="0" t="0" r="0" b="0"/>
                <wp:docPr id="2" name="Picture" descr="Figura 2. Estimaciones principales del modelo bayesiano.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" descr="RESULTADOS_FINALES_AUDITADOS_files/figures/articulo/figura2_forest_bayesian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006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8.00pt;height:189.0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910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Figura 2. Estimaciones principales del modelo bayesiano.</w:t>
      </w:r>
      <w:bookmarkEnd w:id="3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34" w:name="comprobaciones-predictivas-posteriores"/>
      <w:r>
        <w:rPr>
          <w:color w:val="000000" w:themeColor="text1"/>
        </w:rPr>
        <w:t xml:space="preserve">Comprobaciones predictivas posteriores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Rhat máximo fue 1,0013, el ESS bulk mínimo fue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2939 y el ESS tail mínimo fue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3020. No se registraron divergencias ni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excedencias del límite de profundidad del árbol; el E-BFMI mínimo fue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0,942. La probabilidad de obtener una varianza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replicada al menos igual a la observada fue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0,7093. En el estrato 2021-nacional se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observaron 24 casos; la mediana predictiva fue 10, con intervalo predictivo del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95% de 1 a 29 y P(Yrep≥24)=0,0612.</w:t>
      </w:r>
      <w:r>
        <w:rPr>
          <w:color w:val="000000" w:themeColor="text1"/>
        </w:rPr>
      </w:r>
    </w:p>
    <w:p>
      <w:pPr>
        <w:pStyle w:val="912"/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00600" cy="4200525"/>
                <wp:effectExtent l="0" t="0" r="0" b="0"/>
                <wp:docPr id="3" name="Picture" descr="Figura 3. Comprobaciones predictivas posteriores del modelo principal.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Picture" descr="RESULTADOS_FINALES_AUDITADOS_files/figures/articulo/figura_s1_ppc_modelo_fi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00600" cy="420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8.00pt;height:330.75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910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Figura 3. Comprobaciones predictivas posteriores del modelo principal.</w:t>
      </w:r>
      <w:bookmarkEnd w:id="34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35" w:name="validación-cruzada-loo"/>
      <w:r>
        <w:rPr>
          <w:color w:val="000000" w:themeColor="text1"/>
        </w:rPr>
        <w:t xml:space="preserve">Validación cruzada LOO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ELPD-LOO fue -80,24 (EE: 5,95). El Pareto-k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máximo fue 0,473, correspondiente al estrato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2009-nacional; ninguno de los 32 estratos presentó Pareto-k ≥0,7.</w:t>
      </w:r>
      <w:bookmarkEnd w:id="35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39" w:name="Xfb71c7c00a24208ab08f682d2578ac7426e6991"/>
      <w:r>
        <w:rPr>
          <w:color w:val="000000" w:themeColor="text1"/>
        </w:rPr>
        <w:t xml:space="preserve">Análisis secundario: densidad de control prenatal entre los casos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densidad de control prenatal pudo calcularse en 250 de los 255 casos. Entre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ellos, 69 (27,6%) fueron clasificados como control prenatal denso y 181 (72,4%)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como no denso. Entre los 214 casos nacionales analizables, 64 (29,9%) fueron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clasificados como densos y 150 (70,1%) como no densos. Entre los 36 casos de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origen extranjero, 5 (13,9%) fueron clasificados como densos y 31 (86,1%) como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no densos.</w:t>
      </w:r>
      <w:r>
        <w:rPr>
          <w:color w:val="000000" w:themeColor="text1"/>
        </w:rPr>
      </w:r>
    </w:p>
    <w:p>
      <w:pPr>
        <w:pStyle w:val="88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OR de presentar control prenatal denso para origen extranjero frente a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nacional fue 0,441 (ICr95%: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0,177–1,036;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P[OR&gt;1]=0,0284). El Rhat máximo fue 1,0015, el ESS bulk mínimo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fue 4.837 y el ESS tail mínimo fue 4.620.</w:t>
      </w:r>
      <w:r>
        <w:rPr>
          <w:color w:val="000000" w:themeColor="text1"/>
        </w:rPr>
      </w:r>
    </w:p>
    <w:p>
      <w:pPr>
        <w:pStyle w:val="909"/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firstLine="0" w:left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Tabla 4. Densidad de control prenatal por origen materno entre los casos.</w:t>
      </w:r>
      <w:r>
        <w:rPr>
          <w:color w:val="000000" w:themeColor="text1"/>
        </w:rPr>
      </w:r>
    </w:p>
    <w:tbl>
      <w:tblPr>
        <w:jc w:val="center"/>
        <w:tblBorders/>
        <w:tblLayout w:type="fixed"/>
        <w:tblLook w:val="0420" w:firstRow="1" w:lastRow="0" w:firstColumn="0" w:lastColumn="0" w:noHBand="0" w:noVBand="1"/>
      </w:tblPr>
      <w:tblGrid>
        <w:gridCol w:w="1553"/>
        <w:gridCol w:w="1786"/>
        <w:gridCol w:w="831"/>
        <w:gridCol w:w="1582"/>
      </w:tblGrid>
      <w:tr>
        <w:trPr>
          <w:tblHeader/>
        </w:trPr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Origen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Clasificación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Porcentaje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Denso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64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29,9%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Nacional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No denso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150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70,1%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Denso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13,9%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Extranjera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No denso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31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86,1%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</w:tbl>
    <w:p>
      <w:pPr>
        <w:pStyle w:val="912"/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33900" cy="3238500"/>
                <wp:effectExtent l="0" t="0" r="0" b="0"/>
                <wp:docPr id="4" name="Picture" descr="Figura 4. Densidad de control prenatal por origen materno entre los casos.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" descr="RESULTADOS_FINALES_AUDITADOS_files/figures/articulo/figura3_control_prenatal_orige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33900" cy="323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7.00pt;height:255.0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910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Figura 4. Densidad de control prenatal por origen materno entre los casos.</w:t>
      </w:r>
      <w:bookmarkEnd w:id="39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40" w:name="análisis-de-sensibilidad"/>
      <w:r>
        <w:rPr>
          <w:color w:val="000000" w:themeColor="text1"/>
        </w:rPr>
        <w:t xml:space="preserve">Análisis de sensibilidad</w:t>
      </w:r>
      <w:r>
        <w:rPr>
          <w:color w:val="000000" w:themeColor="text1"/>
        </w:rPr>
      </w:r>
    </w:p>
    <w:p>
      <w:pPr>
        <w:pStyle w:val="88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estimación mantuvo su dirección al excluir ambos estratos de 2021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(IRR 2,67; ICr95%: 1,56–4,43;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P[IRR&gt;1]=0,9998) y al excluir ambos estratos de 2024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(IRR 2,32; ICr95%: 1,34–3,85;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P[IRR&gt;1]=0,9986). En los cinco escenarios de priors, las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medianas de la IRR variaron entre 2,03 y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2,45; todos registraron cero divergencias.</w:t>
      </w:r>
      <w:r>
        <w:rPr>
          <w:color w:val="000000" w:themeColor="text1"/>
        </w:rPr>
      </w:r>
    </w:p>
    <w:p>
      <w:pPr>
        <w:pStyle w:val="909"/>
        <w:keepNext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60" w:before="60" w:line="240" w:lineRule="auto"/>
        <w:ind w:right="60" w:firstLine="0" w:left="60"/>
        <w:jc w:val="center"/>
        <w:rPr>
          <w:color w:val="000000" w:themeColor="text1"/>
        </w:rPr>
      </w:pPr>
      <w:r>
        <w:rPr>
          <w:color w:val="000000" w:themeColor="text1"/>
        </w:rPr>
        <w:t xml:space="preserve">Tabla 5. Análisis de sensibilidad por exclusión de años.</w:t>
      </w:r>
      <w:r>
        <w:rPr>
          <w:color w:val="000000" w:themeColor="text1"/>
        </w:rPr>
      </w:r>
    </w:p>
    <w:tbl>
      <w:tblPr>
        <w:jc w:val="center"/>
        <w:tblBorders/>
        <w:tblLayout w:type="fixed"/>
        <w:tblLook w:val="0420" w:firstRow="1" w:lastRow="0" w:firstColumn="0" w:lastColumn="0" w:noHBand="0" w:noVBand="1"/>
      </w:tblPr>
      <w:tblGrid>
        <w:gridCol w:w="3381"/>
        <w:gridCol w:w="1040"/>
        <w:gridCol w:w="1780"/>
        <w:gridCol w:w="1410"/>
      </w:tblGrid>
      <w:tr>
        <w:trPr>
          <w:tblHeader/>
        </w:trPr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Análisis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IRR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ICr95%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P(IRR&gt;1)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Sin 2021 ambos orígenes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2,675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1,555–4,428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single" w:color="666666" w:sz="12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0,9998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Sin 2024 (ambos orígenes)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2,316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1,344–3,854</w:t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left w:val="none" w:color="000000" w:sz="0" w:space="0"/>
              <w:bottom w:val="single" w:color="666666" w:sz="12" w:space="0"/>
              <w:right w:val="none" w:color="00000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</w:tcPr>
          <w:p>
            <w:pPr>
              <w:pStyle w:val="881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after="100" w:before="100" w:line="240" w:lineRule="auto"/>
              <w:ind w:right="100" w:firstLine="0" w:left="100"/>
              <w:jc w:val="left"/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pP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  <w:t xml:space="preserve">0,9986</w:t>
            </w:r>
            <w:bookmarkEnd w:id="40"/>
            <w:r>
              <w:rPr>
                <w:color w:val="000000" w:themeColor="text1"/>
              </w:rPr>
            </w:r>
            <w:bookmarkEnd w:id="41"/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  <w:r>
              <w:rPr>
                <w:rFonts w:ascii="DejaVu Sans" w:hAnsi="DejaVu Sans" w:eastAsia="DejaVu Sans" w:cs="DejaVu Sans"/>
                <w:b w:val="0"/>
                <w:i w:val="0"/>
                <w:color w:val="000000" w:themeColor="text1"/>
                <w:sz w:val="22"/>
                <w:szCs w:val="22"/>
                <w:u w:val="none"/>
              </w:rPr>
            </w:r>
          </w:p>
        </w:tc>
      </w:tr>
    </w:tbl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90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90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904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904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904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904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904"/>
    <w:link w:val="8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904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90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Title Char"/>
    <w:basedOn w:val="904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Subtitle Char"/>
    <w:basedOn w:val="90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1"/>
    <w:next w:val="881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90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1"/>
    <w:next w:val="881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904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1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904"/>
    <w:link w:val="861"/>
    <w:uiPriority w:val="99"/>
    <w:pPr>
      <w:pBdr/>
      <w:spacing/>
      <w:ind/>
    </w:pPr>
  </w:style>
  <w:style w:type="paragraph" w:styleId="863">
    <w:name w:val="Footer"/>
    <w:basedOn w:val="881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904"/>
    <w:link w:val="863"/>
    <w:uiPriority w:val="99"/>
    <w:pPr>
      <w:pBdr/>
      <w:spacing/>
      <w:ind/>
    </w:pPr>
  </w:style>
  <w:style w:type="character" w:styleId="865">
    <w:name w:val="Footnote Text Char"/>
    <w:basedOn w:val="904"/>
    <w:link w:val="902"/>
    <w:uiPriority w:val="99"/>
    <w:semiHidden/>
    <w:pPr>
      <w:pBdr/>
      <w:spacing/>
      <w:ind/>
    </w:pPr>
    <w:rPr>
      <w:sz w:val="20"/>
      <w:szCs w:val="20"/>
    </w:rPr>
  </w:style>
  <w:style w:type="paragraph" w:styleId="866">
    <w:name w:val="endnote text"/>
    <w:basedOn w:val="881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904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paragraph" w:styleId="882">
    <w:name w:val="Body Text"/>
    <w:basedOn w:val="881"/>
    <w:link w:val="913"/>
    <w:qFormat/>
    <w:pPr>
      <w:pBdr/>
      <w:spacing w:after="180" w:before="180"/>
      <w:ind/>
    </w:pPr>
  </w:style>
  <w:style w:type="paragraph" w:styleId="883" w:customStyle="1">
    <w:name w:val="First Paragraph"/>
    <w:basedOn w:val="882"/>
    <w:next w:val="882"/>
    <w:qFormat/>
    <w:pPr>
      <w:pBdr/>
      <w:spacing/>
      <w:ind/>
    </w:pPr>
  </w:style>
  <w:style w:type="paragraph" w:styleId="884" w:customStyle="1">
    <w:name w:val="Compact"/>
    <w:basedOn w:val="882"/>
    <w:qFormat/>
    <w:pPr>
      <w:pBdr/>
      <w:spacing w:after="36" w:before="36"/>
      <w:ind/>
    </w:pPr>
  </w:style>
  <w:style w:type="paragraph" w:styleId="885">
    <w:name w:val="Title"/>
    <w:basedOn w:val="881"/>
    <w:next w:val="882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886">
    <w:name w:val="Subtitle"/>
    <w:basedOn w:val="885"/>
    <w:next w:val="882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887" w:customStyle="1">
    <w:name w:val="Author"/>
    <w:next w:val="882"/>
    <w:qFormat/>
    <w:pPr>
      <w:keepNext w:val="true"/>
      <w:keepLines w:val="true"/>
      <w:pBdr/>
      <w:spacing/>
      <w:ind/>
      <w:jc w:val="center"/>
    </w:pPr>
  </w:style>
  <w:style w:type="paragraph" w:styleId="888">
    <w:name w:val="Date"/>
    <w:next w:val="882"/>
    <w:qFormat/>
    <w:pPr>
      <w:keepNext w:val="true"/>
      <w:keepLines w:val="true"/>
      <w:pBdr/>
      <w:spacing/>
      <w:ind/>
      <w:jc w:val="center"/>
    </w:pPr>
  </w:style>
  <w:style w:type="paragraph" w:styleId="889" w:customStyle="1">
    <w:name w:val="Abstract Title"/>
    <w:basedOn w:val="881"/>
    <w:next w:val="890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890" w:customStyle="1">
    <w:name w:val="Abstract"/>
    <w:basedOn w:val="881"/>
    <w:next w:val="882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91">
    <w:name w:val="Bibliography"/>
    <w:basedOn w:val="881"/>
    <w:next w:val="891"/>
    <w:qFormat/>
    <w:pPr>
      <w:pBdr/>
      <w:spacing/>
      <w:ind/>
    </w:pPr>
  </w:style>
  <w:style w:type="paragraph" w:styleId="892">
    <w:name w:val="Heading 1"/>
    <w:basedOn w:val="881"/>
    <w:next w:val="88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893">
    <w:name w:val="Heading 2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894">
    <w:name w:val="Heading 3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895">
    <w:name w:val="Heading 4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896">
    <w:name w:val="Heading 5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97">
    <w:name w:val="Heading 6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898">
    <w:name w:val="Heading 7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899">
    <w:name w:val="Heading 8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00">
    <w:name w:val="Heading 9"/>
    <w:basedOn w:val="881"/>
    <w:next w:val="882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01">
    <w:name w:val="Block Text"/>
    <w:basedOn w:val="882"/>
    <w:next w:val="882"/>
    <w:uiPriority w:val="9"/>
    <w:unhideWhenUsed/>
    <w:qFormat/>
    <w:pPr>
      <w:pBdr/>
      <w:spacing w:after="100" w:before="100"/>
      <w:ind w:right="480" w:firstLine="0" w:left="480"/>
    </w:pPr>
  </w:style>
  <w:style w:type="paragraph" w:styleId="902">
    <w:name w:val="footnote text"/>
    <w:basedOn w:val="881"/>
    <w:next w:val="902"/>
    <w:uiPriority w:val="9"/>
    <w:unhideWhenUsed/>
    <w:qFormat/>
    <w:pPr>
      <w:pBdr/>
      <w:spacing/>
      <w:ind/>
    </w:pPr>
  </w:style>
  <w:style w:type="paragraph" w:styleId="903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904" w:default="1">
    <w:name w:val="Default Paragraph Font"/>
    <w:semiHidden/>
    <w:unhideWhenUsed/>
    <w:pPr>
      <w:pBdr/>
      <w:spacing/>
      <w:ind/>
    </w:pPr>
  </w:style>
  <w:style w:type="table" w:styleId="90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 w:customStyle="1">
    <w:name w:val="Definition Term"/>
    <w:basedOn w:val="881"/>
    <w:next w:val="907"/>
    <w:pPr>
      <w:keepNext w:val="true"/>
      <w:keepLines w:val="true"/>
      <w:pBdr/>
      <w:spacing w:after="0"/>
      <w:ind/>
    </w:pPr>
    <w:rPr>
      <w:b/>
    </w:rPr>
  </w:style>
  <w:style w:type="paragraph" w:styleId="907" w:customStyle="1">
    <w:name w:val="Definition"/>
    <w:basedOn w:val="881"/>
    <w:pPr>
      <w:pBdr/>
      <w:spacing/>
      <w:ind/>
    </w:pPr>
  </w:style>
  <w:style w:type="paragraph" w:styleId="908">
    <w:name w:val="Caption"/>
    <w:basedOn w:val="881"/>
    <w:link w:val="913"/>
    <w:pPr>
      <w:pBdr/>
      <w:spacing w:after="120" w:before="0"/>
      <w:ind/>
    </w:pPr>
    <w:rPr>
      <w:i/>
    </w:rPr>
  </w:style>
  <w:style w:type="paragraph" w:styleId="909" w:customStyle="1">
    <w:name w:val="Table Caption"/>
    <w:basedOn w:val="908"/>
    <w:pPr>
      <w:keepNext w:val="true"/>
      <w:pBdr/>
      <w:spacing/>
      <w:ind/>
    </w:pPr>
  </w:style>
  <w:style w:type="paragraph" w:styleId="910" w:customStyle="1">
    <w:name w:val="Image Caption"/>
    <w:basedOn w:val="908"/>
    <w:pPr>
      <w:pBdr/>
      <w:spacing/>
      <w:ind/>
    </w:pPr>
  </w:style>
  <w:style w:type="paragraph" w:styleId="911" w:customStyle="1">
    <w:name w:val="Figure"/>
    <w:basedOn w:val="881"/>
    <w:pPr>
      <w:pBdr/>
      <w:spacing/>
      <w:ind/>
    </w:pPr>
  </w:style>
  <w:style w:type="paragraph" w:styleId="912" w:customStyle="1">
    <w:name w:val="Captioned Figure"/>
    <w:basedOn w:val="911"/>
    <w:pPr>
      <w:keepNext w:val="true"/>
      <w:pBdr/>
      <w:spacing/>
      <w:ind/>
    </w:pPr>
  </w:style>
  <w:style w:type="character" w:styleId="913" w:customStyle="1">
    <w:name w:val="Body Text Char"/>
    <w:basedOn w:val="904"/>
    <w:link w:val="882"/>
    <w:pPr>
      <w:pBdr/>
      <w:spacing/>
      <w:ind/>
    </w:pPr>
  </w:style>
  <w:style w:type="character" w:styleId="914" w:customStyle="1">
    <w:name w:val="Verbatim Char"/>
    <w:basedOn w:val="913"/>
    <w:pPr>
      <w:pBdr/>
      <w:spacing/>
      <w:ind/>
    </w:pPr>
    <w:rPr>
      <w:rFonts w:ascii="Consolas" w:hAnsi="Consolas"/>
      <w:sz w:val="22"/>
    </w:rPr>
  </w:style>
  <w:style w:type="character" w:styleId="915" w:customStyle="1">
    <w:name w:val="Section Number"/>
    <w:basedOn w:val="913"/>
    <w:pPr>
      <w:pBdr/>
      <w:spacing/>
      <w:ind/>
    </w:pPr>
  </w:style>
  <w:style w:type="character" w:styleId="916">
    <w:name w:val="footnote reference"/>
    <w:basedOn w:val="913"/>
    <w:pPr>
      <w:pBdr/>
      <w:spacing/>
      <w:ind/>
    </w:pPr>
    <w:rPr>
      <w:vertAlign w:val="superscript"/>
    </w:rPr>
  </w:style>
  <w:style w:type="character" w:styleId="917">
    <w:name w:val="Hyperlink"/>
    <w:basedOn w:val="913"/>
    <w:pPr>
      <w:pBdr/>
      <w:spacing/>
      <w:ind/>
    </w:pPr>
    <w:rPr>
      <w:color w:val="4f81bd" w:themeColor="accent1"/>
    </w:rPr>
  </w:style>
  <w:style w:type="paragraph" w:styleId="918">
    <w:name w:val="TOC Heading"/>
    <w:basedOn w:val="892"/>
    <w:next w:val="882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19" w:customStyle="1">
    <w:name w:val="Source Code"/>
    <w:basedOn w:val="881"/>
    <w:link w:val="914"/>
    <w:pPr>
      <w:pBdr/>
      <w:shd w:val="clear" w:color="auto" w:fill="f8f8f8"/>
      <w:spacing/>
      <w:ind/>
    </w:pPr>
  </w:style>
  <w:style w:type="character" w:styleId="920" w:customStyle="1">
    <w:name w:val="KeywordTok"/>
    <w:basedOn w:val="914"/>
    <w:pPr>
      <w:pBdr/>
      <w:spacing/>
      <w:ind/>
    </w:pPr>
    <w:rPr>
      <w:b/>
      <w:color w:val="204a87"/>
      <w:shd w:val="clear" w:color="auto" w:fill="f8f8f8"/>
    </w:rPr>
  </w:style>
  <w:style w:type="character" w:styleId="921" w:customStyle="1">
    <w:name w:val="DataTypeTok"/>
    <w:basedOn w:val="914"/>
    <w:pPr>
      <w:pBdr/>
      <w:spacing/>
      <w:ind/>
    </w:pPr>
    <w:rPr>
      <w:color w:val="204a87"/>
      <w:shd w:val="clear" w:color="auto" w:fill="f8f8f8"/>
    </w:rPr>
  </w:style>
  <w:style w:type="character" w:styleId="922" w:customStyle="1">
    <w:name w:val="DecValTok"/>
    <w:basedOn w:val="914"/>
    <w:pPr>
      <w:pBdr/>
      <w:spacing/>
      <w:ind/>
    </w:pPr>
    <w:rPr>
      <w:color w:val="0000cf"/>
      <w:shd w:val="clear" w:color="auto" w:fill="f8f8f8"/>
    </w:rPr>
  </w:style>
  <w:style w:type="character" w:styleId="923" w:customStyle="1">
    <w:name w:val="BaseNTok"/>
    <w:basedOn w:val="914"/>
    <w:pPr>
      <w:pBdr/>
      <w:spacing/>
      <w:ind/>
    </w:pPr>
    <w:rPr>
      <w:color w:val="0000cf"/>
      <w:shd w:val="clear" w:color="auto" w:fill="f8f8f8"/>
    </w:rPr>
  </w:style>
  <w:style w:type="character" w:styleId="924" w:customStyle="1">
    <w:name w:val="FloatTok"/>
    <w:basedOn w:val="914"/>
    <w:pPr>
      <w:pBdr/>
      <w:spacing/>
      <w:ind/>
    </w:pPr>
    <w:rPr>
      <w:color w:val="0000cf"/>
      <w:shd w:val="clear" w:color="auto" w:fill="f8f8f8"/>
    </w:rPr>
  </w:style>
  <w:style w:type="character" w:styleId="925" w:customStyle="1">
    <w:name w:val="ConstantTok"/>
    <w:basedOn w:val="914"/>
    <w:pPr>
      <w:pBdr/>
      <w:spacing/>
      <w:ind/>
    </w:pPr>
    <w:rPr>
      <w:color w:val="8f5902"/>
      <w:shd w:val="clear" w:color="auto" w:fill="f8f8f8"/>
    </w:rPr>
  </w:style>
  <w:style w:type="character" w:styleId="926" w:customStyle="1">
    <w:name w:val="CharTok"/>
    <w:basedOn w:val="914"/>
    <w:pPr>
      <w:pBdr/>
      <w:spacing/>
      <w:ind/>
    </w:pPr>
    <w:rPr>
      <w:color w:val="4e9a06"/>
      <w:shd w:val="clear" w:color="auto" w:fill="f8f8f8"/>
    </w:rPr>
  </w:style>
  <w:style w:type="character" w:styleId="927" w:customStyle="1">
    <w:name w:val="SpecialCharTok"/>
    <w:basedOn w:val="914"/>
    <w:pPr>
      <w:pBdr/>
      <w:spacing/>
      <w:ind/>
    </w:pPr>
    <w:rPr>
      <w:b/>
      <w:color w:val="ce5c00"/>
      <w:shd w:val="clear" w:color="auto" w:fill="f8f8f8"/>
    </w:rPr>
  </w:style>
  <w:style w:type="character" w:styleId="928" w:customStyle="1">
    <w:name w:val="StringTok"/>
    <w:basedOn w:val="914"/>
    <w:pPr>
      <w:pBdr/>
      <w:spacing/>
      <w:ind/>
    </w:pPr>
    <w:rPr>
      <w:color w:val="4e9a06"/>
      <w:shd w:val="clear" w:color="auto" w:fill="f8f8f8"/>
    </w:rPr>
  </w:style>
  <w:style w:type="character" w:styleId="929" w:customStyle="1">
    <w:name w:val="VerbatimStringTok"/>
    <w:basedOn w:val="914"/>
    <w:pPr>
      <w:pBdr/>
      <w:spacing/>
      <w:ind/>
    </w:pPr>
    <w:rPr>
      <w:color w:val="4e9a06"/>
      <w:shd w:val="clear" w:color="auto" w:fill="f8f8f8"/>
    </w:rPr>
  </w:style>
  <w:style w:type="character" w:styleId="930" w:customStyle="1">
    <w:name w:val="SpecialStringTok"/>
    <w:basedOn w:val="914"/>
    <w:pPr>
      <w:pBdr/>
      <w:spacing/>
      <w:ind/>
    </w:pPr>
    <w:rPr>
      <w:color w:val="4e9a06"/>
      <w:shd w:val="clear" w:color="auto" w:fill="f8f8f8"/>
    </w:rPr>
  </w:style>
  <w:style w:type="character" w:styleId="931" w:customStyle="1">
    <w:name w:val="ImportTok"/>
    <w:basedOn w:val="914"/>
    <w:pPr>
      <w:pBdr/>
      <w:spacing/>
      <w:ind/>
    </w:pPr>
    <w:rPr>
      <w:shd w:val="clear" w:color="auto" w:fill="f8f8f8"/>
    </w:rPr>
  </w:style>
  <w:style w:type="character" w:styleId="932" w:customStyle="1">
    <w:name w:val="CommentTok"/>
    <w:basedOn w:val="914"/>
    <w:pPr>
      <w:pBdr/>
      <w:spacing/>
      <w:ind/>
    </w:pPr>
    <w:rPr>
      <w:i/>
      <w:color w:val="8f5902"/>
      <w:shd w:val="clear" w:color="auto" w:fill="f8f8f8"/>
    </w:rPr>
  </w:style>
  <w:style w:type="character" w:styleId="933" w:customStyle="1">
    <w:name w:val="DocumentationTok"/>
    <w:basedOn w:val="914"/>
    <w:pPr>
      <w:pBdr/>
      <w:spacing/>
      <w:ind/>
    </w:pPr>
    <w:rPr>
      <w:b/>
      <w:i/>
      <w:color w:val="8f5902"/>
      <w:shd w:val="clear" w:color="auto" w:fill="f8f8f8"/>
    </w:rPr>
  </w:style>
  <w:style w:type="character" w:styleId="934" w:customStyle="1">
    <w:name w:val="AnnotationTok"/>
    <w:basedOn w:val="914"/>
    <w:pPr>
      <w:pBdr/>
      <w:spacing/>
      <w:ind/>
    </w:pPr>
    <w:rPr>
      <w:b/>
      <w:i/>
      <w:color w:val="8f5902"/>
      <w:shd w:val="clear" w:color="auto" w:fill="f8f8f8"/>
    </w:rPr>
  </w:style>
  <w:style w:type="character" w:styleId="935" w:customStyle="1">
    <w:name w:val="CommentVarTok"/>
    <w:basedOn w:val="914"/>
    <w:pPr>
      <w:pBdr/>
      <w:spacing/>
      <w:ind/>
    </w:pPr>
    <w:rPr>
      <w:b/>
      <w:i/>
      <w:color w:val="8f5902"/>
      <w:shd w:val="clear" w:color="auto" w:fill="f8f8f8"/>
    </w:rPr>
  </w:style>
  <w:style w:type="character" w:styleId="936" w:customStyle="1">
    <w:name w:val="OtherTok"/>
    <w:basedOn w:val="914"/>
    <w:pPr>
      <w:pBdr/>
      <w:spacing/>
      <w:ind/>
    </w:pPr>
    <w:rPr>
      <w:color w:val="8f5902"/>
      <w:shd w:val="clear" w:color="auto" w:fill="f8f8f8"/>
    </w:rPr>
  </w:style>
  <w:style w:type="character" w:styleId="937" w:customStyle="1">
    <w:name w:val="FunctionTok"/>
    <w:basedOn w:val="914"/>
    <w:pPr>
      <w:pBdr/>
      <w:spacing/>
      <w:ind/>
    </w:pPr>
    <w:rPr>
      <w:b/>
      <w:color w:val="204a87"/>
      <w:shd w:val="clear" w:color="auto" w:fill="f8f8f8"/>
    </w:rPr>
  </w:style>
  <w:style w:type="character" w:styleId="938" w:customStyle="1">
    <w:name w:val="VariableTok"/>
    <w:basedOn w:val="914"/>
    <w:pPr>
      <w:pBdr/>
      <w:spacing/>
      <w:ind/>
    </w:pPr>
    <w:rPr>
      <w:color w:val="000000"/>
      <w:shd w:val="clear" w:color="auto" w:fill="f8f8f8"/>
    </w:rPr>
  </w:style>
  <w:style w:type="character" w:styleId="939" w:customStyle="1">
    <w:name w:val="ControlFlowTok"/>
    <w:basedOn w:val="914"/>
    <w:pPr>
      <w:pBdr/>
      <w:spacing/>
      <w:ind/>
    </w:pPr>
    <w:rPr>
      <w:b/>
      <w:color w:val="204a87"/>
      <w:shd w:val="clear" w:color="auto" w:fill="f8f8f8"/>
    </w:rPr>
  </w:style>
  <w:style w:type="character" w:styleId="940" w:customStyle="1">
    <w:name w:val="OperatorTok"/>
    <w:basedOn w:val="914"/>
    <w:pPr>
      <w:pBdr/>
      <w:spacing/>
      <w:ind/>
    </w:pPr>
    <w:rPr>
      <w:b/>
      <w:color w:val="ce5c00"/>
      <w:shd w:val="clear" w:color="auto" w:fill="f8f8f8"/>
    </w:rPr>
  </w:style>
  <w:style w:type="character" w:styleId="941" w:customStyle="1">
    <w:name w:val="BuiltInTok"/>
    <w:basedOn w:val="914"/>
    <w:pPr>
      <w:pBdr/>
      <w:spacing/>
      <w:ind/>
    </w:pPr>
    <w:rPr>
      <w:shd w:val="clear" w:color="auto" w:fill="f8f8f8"/>
    </w:rPr>
  </w:style>
  <w:style w:type="character" w:styleId="942" w:customStyle="1">
    <w:name w:val="ExtensionTok"/>
    <w:basedOn w:val="914"/>
    <w:pPr>
      <w:pBdr/>
      <w:spacing/>
      <w:ind/>
    </w:pPr>
    <w:rPr>
      <w:shd w:val="clear" w:color="auto" w:fill="f8f8f8"/>
    </w:rPr>
  </w:style>
  <w:style w:type="character" w:styleId="943" w:customStyle="1">
    <w:name w:val="PreprocessorTok"/>
    <w:basedOn w:val="914"/>
    <w:pPr>
      <w:pBdr/>
      <w:spacing/>
      <w:ind/>
    </w:pPr>
    <w:rPr>
      <w:i/>
      <w:color w:val="8f5902"/>
      <w:shd w:val="clear" w:color="auto" w:fill="f8f8f8"/>
    </w:rPr>
  </w:style>
  <w:style w:type="character" w:styleId="944" w:customStyle="1">
    <w:name w:val="AttributeTok"/>
    <w:basedOn w:val="914"/>
    <w:pPr>
      <w:pBdr/>
      <w:spacing/>
      <w:ind/>
    </w:pPr>
    <w:rPr>
      <w:color w:val="204a87"/>
      <w:shd w:val="clear" w:color="auto" w:fill="f8f8f8"/>
    </w:rPr>
  </w:style>
  <w:style w:type="character" w:styleId="945" w:customStyle="1">
    <w:name w:val="RegionMarkerTok"/>
    <w:basedOn w:val="914"/>
    <w:pPr>
      <w:pBdr/>
      <w:spacing/>
      <w:ind/>
    </w:pPr>
    <w:rPr>
      <w:shd w:val="clear" w:color="auto" w:fill="f8f8f8"/>
    </w:rPr>
  </w:style>
  <w:style w:type="character" w:styleId="946" w:customStyle="1">
    <w:name w:val="InformationTok"/>
    <w:basedOn w:val="914"/>
    <w:pPr>
      <w:pBdr/>
      <w:spacing/>
      <w:ind/>
    </w:pPr>
    <w:rPr>
      <w:b/>
      <w:i/>
      <w:color w:val="8f5902"/>
      <w:shd w:val="clear" w:color="auto" w:fill="f8f8f8"/>
    </w:rPr>
  </w:style>
  <w:style w:type="character" w:styleId="947" w:customStyle="1">
    <w:name w:val="WarningTok"/>
    <w:basedOn w:val="914"/>
    <w:pPr>
      <w:pBdr/>
      <w:spacing/>
      <w:ind/>
    </w:pPr>
    <w:rPr>
      <w:b/>
      <w:i/>
      <w:color w:val="8f5902"/>
      <w:shd w:val="clear" w:color="auto" w:fill="f8f8f8"/>
    </w:rPr>
  </w:style>
  <w:style w:type="character" w:styleId="948" w:customStyle="1">
    <w:name w:val="AlertTok"/>
    <w:basedOn w:val="914"/>
    <w:pPr>
      <w:pBdr/>
      <w:spacing/>
      <w:ind/>
    </w:pPr>
    <w:rPr>
      <w:color w:val="ef2929"/>
      <w:shd w:val="clear" w:color="auto" w:fill="f8f8f8"/>
    </w:rPr>
  </w:style>
  <w:style w:type="character" w:styleId="949" w:customStyle="1">
    <w:name w:val="ErrorTok"/>
    <w:basedOn w:val="914"/>
    <w:pPr>
      <w:pBdr/>
      <w:spacing/>
      <w:ind/>
    </w:pPr>
    <w:rPr>
      <w:b/>
      <w:color w:val="a40000"/>
      <w:shd w:val="clear" w:color="auto" w:fill="f8f8f8"/>
    </w:rPr>
  </w:style>
  <w:style w:type="character" w:styleId="950" w:customStyle="1">
    <w:name w:val="NormalTok"/>
    <w:basedOn w:val="914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2026-08-25T16:52:46Z</dcterms:created>
  <dcterms:modified xsi:type="dcterms:W3CDTF">2026-08-25T18:17:45Z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