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S3. Diagnósticos MCMC del modelo bayesiano principal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6"/>
        <w:gridCol w:w="2088"/>
        <w:gridCol w:w="2088"/>
        <w:gridCol w:w="252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Diagnóstico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Valor actual en S3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Valor real del 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Estado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Rhat máximo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ESS bulk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2.939,2691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2.939,2691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ESS tail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3.019,8815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3.019,8815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Divergencias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Treedepth excedido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E-BFMI cadena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E-BFMI cadena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Error de escala decimal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E-BFMI cadena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E-BFMI cadena 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0,9420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Correcto</w:t>
            </w:r>
          </w:p>
        </w:tc>
      </w:tr>
    </w:tbl>
    <w:p>
      <w:pPr>
        <w:pStyle w:val="Normal"/>
      </w:pPr>
      <w:r>
        <w:t xml:space="preserve">Nota: ESS, tamaño efectivo de muestra; E-BFMI, Bayesian fraction of missing information. E-BFMI se calculó por cadena como mean(diff(energy__)^2) / var(energy__), a partir de los parámetros NUTS del objeto actual del modelo principal.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2026-08-25T15:17:57Z</dcterms:modified>
  <cp:category/>
</cp:coreProperties>
</file>