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45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Tendencia</w:t>
      </w:r>
      <w:r>
        <w:t xml:space="preserve"> </w:t>
      </w:r>
      <w:r>
        <w:t xml:space="preserve">temporal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sífilis</w:t>
      </w:r>
      <w:r>
        <w:t xml:space="preserve"> </w:t>
      </w:r>
      <w:r>
        <w:t xml:space="preserve">congénita</w:t>
      </w:r>
      <w:r>
        <w:t xml:space="preserve"> </w:t>
      </w:r>
      <w:r>
        <w:t xml:space="preserve">y</w:t>
      </w:r>
      <w:r>
        <w:t xml:space="preserve"> </w:t>
      </w:r>
      <w:r>
        <w:t xml:space="preserve">cambios</w:t>
      </w:r>
      <w:r>
        <w:t xml:space="preserve"> </w:t>
      </w:r>
      <w:r>
        <w:t xml:space="preserve">en</w:t>
      </w:r>
      <w:r>
        <w:t xml:space="preserve"> </w:t>
      </w:r>
      <w:r>
        <w:t xml:space="preserve">la</w:t>
      </w:r>
      <w:r>
        <w:t xml:space="preserve"> </w:t>
      </w:r>
      <w:r>
        <w:t xml:space="preserve">nacionalidad</w:t>
      </w:r>
      <w:r>
        <w:t xml:space="preserve"> </w:t>
      </w:r>
      <w:r>
        <w:t xml:space="preserve">materna</w:t>
      </w:r>
      <w:r>
        <w:t xml:space="preserve"> </w:t>
      </w:r>
      <w:r>
        <w:t xml:space="preserve">en</w:t>
      </w:r>
      <w:r>
        <w:t xml:space="preserve"> </w:t>
      </w:r>
      <w:r>
        <w:t xml:space="preserve">un</w:t>
      </w:r>
      <w:r>
        <w:t xml:space="preserve"> </w:t>
      </w:r>
      <w:r>
        <w:t xml:space="preserve">hospital</w:t>
      </w:r>
      <w:r>
        <w:t xml:space="preserve"> </w:t>
      </w:r>
      <w:r>
        <w:t xml:space="preserve">de</w:t>
      </w:r>
      <w:r>
        <w:t xml:space="preserve"> </w:t>
      </w:r>
      <w:r>
        <w:t xml:space="preserve">referencia</w:t>
      </w:r>
      <w:r>
        <w:t xml:space="preserve"> </w:t>
      </w:r>
      <w:r>
        <w:t xml:space="preserve">de</w:t>
      </w:r>
      <w:r>
        <w:t xml:space="preserve"> </w:t>
      </w:r>
      <w:r>
        <w:t xml:space="preserve">Ecuador,</w:t>
      </w:r>
      <w:r>
        <w:t xml:space="preserve"> </w:t>
      </w:r>
      <w:r>
        <w:t xml:space="preserve">2009–2024</w:t>
      </w:r>
    </w:p>
    <w:p>
      <w:pPr>
        <w:pStyle w:val="Subtitle"/>
      </w:pPr>
      <w:r>
        <w:t xml:space="preserve">Metodología,</w:t>
      </w:r>
      <w:r>
        <w:t xml:space="preserve"> </w:t>
      </w:r>
      <w:r>
        <w:t xml:space="preserve">tablas</w:t>
      </w:r>
      <w:r>
        <w:t xml:space="preserve"> </w:t>
      </w:r>
      <w:r>
        <w:t xml:space="preserve">y</w:t>
      </w:r>
      <w:r>
        <w:t xml:space="preserve"> </w:t>
      </w:r>
      <w:r>
        <w:t xml:space="preserve">figuras</w:t>
      </w:r>
    </w:p>
    <w:p>
      <w:pPr>
        <w:pStyle w:val="Date"/>
      </w:pPr>
      <w:r>
        <w:t xml:space="preserve">10</w:t>
      </w:r>
      <w:r>
        <w:t xml:space="preserve"> </w:t>
      </w:r>
      <w:r>
        <w:t xml:space="preserve">de</w:t>
      </w:r>
      <w:r>
        <w:t xml:space="preserve"> </w:t>
      </w:r>
      <w:r>
        <w:t xml:space="preserve">agosto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bookmarkStart w:id="20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La sífilis congénita continúa siendo un problema prevenible de salud pública y</w:t>
      </w:r>
      <w:r>
        <w:t xml:space="preserve"> </w:t>
      </w:r>
      <w:r>
        <w:t xml:space="preserve">un marcador de brechas en el tamizaje prenatal, el tratamiento materno oportuno</w:t>
      </w:r>
      <w:r>
        <w:t xml:space="preserve"> </w:t>
      </w:r>
      <w:r>
        <w:t xml:space="preserve">y el seguimiento perinatal. El objetivo de este análisis fue describir la</w:t>
      </w:r>
      <w:r>
        <w:t xml:space="preserve"> </w:t>
      </w:r>
      <w:r>
        <w:t xml:space="preserve">tendencia temporal de la sífilis congénita en un hospital de referencia de</w:t>
      </w:r>
      <w:r>
        <w:t xml:space="preserve"> </w:t>
      </w:r>
      <w:r>
        <w:t xml:space="preserve">Ecuador (HGOIA) entre 2009 y 2024, evaluar los cambios en la composición por</w:t>
      </w:r>
      <w:r>
        <w:t xml:space="preserve"> </w:t>
      </w:r>
      <w:r>
        <w:t xml:space="preserve">nacionalidad materna y caracterizar la adecuación del control prenatal.</w:t>
      </w:r>
    </w:p>
    <w:bookmarkEnd w:id="20"/>
    <w:bookmarkStart w:id="28" w:name="métodos"/>
    <w:p>
      <w:pPr>
        <w:pStyle w:val="Heading1"/>
      </w:pPr>
      <w:r>
        <w:t xml:space="preserve">Métodos</w:t>
      </w:r>
    </w:p>
    <w:bookmarkStart w:id="21" w:name="diseño-y-población"/>
    <w:p>
      <w:pPr>
        <w:pStyle w:val="Heading2"/>
      </w:pPr>
      <w:r>
        <w:t xml:space="preserve">Diseño y población</w:t>
      </w:r>
    </w:p>
    <w:p>
      <w:pPr>
        <w:pStyle w:val="FirstParagraph"/>
      </w:pPr>
      <w:r>
        <w:t xml:space="preserve">Estudio retrospectivo descriptivo de todos los casos de sífilis congénita</w:t>
      </w:r>
      <w:r>
        <w:t xml:space="preserve"> </w:t>
      </w:r>
      <w:r>
        <w:t xml:space="preserve">diagnosticados en el HGOIA entre 2009 y 2024 (n = 255</w:t>
      </w:r>
      <w:r>
        <w:t xml:space="preserve"> </w:t>
      </w:r>
      <w:r>
        <w:t xml:space="preserve">casos). El desenlace de inclusión (</w:t>
      </w:r>
      <w:r>
        <w:rPr>
          <w:rStyle w:val="VerbatimChar"/>
        </w:rPr>
        <w:t xml:space="preserve">BEBE.sifilis.congenita = 1</w:t>
      </w:r>
      <w:r>
        <w:t xml:space="preserve">) es el criterio</w:t>
      </w:r>
      <w:r>
        <w:t xml:space="preserve"> </w:t>
      </w:r>
      <w:r>
        <w:t xml:space="preserve">diagnóstico de la cohorte, no una variable observada con variabilidad interna.</w:t>
      </w:r>
    </w:p>
    <w:bookmarkEnd w:id="21"/>
    <w:bookmarkStart w:id="22" w:name="fuentes-de-datos-y-denominadores"/>
    <w:p>
      <w:pPr>
        <w:pStyle w:val="Heading2"/>
      </w:pPr>
      <w:r>
        <w:t xml:space="preserve">Fuentes de datos y denominadores</w:t>
      </w:r>
    </w:p>
    <w:p>
      <w:pPr>
        <w:pStyle w:val="FirstParagraph"/>
      </w:pPr>
      <w:r>
        <w:t xml:space="preserve">Los numeradores (casos) provienen de la base individual de casos de sífilis</w:t>
      </w:r>
      <w:r>
        <w:t xml:space="preserve"> </w:t>
      </w:r>
      <w:r>
        <w:t xml:space="preserve">congénita del HGOIA (</w:t>
      </w:r>
      <w:r>
        <w:rPr>
          <w:rStyle w:val="VerbatimChar"/>
        </w:rPr>
        <w:t xml:space="preserve">SIFILIS_hgoia2009-2024.csv</w:t>
      </w:r>
      <w:r>
        <w:t xml:space="preserve">, 255 registros, un caso por</w:t>
      </w:r>
      <w:r>
        <w:t xml:space="preserve"> </w:t>
      </w:r>
      <w:r>
        <w:t xml:space="preserve">fila). Los denominadores (nacidos vivos anuales, totales y por nacionalidad</w:t>
      </w:r>
      <w:r>
        <w:t xml:space="preserve"> </w:t>
      </w:r>
      <w:r>
        <w:t xml:space="preserve">materna) provienen de la base de partos por país de origen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Partos_pais_origen_2014-2025_HGOIA.csv</w:t>
      </w:r>
      <w:r>
        <w:t xml:space="preserve">, formato ancho por país × año</w:t>
      </w:r>
      <w:r>
        <w:t xml:space="preserve"> </w:t>
      </w:r>
      <w:r>
        <w:t xml:space="preserve">2009-2024). Ambas bases fueron auditadas de forma cruzada y automatizada</w:t>
      </w:r>
      <w:r>
        <w:t xml:space="preserve"> </w:t>
      </w:r>
      <w:r>
        <w:t xml:space="preserve">(</w:t>
      </w:r>
      <w:r>
        <w:rPr>
          <w:rStyle w:val="VerbatimChar"/>
        </w:rPr>
        <w:t xml:space="preserve">R/01_auditoria_datos.R</w:t>
      </w:r>
      <w:r>
        <w:t xml:space="preserve">): la suma de partos por país individual coincide</w:t>
      </w:r>
      <w:r>
        <w:t xml:space="preserve"> </w:t>
      </w:r>
      <w:r>
        <w:t xml:space="preserve">exactamente con la fila resumen</w:t>
      </w:r>
      <w:r>
        <w:t xml:space="preserve"> </w:t>
      </w:r>
      <w:r>
        <w:t xml:space="preserve">“</w:t>
      </w:r>
      <w:r>
        <w:t xml:space="preserve">Total extranjeras</w:t>
      </w:r>
      <w:r>
        <w:t xml:space="preserve">”</w:t>
      </w:r>
      <w:r>
        <w:t xml:space="preserve"> </w:t>
      </w:r>
      <w:r>
        <w:t xml:space="preserve">en los 16 años (diferencia</w:t>
      </w:r>
      <w:r>
        <w:t xml:space="preserve"> </w:t>
      </w:r>
      <w:r>
        <w:t xml:space="preserve">= 0), y no se detectaron inconsistencias internas. El total de nacidos vivos</w:t>
      </w:r>
      <w:r>
        <w:t xml:space="preserve"> </w:t>
      </w:r>
      <w:r>
        <w:t xml:space="preserve">del periodo 2009-2024 es</w:t>
      </w:r>
      <w:r>
        <w:t xml:space="preserve"> </w:t>
      </w:r>
      <w:r>
        <w:t xml:space="preserve">111.742</w:t>
      </w:r>
      <w:r>
        <w:t xml:space="preserve"> </w:t>
      </w:r>
      <w:r>
        <w:t xml:space="preserve">(detalle anual en la Tabla A1 del anexo); esta cifra, derivada directamente de</w:t>
      </w:r>
      <w:r>
        <w:t xml:space="preserve"> </w:t>
      </w:r>
      <w:r>
        <w:t xml:space="preserve">las bases vigentes, es la fuente única de denominadores para todo el</w:t>
      </w:r>
      <w:r>
        <w:t xml:space="preserve"> </w:t>
      </w:r>
      <w:r>
        <w:t xml:space="preserve">análisis.</w:t>
      </w:r>
    </w:p>
    <w:bookmarkEnd w:id="22"/>
    <w:bookmarkStart w:id="23" w:name="definiciones-operativas"/>
    <w:p>
      <w:pPr>
        <w:pStyle w:val="Heading2"/>
      </w:pPr>
      <w:r>
        <w:t xml:space="preserve">Definiciones operativas</w:t>
      </w:r>
    </w:p>
    <w:p>
      <w:pPr>
        <w:pStyle w:val="FirstParagraph"/>
      </w:pPr>
      <w:r>
        <w:t xml:space="preserve">A partir de la auditoría exhaustiva del diccionario de variables de la base de</w:t>
      </w:r>
      <w:r>
        <w:t xml:space="preserve"> </w:t>
      </w:r>
      <w:r>
        <w:t xml:space="preserve">casos (</w:t>
      </w:r>
      <w:r>
        <w:rPr>
          <w:rStyle w:val="VerbatimChar"/>
        </w:rPr>
        <w:t xml:space="preserve">R/02_diccionario_y_auditoria_variables.R</w:t>
      </w:r>
      <w:r>
        <w:t xml:space="preserve">, 74 variables), se</w:t>
      </w:r>
      <w:r>
        <w:t xml:space="preserve"> </w:t>
      </w:r>
      <w:r>
        <w:t xml:space="preserve">identificaron pares de variables clínicamente relacionadas pero no idénticas.</w:t>
      </w:r>
      <w:r>
        <w:t xml:space="preserve"> </w:t>
      </w:r>
      <w:r>
        <w:t xml:space="preserve">Se fijaron las siguientes definiciones operativas para este análisis: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Trastorno hipertensivo del embarazo</w:t>
      </w:r>
      <w:r>
        <w:t xml:space="preserve">:</w:t>
      </w:r>
      <w:r>
        <w:t xml:space="preserve"> </w:t>
      </w:r>
      <w:r>
        <w:rPr>
          <w:rStyle w:val="VerbatimChar"/>
        </w:rPr>
        <w:t xml:space="preserve">TRASTORNOS.HIPERTENSIVOS.CATEGORIA</w:t>
      </w:r>
      <w:r>
        <w:t xml:space="preserve"> </w:t>
      </w:r>
      <w:r>
        <w:t xml:space="preserve">(diagnóstico categorizado del embarazo actual), en lugar de</w:t>
      </w:r>
      <w:r>
        <w:t xml:space="preserve"> </w:t>
      </w:r>
      <w:r>
        <w:rPr>
          <w:rStyle w:val="VerbatimChar"/>
        </w:rPr>
        <w:t xml:space="preserve">Preclampsia.personal</w:t>
      </w:r>
      <w:r>
        <w:t xml:space="preserve"> </w:t>
      </w:r>
      <w:r>
        <w:t xml:space="preserve">(discordante en 36/253 casos, posible antecedente de</w:t>
      </w:r>
      <w:r>
        <w:t xml:space="preserve"> </w:t>
      </w:r>
      <w:r>
        <w:t xml:space="preserve">embarazos previos).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Restricción de crecimiento fetal</w:t>
      </w:r>
      <w:r>
        <w:t xml:space="preserve">: categoría</w:t>
      </w:r>
      <w:r>
        <w:t xml:space="preserve"> </w:t>
      </w:r>
      <w:r>
        <w:t xml:space="preserve">“</w:t>
      </w:r>
      <w:r>
        <w:t xml:space="preserve">pequeño</w:t>
      </w:r>
      <w:r>
        <w:t xml:space="preserve">”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PESO.EG.CATEGORIA</w:t>
      </w:r>
      <w:r>
        <w:t xml:space="preserve"> </w:t>
      </w:r>
      <w:r>
        <w:t xml:space="preserve">(clasificación peso/edad gestacional), en lugar del</w:t>
      </w:r>
      <w:r>
        <w:t xml:space="preserve"> </w:t>
      </w:r>
      <w:r>
        <w:t xml:space="preserve">diagnóstico clínico</w:t>
      </w:r>
      <w:r>
        <w:t xml:space="preserve"> </w:t>
      </w:r>
      <w:r>
        <w:rPr>
          <w:rStyle w:val="VerbatimChar"/>
        </w:rPr>
        <w:t xml:space="preserve">RCIU</w:t>
      </w:r>
      <w:r>
        <w:t xml:space="preserve"> </w:t>
      </w:r>
      <w:r>
        <w:t xml:space="preserve">(discordante en 5 casos).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Defecto congénito</w:t>
      </w:r>
      <w:r>
        <w:t xml:space="preserve">:</w:t>
      </w:r>
      <w:r>
        <w:t xml:space="preserve"> </w:t>
      </w:r>
      <w:r>
        <w:rPr>
          <w:rStyle w:val="VerbatimChar"/>
        </w:rPr>
        <w:t xml:space="preserve">Defectos.congenitos.CODIGO</w:t>
      </w:r>
      <w:r>
        <w:t xml:space="preserve">, variable binaria</w:t>
      </w:r>
      <w:r>
        <w:t xml:space="preserve"> </w:t>
      </w:r>
      <w:r>
        <w:t xml:space="preserve">(presente/ausente), en lugar de la desagregación por sistema afectado</w:t>
      </w:r>
      <w:r>
        <w:t xml:space="preserve"> </w:t>
      </w:r>
      <w:r>
        <w:t xml:space="preserve">(</w:t>
      </w:r>
      <w:r>
        <w:rPr>
          <w:rStyle w:val="VerbatimChar"/>
        </w:rPr>
        <w:t xml:space="preserve">SISTEMA.AFECTADO</w:t>
      </w:r>
      <w:r>
        <w:t xml:space="preserve">), que fragmenta los 21 casos positivos en categorías con</w:t>
      </w:r>
      <w:r>
        <w:t xml:space="preserve"> </w:t>
      </w:r>
      <w:r>
        <w:t xml:space="preserve">n ≤ 7.</w:t>
      </w:r>
    </w:p>
    <w:bookmarkEnd w:id="23"/>
    <w:bookmarkStart w:id="24" w:name="adecuación-del-control-prenatal"/>
    <w:p>
      <w:pPr>
        <w:pStyle w:val="Heading2"/>
      </w:pPr>
      <w:r>
        <w:t xml:space="preserve">Adecuación del control prenatal</w:t>
      </w:r>
    </w:p>
    <w:p>
      <w:pPr>
        <w:pStyle w:val="FirstParagraph"/>
      </w:pPr>
      <w:r>
        <w:t xml:space="preserve">Se clasificó la adecuación del control prenatal según la recomendación vigente</w:t>
      </w:r>
      <w:r>
        <w:t xml:space="preserve"> </w:t>
      </w:r>
      <w:r>
        <w:t xml:space="preserve">de la OMS:</w:t>
      </w:r>
      <w:r>
        <w:t xml:space="preserve"> </w:t>
      </w:r>
      <w:r>
        <w:rPr>
          <w:b/>
          <w:bCs/>
        </w:rPr>
        <w:t xml:space="preserve">subóptimo</w:t>
      </w:r>
      <w:r>
        <w:t xml:space="preserve"> </w:t>
      </w:r>
      <w:r>
        <w:t xml:space="preserve">si el número de consultas prenatales registradas fue</w:t>
      </w:r>
      <w:r>
        <w:t xml:space="preserve"> </w:t>
      </w:r>
      <w:r>
        <w:t xml:space="preserve">menor a 8, y</w:t>
      </w:r>
      <w:r>
        <w:t xml:space="preserve"> </w:t>
      </w:r>
      <w:r>
        <w:rPr>
          <w:b/>
          <w:bCs/>
        </w:rPr>
        <w:t xml:space="preserve">adecuado</w:t>
      </w:r>
      <w:r>
        <w:t xml:space="preserve"> </w:t>
      </w:r>
      <w:r>
        <w:t xml:space="preserve">si fue de 8 o más.</w:t>
      </w:r>
    </w:p>
    <w:bookmarkEnd w:id="24"/>
    <w:bookmarkStart w:id="25" w:name="periodos-de-comparación"/>
    <w:p>
      <w:pPr>
        <w:pStyle w:val="Heading2"/>
      </w:pPr>
      <w:r>
        <w:t xml:space="preserve">Periodos de comparación</w:t>
      </w:r>
    </w:p>
    <w:p>
      <w:pPr>
        <w:pStyle w:val="FirstParagraph"/>
      </w:pPr>
      <w:r>
        <w:t xml:space="preserve">Se compararon tres periodos, definidos a priori según la evolución observada</w:t>
      </w:r>
      <w:r>
        <w:t xml:space="preserve"> </w:t>
      </w:r>
      <w:r>
        <w:t xml:space="preserve">del fenómeno: 2009-2017 (periodo basal), 2018-2021 y 2022-2024.</w:t>
      </w:r>
    </w:p>
    <w:bookmarkEnd w:id="25"/>
    <w:bookmarkStart w:id="26" w:name="análisis-estadístico"/>
    <w:p>
      <w:pPr>
        <w:pStyle w:val="Heading2"/>
      </w:pPr>
      <w:r>
        <w:t xml:space="preserve">Análisis estadístico</w:t>
      </w:r>
    </w:p>
    <w:p>
      <w:pPr>
        <w:pStyle w:val="FirstParagraph"/>
      </w:pPr>
      <w:r>
        <w:t xml:space="preserve">Las variables continuas se describen con mediana y rango intercuartílico</w:t>
      </w:r>
      <w:r>
        <w:t xml:space="preserve"> </w:t>
      </w:r>
      <w:r>
        <w:t xml:space="preserve">(RIC); las categóricas, con frecuencia absoluta y porcentaje. Las tasas</w:t>
      </w:r>
      <w:r>
        <w:t xml:space="preserve"> </w:t>
      </w:r>
      <w:r>
        <w:t xml:space="preserve">anuales y por periodo se expresaron por 1000 nacidos vivos, con intervalos de</w:t>
      </w:r>
      <w:r>
        <w:t xml:space="preserve"> </w:t>
      </w:r>
      <w:r>
        <w:t xml:space="preserve">confianza del 95% (IC95%) exactos de Poisson. La comparación entre periodos se</w:t>
      </w:r>
      <w:r>
        <w:t xml:space="preserve"> </w:t>
      </w:r>
      <w:r>
        <w:t xml:space="preserve">realizó mediante regresión de Poisson con offset del logaritmo de los nacidos</w:t>
      </w:r>
      <w:r>
        <w:t xml:space="preserve"> </w:t>
      </w:r>
      <w:r>
        <w:t xml:space="preserve">vivos, tomando 2009-2017 como categoría de referencia, y se reporta como razón</w:t>
      </w:r>
      <w:r>
        <w:t xml:space="preserve"> </w:t>
      </w:r>
      <w:r>
        <w:t xml:space="preserve">de tasas de incidencia (IRR) con IC95% y valor de p. La tendencia temporal de</w:t>
      </w:r>
      <w:r>
        <w:t xml:space="preserve"> </w:t>
      </w:r>
      <w:r>
        <w:t xml:space="preserve">la proporción de casos en madres extranjeras se evaluó con una prueba de</w:t>
      </w:r>
      <w:r>
        <w:t xml:space="preserve"> </w:t>
      </w:r>
      <w:r>
        <w:t xml:space="preserve">tendencia para proporciones (chi-cuadrado de tendencia lineal). Todos los</w:t>
      </w:r>
      <w:r>
        <w:t xml:space="preserve"> </w:t>
      </w:r>
      <w:r>
        <w:t xml:space="preserve">análisis se realizaron en R.</w:t>
      </w:r>
    </w:p>
    <w:bookmarkEnd w:id="26"/>
    <w:bookmarkStart w:id="27" w:name="X4c14809c12e12e1d7b5716fbfd4fa2136cd0927"/>
    <w:p>
      <w:pPr>
        <w:pStyle w:val="Heading2"/>
      </w:pPr>
      <w:r>
        <w:t xml:space="preserve">Modelo bayesiano confirmatorio de tendencia por origen materno</w:t>
      </w:r>
    </w:p>
    <w:p>
      <w:pPr>
        <w:pStyle w:val="FirstParagraph"/>
      </w:pPr>
      <w:r>
        <w:t xml:space="preserve">Con el fin de cuantificar de forma probabilística la asociación entre el</w:t>
      </w:r>
      <w:r>
        <w:t xml:space="preserve"> </w:t>
      </w:r>
      <w:r>
        <w:t xml:space="preserve">origen materno (nacional vs. extranjera) y la incidencia de sífilis</w:t>
      </w:r>
      <w:r>
        <w:t xml:space="preserve"> </w:t>
      </w:r>
      <w:r>
        <w:t xml:space="preserve">congénita, y su evolución temporal, se ajustó un modelo bayesiano</w:t>
      </w:r>
      <w:r>
        <w:t xml:space="preserve"> </w:t>
      </w:r>
      <w:r>
        <w:t xml:space="preserve">confirmatorio sobre una tabla de 32 estratos (16 años × 2 orígenes</w:t>
      </w:r>
      <w:r>
        <w:t xml:space="preserve"> </w:t>
      </w:r>
      <w:r>
        <w:t xml:space="preserve">maternos;</w:t>
      </w:r>
      <w:r>
        <w:t xml:space="preserve"> </w:t>
      </w:r>
      <w:r>
        <w:rPr>
          <w:rStyle w:val="VerbatimChar"/>
        </w:rPr>
        <w:t xml:space="preserve">R/06_modelo_bayesiano_primario.R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output/estratos_anio_origen.csv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Diagnóstico previo de la forma funcional.</w:t>
      </w:r>
      <w:r>
        <w:t xml:space="preserve"> </w:t>
      </w:r>
      <w:r>
        <w:t xml:space="preserve">Antes de fijar la</w:t>
      </w:r>
      <w:r>
        <w:t xml:space="preserve"> </w:t>
      </w:r>
      <w:r>
        <w:t xml:space="preserve">especificación del modelo primario se evaluó de forma exploratoria y</w:t>
      </w:r>
      <w:r>
        <w:t xml:space="preserve"> </w:t>
      </w:r>
      <w:r>
        <w:t xml:space="preserve">frecuentista la forma funcional del efecto del año</w:t>
      </w:r>
      <w:r>
        <w:t xml:space="preserve"> </w:t>
      </w:r>
      <w:r>
        <w:t xml:space="preserve">(</w:t>
      </w:r>
      <w:r>
        <w:rPr>
          <w:rStyle w:val="VerbatimChar"/>
        </w:rPr>
        <w:t xml:space="preserve">R/05_diagnostico_modelo_conteos.R</w:t>
      </w:r>
      <w:r>
        <w:t xml:space="preserve">): un modelo con tendencia spline (3</w:t>
      </w:r>
      <w:r>
        <w:t xml:space="preserve"> </w:t>
      </w:r>
      <w:r>
        <w:t xml:space="preserve">grados de libertad) ajustó mejor que uno lineal (AIC 157,1 vs. 166,1;</w:t>
      </w:r>
      <w:r>
        <w:t xml:space="preserve"> </w:t>
      </w:r>
      <w:r>
        <w:t xml:space="preserve">razón de verosimilitud p = 0,002), y el estrato 2021-nacional resultó una</w:t>
      </w:r>
      <w:r>
        <w:t xml:space="preserve"> </w:t>
      </w:r>
      <w:r>
        <w:t xml:space="preserve">observación de alta influencia (distancia de Cook = 0,81, muy por encima</w:t>
      </w:r>
      <w:r>
        <w:t xml:space="preserve"> </w:t>
      </w:r>
      <w:r>
        <w:t xml:space="preserve">del umbral 4/n = 0,125; 24 casos sobre 3657 nacidos vivos). La dispersión</w:t>
      </w:r>
      <w:r>
        <w:t xml:space="preserve"> </w:t>
      </w:r>
      <w:r>
        <w:t xml:space="preserve">de Pearson (χ²/gl = 2,01) y un modelo binomial negativo exploratorio (θ =</w:t>
      </w:r>
      <w:r>
        <w:t xml:space="preserve"> </w:t>
      </w:r>
      <w:r>
        <w:t xml:space="preserve">10,2; AIC 160,3 vs. 167,4 del Poisson) sugirieron sobredispersión</w:t>
      </w:r>
      <w:r>
        <w:t xml:space="preserve"> </w:t>
      </w:r>
      <w:r>
        <w:t xml:space="preserve">leve-moderada. Pese a esta evidencia, y siguiendo la especificación</w:t>
      </w:r>
      <w:r>
        <w:t xml:space="preserve"> </w:t>
      </w:r>
      <w:r>
        <w:t xml:space="preserve">aprobada por el investigador principal el 10/08/2026, el modelo primario</w:t>
      </w:r>
      <w:r>
        <w:t xml:space="preserve"> </w:t>
      </w:r>
      <w:r>
        <w:t xml:space="preserve">se mantuvo con familia Poisson y tendencia</w:t>
      </w:r>
      <w:r>
        <w:t xml:space="preserve"> </w:t>
      </w:r>
      <w:r>
        <w:rPr>
          <w:b/>
          <w:bCs/>
        </w:rPr>
        <w:t xml:space="preserve">lineal</w:t>
      </w:r>
      <w:r>
        <w:t xml:space="preserve"> </w:t>
      </w:r>
      <w:r>
        <w:t xml:space="preserve">del año (sin</w:t>
      </w:r>
      <w:r>
        <w:t xml:space="preserve"> </w:t>
      </w:r>
      <w:r>
        <w:t xml:space="preserve">término cuadrático ni spline), reservando la binomial negativa como</w:t>
      </w:r>
      <w:r>
        <w:t xml:space="preserve"> </w:t>
      </w:r>
      <w:r>
        <w:t xml:space="preserve">contingencia no utilizada. El estrato influyente de 2021 no fue excluido:</w:t>
      </w:r>
      <w:r>
        <w:t xml:space="preserve"> </w:t>
      </w:r>
      <w:r>
        <w:t xml:space="preserve">se evaluó explícitamente mediante comprobación predictiva posterior (ver</w:t>
      </w:r>
      <w:r>
        <w:t xml:space="preserve"> </w:t>
      </w:r>
      <w:r>
        <w:t xml:space="preserve">Resultados).</w:t>
      </w:r>
    </w:p>
    <w:p>
      <w:pPr>
        <w:pStyle w:val="BodyText"/>
      </w:pPr>
      <w:r>
        <w:rPr>
          <w:b/>
          <w:bCs/>
        </w:rPr>
        <w:t xml:space="preserve">Modelo primario.</w:t>
      </w:r>
      <w:r>
        <w:t xml:space="preserve"> </w:t>
      </w:r>
      <w:r>
        <w:t xml:space="preserve">Se ajustó una regresión de Poisson bayesiana con</w:t>
      </w:r>
      <w:r>
        <w:t xml:space="preserve"> </w:t>
      </w:r>
      <w:r>
        <w:t xml:space="preserve">offset del logaritmo de los nacidos vivos: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casos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Poisson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nacimientos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sSub>
            <m:e>
              <m:r>
                <m:rPr>
                  <m:nor/>
                  <m:sty m:val="p"/>
                </m:rPr>
                <m:t>origen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 </m:t>
          </m:r>
          <m:sSub>
            <m:e>
              <m:r>
                <m:rPr>
                  <m:nor/>
                  <m:sty m:val="p"/>
                </m:rPr>
                <m:t>año_c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 </m:t>
          </m:r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origen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nor/>
                      <m:sty m:val="p"/>
                    </m:rPr>
                    <m:t>año_c</m:t>
                  </m:r>
                </m:e>
              </m:d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donde año_c es el año centrado en la mediana del periodo. Los priors, en</w:t>
      </w:r>
      <w:r>
        <w:t xml:space="preserve"> </w:t>
      </w:r>
      <w:r>
        <w:t xml:space="preserve">la escala log(IRR), fueron: Intercepto ~ Normal(−6, 1); origen ~</w:t>
      </w:r>
      <w:r>
        <w:t xml:space="preserve"> </w:t>
      </w:r>
      <w:r>
        <w:t xml:space="preserve">Normal(0, 1); año_c ~ Normal(0, 0,5); interacción origen×año_c ~</w:t>
      </w:r>
      <w:r>
        <w:t xml:space="preserve"> </w:t>
      </w:r>
      <w:r>
        <w:t xml:space="preserve">Normal(0, 0,5) — priors débilmente informativos, consistentes con tasas</w:t>
      </w:r>
      <w:r>
        <w:t xml:space="preserve"> </w:t>
      </w:r>
      <w:r>
        <w:t xml:space="preserve">basales del orden de por mil y cambios anuales moderados. La estimación</w:t>
      </w:r>
      <w:r>
        <w:t xml:space="preserve"> </w:t>
      </w:r>
      <w:r>
        <w:t xml:space="preserve">se realizó con</w:t>
      </w:r>
      <w:r>
        <w:t xml:space="preserve"> </w:t>
      </w:r>
      <w:r>
        <w:rPr>
          <w:rStyle w:val="VerbatimChar"/>
        </w:rPr>
        <w:t xml:space="preserve">brms</w:t>
      </w:r>
      <w:r>
        <w:t xml:space="preserve">/Stan (backend</w:t>
      </w:r>
      <w:r>
        <w:t xml:space="preserve"> </w:t>
      </w:r>
      <w:r>
        <w:rPr>
          <w:rStyle w:val="VerbatimChar"/>
        </w:rPr>
        <w:t xml:space="preserve">cmdstanr</w:t>
      </w:r>
      <w:r>
        <w:t xml:space="preserve">), 4 cadenas de 4000</w:t>
      </w:r>
      <w:r>
        <w:t xml:space="preserve"> </w:t>
      </w:r>
      <w:r>
        <w:t xml:space="preserve">iteraciones (2000 de calentamiento), semilla 20260810,</w:t>
      </w:r>
      <w:r>
        <w:t xml:space="preserve"> </w:t>
      </w:r>
      <w:r>
        <w:rPr>
          <w:rStyle w:val="VerbatimChar"/>
        </w:rPr>
        <w:t xml:space="preserve">adapt_delta</w:t>
      </w:r>
      <w:r>
        <w:t xml:space="preserve"> </w:t>
      </w:r>
      <w:r>
        <w:t xml:space="preserve">=</w:t>
      </w:r>
      <w:r>
        <w:t xml:space="preserve"> </w:t>
      </w:r>
      <w:r>
        <w:t xml:space="preserve">0,95 y</w:t>
      </w:r>
      <w:r>
        <w:t xml:space="preserve"> </w:t>
      </w:r>
      <w:r>
        <w:rPr>
          <w:rStyle w:val="VerbatimChar"/>
        </w:rPr>
        <w:t xml:space="preserve">max_treedepth</w:t>
      </w:r>
      <w:r>
        <w:t xml:space="preserve"> </w:t>
      </w:r>
      <w:r>
        <w:t xml:space="preserve">= 12.</w:t>
      </w:r>
    </w:p>
    <w:p>
      <w:pPr>
        <w:pStyle w:val="BodyText"/>
      </w:pPr>
      <w:r>
        <w:rPr>
          <w:b/>
          <w:bCs/>
        </w:rPr>
        <w:t xml:space="preserve">Diagnósticos y convergencia.</w:t>
      </w:r>
      <w:r>
        <w:t xml:space="preserve"> </w:t>
      </w:r>
      <w:r>
        <w:t xml:space="preserve">Se exigió como criterio de aceptación:</w:t>
      </w:r>
      <w:r>
        <w:t xml:space="preserve"> </w:t>
      </w:r>
      <w:r>
        <w:t xml:space="preserve">R̂ &lt; 1,01 en todos los parámetros, tamaño de muestra efectivo (ESS bulk y</w:t>
      </w:r>
      <w:r>
        <w:t xml:space="preserve"> </w:t>
      </w:r>
      <w:r>
        <w:t xml:space="preserve">tail) &gt; 400, ausencia de transiciones divergentes y E-BFMI &gt; 0,2.</w:t>
      </w:r>
    </w:p>
    <w:p>
      <w:pPr>
        <w:pStyle w:val="BodyText"/>
      </w:pPr>
      <w:r>
        <w:rPr>
          <w:b/>
          <w:bCs/>
        </w:rPr>
        <w:t xml:space="preserve">Comprobación predictiva posterior (PPC).</w:t>
      </w:r>
      <w:r>
        <w:t xml:space="preserve"> </w:t>
      </w:r>
      <w:r>
        <w:t xml:space="preserve">Se compararon las</w:t>
      </w:r>
      <w:r>
        <w:t xml:space="preserve"> </w:t>
      </w:r>
      <w:r>
        <w:t xml:space="preserve">densidades y la varianza observada vs. replicada, y se calculó</w:t>
      </w:r>
      <w:r>
        <w:t xml:space="preserve"> </w:t>
      </w:r>
      <w:r>
        <w:t xml:space="preserve">específicamente la probabilidad posterior predictiva de observar un</w:t>
      </w:r>
      <w:r>
        <w:t xml:space="preserve"> </w:t>
      </w:r>
      <w:r>
        <w:t xml:space="preserve">valor igual o mayor al del estrato 2021-nacional, el punto influyente</w:t>
      </w:r>
      <w:r>
        <w:t xml:space="preserve"> </w:t>
      </w:r>
      <w:r>
        <w:t xml:space="preserve">identificado en el diagnóstico previo.</w:t>
      </w:r>
    </w:p>
    <w:p>
      <w:pPr>
        <w:pStyle w:val="BodyText"/>
      </w:pPr>
      <w:r>
        <w:rPr>
          <w:b/>
          <w:bCs/>
        </w:rPr>
        <w:t xml:space="preserve">Análisis de sensibilidad.</w:t>
      </w:r>
      <w:r>
        <w:t xml:space="preserve"> </w:t>
      </w:r>
      <w:r>
        <w:t xml:space="preserve">Se reajustó el modelo primario con priors</w:t>
      </w:r>
      <w:r>
        <w:t xml:space="preserve"> </w:t>
      </w:r>
      <w:r>
        <w:t xml:space="preserve">más estrechos (desviación estándar × 0,5) y más amplios (× 2) para</w:t>
      </w:r>
      <w:r>
        <w:t xml:space="preserve"> </w:t>
      </w:r>
      <w:r>
        <w:t xml:space="preserve">evaluar la sensibilidad de las estimaciones a la elección de priors.</w:t>
      </w:r>
      <w:r>
        <w:t xml:space="preserve"> </w:t>
      </w:r>
      <w:r>
        <w:t xml:space="preserve">Como comparación adicional (no como criterio principal de</w:t>
      </w:r>
      <w:r>
        <w:t xml:space="preserve"> </w:t>
      </w:r>
      <w:r>
        <w:t xml:space="preserve">interpretación) se ajustó el modelo de Poisson frecuentista equivalente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glm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Modelos secundarios.</w:t>
      </w:r>
      <w:r>
        <w:t xml:space="preserve"> </w:t>
      </w:r>
      <w:r>
        <w:t xml:space="preserve">Se exploró la asociación entre origen materno y</w:t>
      </w:r>
      <w:r>
        <w:t xml:space="preserve"> </w:t>
      </w:r>
      <w:r>
        <w:t xml:space="preserve">dos desenlaces clínicos mediante regresión logística bayesiana (familia</w:t>
      </w:r>
      <w:r>
        <w:t xml:space="preserve"> </w:t>
      </w:r>
      <w:r>
        <w:t xml:space="preserve">Bernoulli, función de enlace logit; prior Normal(0, 1,5) para el</w:t>
      </w:r>
      <w:r>
        <w:t xml:space="preserve"> </w:t>
      </w:r>
      <w:r>
        <w:t xml:space="preserve">intercepto y Normal(0, 1) para el coeficiente de origen), ajustada a</w:t>
      </w:r>
      <w:r>
        <w:t xml:space="preserve"> </w:t>
      </w:r>
      <w:r>
        <w:t xml:space="preserve">nivel de caso individual: control prenatal subóptimo (&lt;8 consultas) y</w:t>
      </w:r>
      <w:r>
        <w:t xml:space="preserve"> </w:t>
      </w:r>
      <w:r>
        <w:t xml:space="preserve">pequeño para la edad gestacional (PEG). Estas comparaciones son</w:t>
      </w:r>
      <w:r>
        <w:t xml:space="preserve"> </w:t>
      </w:r>
      <w:r>
        <w:rPr>
          <w:b/>
          <w:bCs/>
        </w:rPr>
        <w:t xml:space="preserve">entre</w:t>
      </w:r>
      <w:r>
        <w:rPr>
          <w:b/>
          <w:bCs/>
        </w:rPr>
        <w:t xml:space="preserve"> </w:t>
      </w:r>
      <w:r>
        <w:rPr>
          <w:b/>
          <w:bCs/>
        </w:rPr>
        <w:t xml:space="preserve">casos</w:t>
      </w:r>
      <w:r>
        <w:t xml:space="preserve"> </w:t>
      </w:r>
      <w:r>
        <w:t xml:space="preserve">de sífilis congénita (no de incidencia poblacional).</w:t>
      </w:r>
      <w:r>
        <w:t xml:space="preserve"> </w:t>
      </w:r>
      <w:r>
        <w:t xml:space="preserve">Prematuridad, mortalidad, defecto congénito y preeclampsia</w:t>
      </w:r>
      <w:r>
        <w:t xml:space="preserve"> </w:t>
      </w:r>
      <w:r>
        <w:rPr>
          <w:b/>
          <w:bCs/>
        </w:rPr>
        <w:t xml:space="preserve">no se</w:t>
      </w:r>
      <w:r>
        <w:rPr>
          <w:b/>
          <w:bCs/>
        </w:rPr>
        <w:t xml:space="preserve"> </w:t>
      </w:r>
      <w:r>
        <w:rPr>
          <w:b/>
          <w:bCs/>
        </w:rPr>
        <w:t xml:space="preserve">modelaron</w:t>
      </w:r>
      <w:r>
        <w:t xml:space="preserve"> </w:t>
      </w:r>
      <w:r>
        <w:t xml:space="preserve">por número insuficiente de eventos en el brazo de madres</w:t>
      </w:r>
      <w:r>
        <w:t xml:space="preserve"> </w:t>
      </w:r>
      <w:r>
        <w:t xml:space="preserve">extranjeras (ver Tabla 7).</w:t>
      </w:r>
    </w:p>
    <w:p>
      <w:pPr>
        <w:pStyle w:val="BodyText"/>
      </w:pPr>
      <w:r>
        <w:rPr>
          <w:b/>
          <w:bCs/>
        </w:rPr>
        <w:t xml:space="preserve">Interpretación.</w:t>
      </w:r>
      <w:r>
        <w:t xml:space="preserve"> </w:t>
      </w:r>
      <w:r>
        <w:t xml:space="preserve">Los resultados bayesianos se reportan como razón de</w:t>
      </w:r>
      <w:r>
        <w:t xml:space="preserve"> </w:t>
      </w:r>
      <w:r>
        <w:t xml:space="preserve">tasas de incidencia (IRR) o razón de momios (OR) posteriores, con</w:t>
      </w:r>
      <w:r>
        <w:t xml:space="preserve"> </w:t>
      </w:r>
      <w:r>
        <w:t xml:space="preserve">mediana, intervalo de credibilidad del 95% (ICr95%) y probabilidad</w:t>
      </w:r>
      <w:r>
        <w:t xml:space="preserve"> </w:t>
      </w:r>
      <w:r>
        <w:t xml:space="preserve">posterior de que el efecto sea mayor (o menor) que 1, en lugar de</w:t>
      </w:r>
      <w:r>
        <w:t xml:space="preserve"> </w:t>
      </w:r>
      <w:r>
        <w:t xml:space="preserve">valores p.</w:t>
      </w:r>
    </w:p>
    <w:p>
      <w:r>
        <w:br w:type="page"/>
      </w:r>
    </w:p>
    <w:bookmarkEnd w:id="27"/>
    <w:bookmarkEnd w:id="28"/>
    <w:bookmarkStart w:id="50" w:name="resultados"/>
    <w:p>
      <w:pPr>
        <w:pStyle w:val="Heading1"/>
      </w:pPr>
      <w:r>
        <w:t xml:space="preserve">Resultados</w:t>
      </w:r>
    </w:p>
    <w:bookmarkStart w:id="29" w:name="características-generales-de-la-cohorte"/>
    <w:p>
      <w:pPr>
        <w:pStyle w:val="Heading2"/>
      </w:pPr>
      <w:r>
        <w:t xml:space="preserve">Características generales de la cohorte</w:t>
      </w:r>
    </w:p>
    <w:p>
      <w:pPr>
        <w:pStyle w:val="FirstParagraph"/>
      </w:pPr>
      <w:r>
        <w:t xml:space="preserve">Se identificaron 255 casos de sífilis congénita entre</w:t>
      </w:r>
      <w:r>
        <w:t xml:space="preserve"> </w:t>
      </w:r>
      <w:r>
        <w:t xml:space="preserve">111.742 nacidos</w:t>
      </w:r>
      <w:r>
        <w:t xml:space="preserve"> </w:t>
      </w:r>
      <w:r>
        <w:t xml:space="preserve">vivos en el periodo 2009-2024, para una tasa global de</w:t>
      </w:r>
      <w:r>
        <w:t xml:space="preserve"> </w:t>
      </w:r>
      <w:r>
        <w:t xml:space="preserve">2.28 por 1000 nacidos vivos (IC95%</w:t>
      </w:r>
      <w:r>
        <w:t xml:space="preserve"> </w:t>
      </w:r>
      <w:r>
        <w:t xml:space="preserve">2.01–2.58).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Características de los 255 casos de sífilis congénita, HGOIA 2009-2024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699"/>
        <w:gridCol w:w="2258"/>
      </w:tblGrid>
      <w:tr>
        <w:trPr>
          <w:trHeight w:val="536" w:hRule="auto"/>
          <w:tblHeader/>
        </w:trPr>
        header 1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 (%) / mediana [RIC]</w:t>
            </w:r>
          </w:p>
        </w:tc>
      </w:tr>
      <w:tr>
        <w:trPr>
          <w:trHeight w:val="538" w:hRule="auto"/>
        </w:trPr>
        body 1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Origen materno extranjero, n (%)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 (14.1%)</w:t>
            </w:r>
          </w:p>
        </w:tc>
      </w:tr>
      <w:tr>
        <w:trPr>
          <w:trHeight w:val="53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Edad materna (años), mediana [RIC]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26.0 [21.0-32.0]</w:t>
            </w:r>
          </w:p>
        </w:tc>
      </w:tr>
      <w:tr>
        <w:trPr>
          <w:trHeight w:val="53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Gestas previas, mediana [RIC]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 [1.0-3.0]</w:t>
            </w:r>
          </w:p>
        </w:tc>
      </w:tr>
      <w:tr>
        <w:trPr>
          <w:trHeight w:val="53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Consultas prenatales, mediana [RIC]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6.0 [4.0-8.0]</w:t>
            </w:r>
          </w:p>
        </w:tc>
      </w:tr>
      <w:tr>
        <w:trPr>
          <w:trHeight w:val="53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Control prenatal &lt;8 consultas,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178 (70.9%)</w:t>
            </w:r>
          </w:p>
        </w:tc>
      </w:tr>
      <w:tr>
        <w:trPr>
          <w:trHeight w:val="53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Parto por cesárea,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105 (41.2%)</w:t>
            </w:r>
          </w:p>
        </w:tc>
      </w:tr>
      <w:tr>
        <w:trPr>
          <w:trHeight w:val="53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Trastorno hipertensivo del embarazo,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 (11.1%)</w:t>
            </w:r>
          </w:p>
        </w:tc>
      </w:tr>
      <w:tr>
        <w:trPr>
          <w:trHeight w:val="53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Edad gestacional al nacer (semanas), mediana [RIC]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39.0 [37.0-39.0]</w:t>
            </w:r>
          </w:p>
        </w:tc>
      </w:tr>
      <w:tr>
        <w:trPr>
          <w:trHeight w:val="53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Peso al nacer (gramos), mediana [RIC]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2925.0 [2616.0-3232.5]</w:t>
            </w:r>
          </w:p>
        </w:tc>
      </w:tr>
      <w:tr>
        <w:trPr>
          <w:trHeight w:val="53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Pequeño para edad gestacional (restricción de crecimiento),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 (21.2%)</w:t>
            </w:r>
          </w:p>
        </w:tc>
      </w:tr>
      <w:tr>
        <w:trPr>
          <w:trHeight w:val="53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Defecto congénito,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 (8.2%)</w:t>
            </w:r>
          </w:p>
        </w:tc>
      </w:tr>
      <w:tr>
        <w:trPr>
          <w:trHeight w:val="53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Egreso: fallece,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(0.8%)</w:t>
            </w:r>
          </w:p>
        </w:tc>
      </w:tr>
      <w:tr>
        <w:trPr>
          <w:trHeight w:val="538" w:hRule="auto"/>
        </w:trPr>
        body13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Egreso: traslado, n (%)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(1.2%)</w:t>
            </w:r>
          </w:p>
        </w:tc>
      </w:tr>
    </w:tbl>
    <w:bookmarkEnd w:id="29"/>
    <w:bookmarkStart w:id="33" w:name="tendencia-temporal-de-la-tasa-anual"/>
    <w:p>
      <w:pPr>
        <w:pStyle w:val="Heading2"/>
      </w:pPr>
      <w:r>
        <w:t xml:space="preserve">Tendencia temporal de la tasa anual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Figura 1. Tasa anual de sífilis congénita por 1000 nacidos vivos, HGOIA 2009-2024." title="" id="31" name="Picture"/>
            <a:graphic>
              <a:graphicData uri="http://schemas.openxmlformats.org/drawingml/2006/picture">
                <pic:pic>
                  <pic:nvPicPr>
                    <pic:cNvPr descr="/home/debian/Proyectos/Neonatologia/sifilis_congenita/informe/informe_sifilis_congenita_files/figures/fig1_tasa_anua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1. Tasa anual de sífilis congénita por 1000 nacidos vivos, HGOIA 2009-2024.</w:t>
      </w:r>
    </w:p>
    <w:p>
      <w:pPr>
        <w:pStyle w:val="BodyText"/>
      </w:pPr>
      <w:r>
        <w:t xml:space="preserve">La tasa anual alcanzó su máximo en 2021, con</w:t>
      </w:r>
      <w:r>
        <w:t xml:space="preserve"> </w:t>
      </w:r>
      <w:r>
        <w:t xml:space="preserve">28 casos y</w:t>
      </w:r>
      <w:r>
        <w:t xml:space="preserve"> </w:t>
      </w:r>
      <w:r>
        <w:t xml:space="preserve">6.64 por 1000 nacidos vivos.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Comparación de la tasa de sífilis congénita por periodo (referencia: 2009-2017)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30"/>
        <w:gridCol w:w="773"/>
        <w:gridCol w:w="829"/>
        <w:gridCol w:w="1486"/>
        <w:gridCol w:w="1954"/>
        <w:gridCol w:w="1708"/>
        <w:gridCol w:w="955"/>
      </w:tblGrid>
      <w:tr>
        <w:trPr>
          <w:trHeight w:val="536" w:hRule="auto"/>
          <w:tblHeader/>
        </w:trPr>
        header1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Periodo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Años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Casos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Nacidos vivos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Tasa x1000 (IC95%)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IRR (IC95%)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Valor p</w:t>
            </w:r>
          </w:p>
        </w:tc>
      </w:tr>
      <w:tr>
        <w:trPr>
          <w:trHeight w:val="531" w:hRule="auto"/>
        </w:trPr>
        body1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2009-2017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82.174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1.80 (1.52-2.12)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1,00 (referencia)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</w:t>
            </w:r>
          </w:p>
        </w:tc>
      </w:tr>
      <w:tr>
        <w:trPr>
          <w:trHeight w:val="53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2018-2021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4.15 (3.28-5.18)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2.30 (1.74-3.02)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31" w:hRule="auto"/>
        </w:trPr>
        body3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2022-2024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10.771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2.69 (1.80-3.87)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1.49 (0.98-2.19)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0.048</w:t>
            </w:r>
          </w:p>
        </w:tc>
      </w:tr>
    </w:tbl>
    <w:p>
      <w:pPr>
        <w:pStyle w:val="BodyText"/>
      </w:pPr>
      <w:r>
        <w:t xml:space="preserve">En comparación con 2009-2017, el periodo 2018-2021 mostró un aumento</w:t>
      </w:r>
      <w:r>
        <w:t xml:space="preserve"> </w:t>
      </w:r>
      <w:r>
        <w:t xml:space="preserve">significativo de la tasa (IRR 2.30; IC95%</w:t>
      </w:r>
      <w:r>
        <w:t xml:space="preserve"> </w:t>
      </w:r>
      <w:r>
        <w:t xml:space="preserve">1.74-3.02;</w:t>
      </w:r>
      <w:r>
        <w:t xml:space="preserve"> </w:t>
      </w:r>
      <w:r>
        <w:t xml:space="preserve">p&lt;0.001), mientras que 2022-2024 no difirió</w:t>
      </w:r>
      <w:r>
        <w:t xml:space="preserve"> </w:t>
      </w:r>
      <w:r>
        <w:t xml:space="preserve">significativamente del periodo basal (IRR 1.49; IC95%</w:t>
      </w:r>
      <w:r>
        <w:t xml:space="preserve"> </w:t>
      </w:r>
      <w:r>
        <w:t xml:space="preserve">0.98-2.19;</w:t>
      </w:r>
      <w:r>
        <w:t xml:space="preserve"> </w:t>
      </w:r>
      <w:r>
        <w:t xml:space="preserve">p0.048).</w:t>
      </w:r>
    </w:p>
    <w:bookmarkEnd w:id="33"/>
    <w:bookmarkStart w:id="37" w:name="Xed092fc8e41104ea36b084880b920ceea0b8f1d"/>
    <w:p>
      <w:pPr>
        <w:pStyle w:val="Heading2"/>
      </w:pPr>
      <w:r>
        <w:t xml:space="preserve">Cambios en la composición por nacionalidad materna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Figura 2. Proporción de casos de sífilis congénita en madres extranjeras, HGOIA 2009-2024." title="" id="35" name="Picture"/>
            <a:graphic>
              <a:graphicData uri="http://schemas.openxmlformats.org/drawingml/2006/picture">
                <pic:pic>
                  <pic:nvPicPr>
                    <pic:cNvPr descr="/home/debian/Proyectos/Neonatologia/sifilis_congenita/informe/informe_sifilis_congenita_files/figures/fig2_tendencia_extranjera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2. Proporción de casos de sífilis congénita en madres extranjeras, HGOIA 2009-2024.</w:t>
      </w:r>
    </w:p>
    <w:p>
      <w:pPr>
        <w:pStyle w:val="BodyText"/>
      </w:pPr>
      <w:r>
        <w:t xml:space="preserve">La proporción de casos en hijos de madres extranjeras aumentó de</w:t>
      </w:r>
      <w:r>
        <w:t xml:space="preserve"> </w:t>
      </w:r>
      <w:r>
        <w:t xml:space="preserve">4.3% en 2009 a un</w:t>
      </w:r>
      <w:r>
        <w:t xml:space="preserve"> </w:t>
      </w:r>
      <w:r>
        <w:t xml:space="preserve">máximo de 45.5% en</w:t>
      </w:r>
      <w:r>
        <w:t xml:space="preserve"> </w:t>
      </w:r>
      <w:r>
        <w:t xml:space="preserve">2023</w:t>
      </w:r>
      <w:r>
        <w:t xml:space="preserve"> </w:t>
      </w:r>
      <w:r>
        <w:t xml:space="preserve">(prueba de tendencia, p&lt;0.001).</w:t>
      </w:r>
    </w:p>
    <w:bookmarkEnd w:id="37"/>
    <w:bookmarkStart w:id="41" w:name="adecuación-del-control-prenatal-1"/>
    <w:p>
      <w:pPr>
        <w:pStyle w:val="Heading2"/>
      </w:pPr>
      <w:r>
        <w:t xml:space="preserve">Adecuación del control prenatal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Figura 3. Adecuación del control prenatal (criterio OMS: ≥8 controles)." title="" id="39" name="Picture"/>
            <a:graphic>
              <a:graphicData uri="http://schemas.openxmlformats.org/drawingml/2006/picture">
                <pic:pic>
                  <pic:nvPicPr>
                    <pic:cNvPr descr="/home/debian/Proyectos/Neonatologia/sifilis_congenita/informe/informe_sifilis_congenita_files/figures/fig3_adecuacion_cp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3. Adecuación del control prenatal (criterio OMS: ≥8 controles).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Adecuación del control prenatal, HGOIA 2009-2024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15"/>
        <w:gridCol w:w="661"/>
        <w:gridCol w:w="712"/>
      </w:tblGrid>
      <w:tr>
        <w:trPr>
          <w:trHeight w:val="529" w:hRule="auto"/>
          <w:tblHeader/>
        </w:trPr>
        header1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Adecuación del control prenatal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%</w:t>
            </w:r>
          </w:p>
        </w:tc>
      </w:tr>
      <w:tr>
        <w:trPr>
          <w:trHeight w:val="536" w:hRule="auto"/>
        </w:trPr>
        body1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&lt;8 controles (subóptimo)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70.9</w:t>
            </w:r>
          </w:p>
        </w:tc>
      </w:tr>
      <w:tr>
        <w:trPr>
          <w:trHeight w:val="53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≥8 controles (adecuado)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29.1</w:t>
            </w:r>
          </w:p>
        </w:tc>
      </w:tr>
      <w:tr>
        <w:trPr>
          <w:trHeight w:val="498" w:hRule="auto"/>
        </w:trPr>
        body3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Sin dato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</w:t>
            </w:r>
          </w:p>
        </w:tc>
      </w:tr>
    </w:tbl>
    <w:p>
      <w:pPr>
        <w:pStyle w:val="BodyText"/>
      </w:pPr>
      <w:r>
        <w:t xml:space="preserve">El 70.9%</w:t>
      </w:r>
      <w:r>
        <w:t xml:space="preserve"> </w:t>
      </w:r>
      <w:r>
        <w:t xml:space="preserve">de las gestantes tuvo un control prenatal subóptimo (&lt;8 consultas).</w:t>
      </w:r>
    </w:p>
    <w:bookmarkEnd w:id="41"/>
    <w:bookmarkStart w:id="48" w:name="X678e6cf46ae6f4f66869825d44e44c92d8d996b"/>
    <w:p>
      <w:pPr>
        <w:pStyle w:val="Heading2"/>
      </w:pPr>
      <w:r>
        <w:t xml:space="preserve">Modelo bayesiano: tendencia temporal y origen materno</w:t>
      </w:r>
    </w:p>
    <w:p>
      <w:pPr>
        <w:pStyle w:val="FirstParagraph"/>
      </w:pPr>
      <w:r>
        <w:t xml:space="preserve">El modelo primario alcanzó una convergencia adecuada: R̂ máximo</w:t>
      </w:r>
      <w:r>
        <w:t xml:space="preserve"> </w:t>
      </w:r>
      <w:r>
        <w:t xml:space="preserve">1.0007, ESS bulk</w:t>
      </w:r>
      <w:r>
        <w:t xml:space="preserve"> </w:t>
      </w:r>
      <w:r>
        <w:t xml:space="preserve">mínimo 3137, ESS tail mínimo</w:t>
      </w:r>
      <w:r>
        <w:t xml:space="preserve"> </w:t>
      </w:r>
      <w:r>
        <w:t xml:space="preserve">3767, 0</w:t>
      </w:r>
      <w:r>
        <w:t xml:space="preserve"> </w:t>
      </w:r>
      <w:r>
        <w:t xml:space="preserve">transiciones divergentes y E-BFMI mínimo</w:t>
      </w:r>
      <w:r>
        <w:t xml:space="preserve"> </w:t>
      </w:r>
      <w:r>
        <w:t xml:space="preserve">0.99; todos los</w:t>
      </w:r>
      <w:r>
        <w:t xml:space="preserve"> </w:t>
      </w:r>
      <w:r>
        <w:t xml:space="preserve">parámetros cumplieron los criterios de aceptación preespecificados.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Modelo bayesiano primario: razones de tasas de incidencia (IRR) posteriores, 32 estratos año x origen materno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48"/>
        <w:gridCol w:w="2339"/>
        <w:gridCol w:w="1128"/>
        <w:gridCol w:w="1068"/>
        <w:gridCol w:w="1068"/>
      </w:tblGrid>
      <w:tr>
        <w:trPr>
          <w:trHeight w:val="537" w:hRule="auto"/>
          <w:tblHeader/>
        </w:trPr>
        header1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Parámetro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IRR posterior (mediana)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ICr95%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P(IRR&gt;1)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P(IRR&lt;1)</w:t>
            </w:r>
          </w:p>
        </w:tc>
      </w:tr>
      <w:tr>
        <w:trPr>
          <w:trHeight w:val="498" w:hRule="auto"/>
        </w:trPr>
        body1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Tendencia anual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1.01-1.07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99.65%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0.35%</w:t>
            </w:r>
          </w:p>
        </w:tc>
      </w:tr>
      <w:tr>
        <w:trPr>
          <w:trHeight w:val="52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Interacción origen ×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0.96-1.15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83.06%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16.94%</w:t>
            </w:r>
          </w:p>
        </w:tc>
      </w:tr>
      <w:tr>
        <w:trPr>
          <w:trHeight w:val="538" w:hRule="auto"/>
        </w:trPr>
        body3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Origen materno (extranjera vs. nacional)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2.30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1.48-3.39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99.99%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0.01%</w:t>
            </w:r>
          </w:p>
        </w:tc>
      </w:tr>
    </w:tbl>
    <w:p>
      <w:pPr>
        <w:pStyle w:val="BodyText"/>
      </w:pPr>
      <w:r>
        <w:t xml:space="preserve">La incidencia de sífilis congénita fue marcadamente mayor en hijos de</w:t>
      </w:r>
      <w:r>
        <w:t xml:space="preserve"> </w:t>
      </w:r>
      <w:r>
        <w:t xml:space="preserve">madres extranjeras que de madres nacionales (IRR</w:t>
      </w:r>
      <w:r>
        <w:t xml:space="preserve"> </w:t>
      </w:r>
      <w:r>
        <w:t xml:space="preserve">2.30; ICr95%</w:t>
      </w:r>
      <w:r>
        <w:t xml:space="preserve"> </w:t>
      </w:r>
      <w:r>
        <w:t xml:space="preserve">1.48-3.39;</w:t>
      </w:r>
      <w:r>
        <w:t xml:space="preserve"> </w:t>
      </w:r>
      <w:r>
        <w:t xml:space="preserve">P(IRR&gt;1) = 99.99%). Se observó además una</w:t>
      </w:r>
      <w:r>
        <w:t xml:space="preserve"> </w:t>
      </w:r>
      <w:r>
        <w:t xml:space="preserve">tendencia anual creciente de la incidencia global (IRR</w:t>
      </w:r>
      <w:r>
        <w:t xml:space="preserve"> </w:t>
      </w:r>
      <w:r>
        <w:t xml:space="preserve">1.04 por año; ICr95%</w:t>
      </w:r>
      <w:r>
        <w:t xml:space="preserve"> </w:t>
      </w:r>
      <w:r>
        <w:t xml:space="preserve">1.01-1.07;</w:t>
      </w:r>
      <w:r>
        <w:t xml:space="preserve"> </w:t>
      </w:r>
      <w:r>
        <w:t xml:space="preserve">P(IRR&gt;1) = 99.65%). La interacción origen × año</w:t>
      </w:r>
      <w:r>
        <w:t xml:space="preserve"> </w:t>
      </w:r>
      <w:r>
        <w:t xml:space="preserve">no mostró evidencia concluyente de una diferencia en la pendiente</w:t>
      </w:r>
      <w:r>
        <w:t xml:space="preserve"> </w:t>
      </w:r>
      <w:r>
        <w:t xml:space="preserve">temporal entre ambos grupos (IRR 1.05;</w:t>
      </w:r>
      <w:r>
        <w:t xml:space="preserve"> </w:t>
      </w:r>
      <w:r>
        <w:t xml:space="preserve">ICr95% 0.96-1.15,</w:t>
      </w:r>
      <w:r>
        <w:t xml:space="preserve"> </w:t>
      </w:r>
      <w:r>
        <w:t xml:space="preserve">intervalo que cruza 1; P(IRR&gt;1) = 83.06%).</w:t>
      </w:r>
    </w:p>
    <w:p>
      <w:pPr>
        <w:pStyle w:val="CaptionedFigure"/>
      </w:pPr>
      <w:r>
        <w:drawing>
          <wp:inline>
            <wp:extent cx="4800600" cy="3086100"/>
            <wp:effectExtent b="0" l="0" r="0" t="0"/>
            <wp:docPr descr="Figura 4. Comprobación predictiva posterior (densidad), modelo primario." title="" id="43" name="Picture"/>
            <a:graphic>
              <a:graphicData uri="http://schemas.openxmlformats.org/drawingml/2006/picture">
                <pic:pic>
                  <pic:nvPicPr>
                    <pic:cNvPr descr="/home/debian/Proyectos/Neonatologia/sifilis_congenita/informe/informe_sifilis_congenita_files/figures/bayes/ppc_densidad_primario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4. Comprobación predictiva posterior (densidad), modelo primario.</w:t>
      </w:r>
    </w:p>
    <w:p>
      <w:pPr>
        <w:pStyle w:val="CaptionedFigure"/>
      </w:pPr>
      <w:r>
        <w:drawing>
          <wp:inline>
            <wp:extent cx="4800600" cy="3086100"/>
            <wp:effectExtent b="0" l="0" r="0" t="0"/>
            <wp:docPr descr="Figura 5. Comprobación predictiva posterior de la varianza de los conteos, modelo primario." title="" id="46" name="Picture"/>
            <a:graphic>
              <a:graphicData uri="http://schemas.openxmlformats.org/drawingml/2006/picture">
                <pic:pic>
                  <pic:nvPicPr>
                    <pic:cNvPr descr="/home/debian/Proyectos/Neonatologia/sifilis_congenita/informe/informe_sifilis_congenita_files/figures/bayes/ppc_varianza_primario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5. Comprobación predictiva posterior de la varianza de los conteos, modelo primario.</w:t>
      </w:r>
    </w:p>
    <w:p>
      <w:pPr>
        <w:pStyle w:val="BodyText"/>
      </w:pPr>
      <w:r>
        <w:t xml:space="preserve">La comprobación predictiva posterior global no mostró evidencia de una</w:t>
      </w:r>
      <w:r>
        <w:t xml:space="preserve"> </w:t>
      </w:r>
      <w:r>
        <w:t xml:space="preserve">discrepancia sistemática entre los datos observados y los replicados por</w:t>
      </w:r>
      <w:r>
        <w:t xml:space="preserve"> </w:t>
      </w:r>
      <w:r>
        <w:t xml:space="preserve">el modelo (P(var(y_rep) ≥ var(y_obs)) =</w:t>
      </w:r>
      <w:r>
        <w:t xml:space="preserve"> </w:t>
      </w:r>
      <w:r>
        <w:t xml:space="preserve">0.28,</w:t>
      </w:r>
      <w:r>
        <w:t xml:space="preserve"> </w:t>
      </w:r>
      <w:r>
        <w:t xml:space="preserve">sin indicios de sub- o sobre-dispersión no capturada). El estrato</w:t>
      </w:r>
      <w:r>
        <w:t xml:space="preserve"> </w:t>
      </w:r>
      <w:r>
        <w:t xml:space="preserve">influyente identificado en el diagnóstico previo (2021-nacional, 24</w:t>
      </w:r>
      <w:r>
        <w:t xml:space="preserve"> </w:t>
      </w:r>
      <w:r>
        <w:t xml:space="preserve">casos) sí fue, sin embargo, un valor extremo para el modelo primario: la</w:t>
      </w:r>
      <w:r>
        <w:t xml:space="preserve"> </w:t>
      </w:r>
      <w:r>
        <w:t xml:space="preserve">probabilidad posterior predictiva de observar un valor igual o mayor a</w:t>
      </w:r>
      <w:r>
        <w:t xml:space="preserve"> </w:t>
      </w:r>
      <w:r>
        <w:t xml:space="preserve">24 en ese estrato fue de solo</w:t>
      </w:r>
      <w:r>
        <w:t xml:space="preserve"> </w:t>
      </w:r>
      <w:r>
        <w:t xml:space="preserve">2.5e-04.</w:t>
      </w:r>
      <w:r>
        <w:t xml:space="preserve"> </w:t>
      </w:r>
      <w:r>
        <w:t xml:space="preserve">Esto es consistente con el diagnóstico frecuentista previo (evidencia de</w:t>
      </w:r>
      <w:r>
        <w:t xml:space="preserve"> </w:t>
      </w:r>
      <w:r>
        <w:t xml:space="preserve">no linealidad, distancia de Cook elevada) y constituye una limitación</w:t>
      </w:r>
      <w:r>
        <w:t xml:space="preserve"> </w:t>
      </w:r>
      <w:r>
        <w:t xml:space="preserve">del modelo primario lineal: el pico de 2021 está sub-representado por</w:t>
      </w:r>
      <w:r>
        <w:t xml:space="preserve"> </w:t>
      </w:r>
      <w:r>
        <w:t xml:space="preserve">una tendencia estrictamente lineal, aunque —según la especificación</w:t>
      </w:r>
      <w:r>
        <w:t xml:space="preserve"> </w:t>
      </w:r>
      <w:r>
        <w:t xml:space="preserve">aprobada por el investigador— no se modificó la forma funcional del</w:t>
      </w:r>
      <w:r>
        <w:t xml:space="preserve"> </w:t>
      </w:r>
      <w:r>
        <w:t xml:space="preserve">modelo confirmatorio.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Análisis de sensibilidad de priors: IRR posteriores bajo priors estrechos, aprobados y amplios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05"/>
        <w:gridCol w:w="2332"/>
        <w:gridCol w:w="1530"/>
        <w:gridCol w:w="1128"/>
      </w:tblGrid>
      <w:tr>
        <w:trPr>
          <w:trHeight w:val="536" w:hRule="auto"/>
          <w:tblHeader/>
        </w:trPr>
        header1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Parámetro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IRR (mediana)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ICr95%</w:t>
            </w:r>
          </w:p>
        </w:tc>
      </w:tr>
      <w:tr>
        <w:trPr>
          <w:trHeight w:val="536" w:hRule="auto"/>
        </w:trPr>
        body1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Priors amplios (DE x 2)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Interacción origen × año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0.95-1.15</w:t>
            </w:r>
          </w:p>
        </w:tc>
      </w:tr>
      <w:tr>
        <w:trPr>
          <w:trHeight w:val="53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Priors aprobados (primario)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Interacción origen ×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0.96-1.15</w:t>
            </w:r>
          </w:p>
        </w:tc>
      </w:tr>
      <w:tr>
        <w:trPr>
          <w:trHeight w:val="53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Priors estrechos (DE x 0,5)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Interacción origen ×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0.96-1.16</w:t>
            </w:r>
          </w:p>
        </w:tc>
      </w:tr>
      <w:tr>
        <w:trPr>
          <w:trHeight w:val="53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Priors amplios (DE x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Origen materno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1.51-3.54</w:t>
            </w:r>
          </w:p>
        </w:tc>
      </w:tr>
      <w:tr>
        <w:trPr>
          <w:trHeight w:val="53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Priors aprobados (primario)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Origen materno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1.48-3.39</w:t>
            </w:r>
          </w:p>
        </w:tc>
      </w:tr>
      <w:tr>
        <w:trPr>
          <w:trHeight w:val="53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Priors estrechos (DE x 0,5)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Origen materno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1.38-3.02</w:t>
            </w:r>
          </w:p>
        </w:tc>
      </w:tr>
      <w:tr>
        <w:trPr>
          <w:trHeight w:val="536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Priors amplios (DE x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Tendencia 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1.01-1.07</w:t>
            </w:r>
          </w:p>
        </w:tc>
      </w:tr>
      <w:tr>
        <w:trPr>
          <w:trHeight w:val="536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Priors aprobados (primario)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Tendencia 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1.01-1.07</w:t>
            </w:r>
          </w:p>
        </w:tc>
      </w:tr>
      <w:tr>
        <w:trPr>
          <w:trHeight w:val="531" w:hRule="auto"/>
        </w:trPr>
        body9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Priors estrechos (DE x 0,5)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Tendencia anual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1.01-1.07</w:t>
            </w:r>
          </w:p>
        </w:tc>
      </w:tr>
    </w:tbl>
    <w:p>
      <w:pPr>
        <w:pStyle w:val="BodyText"/>
      </w:pPr>
      <w:r>
        <w:t xml:space="preserve">Las estimaciones fueron estables frente a la elección de priors: el IRR</w:t>
      </w:r>
      <w:r>
        <w:t xml:space="preserve"> </w:t>
      </w:r>
      <w:r>
        <w:t xml:space="preserve">de origen materno varió entre</w:t>
      </w:r>
      <w:r>
        <w:t xml:space="preserve"> </w:t>
      </w:r>
      <w:r>
        <w:t xml:space="preserve">2.08</w:t>
      </w:r>
      <w:r>
        <w:t xml:space="preserve"> </w:t>
      </w:r>
      <w:r>
        <w:t xml:space="preserve">y</w:t>
      </w:r>
      <w:r>
        <w:t xml:space="preserve"> </w:t>
      </w:r>
      <w:r>
        <w:t xml:space="preserve">2.40</w:t>
      </w:r>
      <w:r>
        <w:t xml:space="preserve"> </w:t>
      </w:r>
      <w:r>
        <w:t xml:space="preserve">según el ancho de prior utilizado, sin cambios en la dirección ni en la</w:t>
      </w:r>
      <w:r>
        <w:t xml:space="preserve"> </w:t>
      </w:r>
      <w:r>
        <w:t xml:space="preserve">significancia práctica de ninguna de las tres estimaciones.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Modelo de Poisson frecuentista equivalente (sensibilidad/comparación, no criterio principal de interpretación)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48"/>
        <w:gridCol w:w="1649"/>
        <w:gridCol w:w="955"/>
      </w:tblGrid>
      <w:tr>
        <w:trPr>
          <w:trHeight w:val="536" w:hRule="auto"/>
          <w:tblHeader/>
        </w:trPr>
        header1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Parámetro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IRR (IC95%)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Valor p</w:t>
            </w:r>
          </w:p>
        </w:tc>
      </w:tr>
      <w:tr>
        <w:trPr>
          <w:trHeight w:val="538" w:hRule="auto"/>
        </w:trPr>
        body1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Origen materno (extranjera vs. nacional)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2.48 (1.60-3.66)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3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Tendencia anual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 (1.01-1.07)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0.008</w:t>
            </w:r>
          </w:p>
        </w:tc>
      </w:tr>
      <w:tr>
        <w:trPr>
          <w:trHeight w:val="531" w:hRule="auto"/>
        </w:trPr>
        body3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Interacción origen × año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 (0.95-1.14)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0.439</w:t>
            </w:r>
          </w:p>
        </w:tc>
      </w:tr>
    </w:tbl>
    <w:p>
      <w:pPr>
        <w:pStyle w:val="BodyText"/>
      </w:pPr>
      <w:r>
        <w:t xml:space="preserve">El modelo de Poisson frecuentista equivalente arrojó estimaciones</w:t>
      </w:r>
      <w:r>
        <w:t xml:space="preserve"> </w:t>
      </w:r>
      <w:r>
        <w:t xml:space="preserve">puntuales prácticamente idénticas a las del modelo bayesiano primario,</w:t>
      </w:r>
      <w:r>
        <w:t xml:space="preserve"> </w:t>
      </w:r>
      <w:r>
        <w:t xml:space="preserve">lo que refuerza la robustez de los hallazgos frente a la elección de</w:t>
      </w:r>
      <w:r>
        <w:t xml:space="preserve"> </w:t>
      </w:r>
      <w:r>
        <w:t xml:space="preserve">marco de inferencia.</w:t>
      </w:r>
    </w:p>
    <w:bookmarkEnd w:id="48"/>
    <w:bookmarkStart w:id="49" w:name="Xfe145edab9fd39a848bd7289a66be6b195e3e00"/>
    <w:p>
      <w:pPr>
        <w:pStyle w:val="Heading2"/>
      </w:pPr>
      <w:r>
        <w:t xml:space="preserve">Desenlaces secundarios según origen materno (comparación entre casos)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Frecuencia de desenlaces secundarios segun origen materno, entre los 255 casos de sifilis congenita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86"/>
        <w:gridCol w:w="1192"/>
        <w:gridCol w:w="661"/>
        <w:gridCol w:w="1014"/>
        <w:gridCol w:w="712"/>
      </w:tblGrid>
      <w:tr>
        <w:trPr>
          <w:trHeight w:val="532" w:hRule="auto"/>
          <w:tblHeader/>
        </w:trPr>
        header 1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Desenlace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Origen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Eventos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%</w:t>
            </w:r>
          </w:p>
        </w:tc>
      </w:tr>
      <w:tr>
        <w:trPr>
          <w:trHeight w:val="536" w:hRule="auto"/>
        </w:trPr>
        body 1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CPN subóptimo (&lt;8)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69.3</w:t>
            </w:r>
          </w:p>
        </w:tc>
      </w:tr>
      <w:tr>
        <w:trPr>
          <w:trHeight w:val="53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CPN subóptimo (&lt;8)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80.6</w:t>
            </w:r>
          </w:p>
        </w:tc>
      </w:tr>
      <w:tr>
        <w:trPr>
          <w:trHeight w:val="4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Prematuridad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12.8</w:t>
            </w:r>
          </w:p>
        </w:tc>
      </w:tr>
      <w:tr>
        <w:trPr>
          <w:trHeight w:val="52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Prematuridad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11.1</w:t>
            </w:r>
          </w:p>
        </w:tc>
      </w:tr>
      <w:tr>
        <w:trPr>
          <w:trHeight w:val="4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21.5</w:t>
            </w:r>
          </w:p>
        </w:tc>
      </w:tr>
      <w:tr>
        <w:trPr>
          <w:trHeight w:val="52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19.4</w:t>
            </w:r>
          </w:p>
        </w:tc>
      </w:tr>
      <w:tr>
        <w:trPr>
          <w:trHeight w:val="4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Fallece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</w:t>
            </w:r>
          </w:p>
        </w:tc>
      </w:tr>
      <w:tr>
        <w:trPr>
          <w:trHeight w:val="52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Fallece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52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Defecto congenito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9.1</w:t>
            </w:r>
          </w:p>
        </w:tc>
      </w:tr>
      <w:tr>
        <w:trPr>
          <w:trHeight w:val="52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Defecto congenito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2.8</w:t>
            </w:r>
          </w:p>
        </w:tc>
      </w:tr>
      <w:tr>
        <w:trPr>
          <w:trHeight w:val="52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Preeclampsia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10.1</w:t>
            </w:r>
          </w:p>
        </w:tc>
      </w:tr>
      <w:tr>
        <w:trPr>
          <w:trHeight w:val="529" w:hRule="auto"/>
        </w:trPr>
        body12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Preeclampsia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Extranjera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5.6</w:t>
            </w:r>
          </w:p>
        </w:tc>
      </w:tr>
    </w:tbl>
    <w:p>
      <w:pPr>
        <w:pStyle w:val="FirstParagraph"/>
      </w:pPr>
      <w:r>
        <w:t xml:space="preserve">Prematuridad, mortalidad, defecto congénito y preeclampsia no se</w:t>
      </w:r>
      <w:r>
        <w:t xml:space="preserve"> </w:t>
      </w:r>
      <w:r>
        <w:t xml:space="preserve">modelaron por número insuficiente de eventos en el brazo de madres</w:t>
      </w:r>
      <w:r>
        <w:t xml:space="preserve"> </w:t>
      </w:r>
      <w:r>
        <w:t xml:space="preserve">extranjeras (Tabla 7; p. ej., 0/36 fallecidos y 1/36 defectos congénitos</w:t>
      </w:r>
      <w:r>
        <w:t xml:space="preserve"> </w:t>
      </w:r>
      <w:r>
        <w:t xml:space="preserve">en ese grupo). Control prenatal subóptimo y PEG sí contaron con eventos</w:t>
      </w:r>
      <w:r>
        <w:t xml:space="preserve"> </w:t>
      </w:r>
      <w:r>
        <w:t xml:space="preserve">suficientes para un modelo bayesiano exploratorio: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8. Modelos secundarios bayesianos (Bernoulli-logit): origen materno extranjero vs. nacional, entre casos de sifilis congenita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92"/>
        <w:gridCol w:w="1500"/>
        <w:gridCol w:w="1128"/>
        <w:gridCol w:w="1037"/>
      </w:tblGrid>
      <w:tr>
        <w:trPr>
          <w:trHeight w:val="536" w:hRule="auto"/>
          <w:tblHeader/>
        </w:trPr>
        header1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Desenlace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OR (mediana)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ICr95%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P(OR&gt;1)</w:t>
            </w:r>
          </w:p>
        </w:tc>
      </w:tr>
      <w:tr>
        <w:trPr>
          <w:trHeight w:val="536" w:hRule="auto"/>
        </w:trPr>
        body1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Control prenatal subóptimo (&lt;8 consultas)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0.82-3.91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91.60%</w:t>
            </w:r>
          </w:p>
        </w:tc>
      </w:tr>
      <w:tr>
        <w:trPr>
          <w:trHeight w:val="538" w:hRule="auto"/>
        </w:trPr>
        body2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Pequeño para la edad gestacional (PEG)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0.38-1.91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37.67%</w:t>
            </w:r>
          </w:p>
        </w:tc>
      </w:tr>
    </w:tbl>
    <w:p>
      <w:pPr>
        <w:pStyle w:val="BodyText"/>
      </w:pPr>
      <w:r>
        <w:t xml:space="preserve">Ninguna de las dos comparaciones entre casos fue concluyente: el control</w:t>
      </w:r>
      <w:r>
        <w:t xml:space="preserve"> </w:t>
      </w:r>
      <w:r>
        <w:t xml:space="preserve">prenatal subóptimo fue numéricamente más frecuente entre madres</w:t>
      </w:r>
      <w:r>
        <w:t xml:space="preserve"> </w:t>
      </w:r>
      <w:r>
        <w:t xml:space="preserve">extranjeras (OR</w:t>
      </w:r>
      <w:r>
        <w:t xml:space="preserve"> </w:t>
      </w:r>
      <w:r>
        <w:t xml:space="preserve">1.70),</w:t>
      </w:r>
      <w:r>
        <w:t xml:space="preserve"> </w:t>
      </w:r>
      <w:r>
        <w:t xml:space="preserve">pero el ICr95% incluyó 1</w:t>
      </w:r>
      <w:r>
        <w:t xml:space="preserve"> </w:t>
      </w:r>
      <w:r>
        <w:t xml:space="preserve">(0.82-3.91);</w:t>
      </w:r>
      <w:r>
        <w:t xml:space="preserve"> </w:t>
      </w:r>
      <w:r>
        <w:t xml:space="preserve">la proporción de PEG no difirió de forma relevante entre grupos (OR</w:t>
      </w:r>
      <w:r>
        <w:t xml:space="preserve"> </w:t>
      </w:r>
      <w:r>
        <w:t xml:space="preserve">0.88;</w:t>
      </w:r>
      <w:r>
        <w:t xml:space="preserve"> </w:t>
      </w:r>
      <w:r>
        <w:t xml:space="preserve">ICr95%</w:t>
      </w:r>
      <w:r>
        <w:t xml:space="preserve"> </w:t>
      </w:r>
      <w:r>
        <w:t xml:space="preserve">0.38-1.91).</w:t>
      </w:r>
      <w:r>
        <w:t xml:space="preserve"> </w:t>
      </w:r>
      <w:r>
        <w:t xml:space="preserve">Estos resultados deben interpretarse con cautela por el bajo número de</w:t>
      </w:r>
      <w:r>
        <w:t xml:space="preserve"> </w:t>
      </w:r>
      <w:r>
        <w:t xml:space="preserve">casos en el brazo de madres extranjeras (n = 36).</w:t>
      </w:r>
    </w:p>
    <w:bookmarkEnd w:id="49"/>
    <w:bookmarkEnd w:id="50"/>
    <w:bookmarkStart w:id="51" w:name="conclusiones-preliminares"/>
    <w:p>
      <w:pPr>
        <w:pStyle w:val="Heading1"/>
      </w:pPr>
      <w:r>
        <w:t xml:space="preserve">Conclusiones preliminares</w:t>
      </w:r>
    </w:p>
    <w:p>
      <w:pPr>
        <w:pStyle w:val="FirstParagraph"/>
      </w:pPr>
      <w:r>
        <w:t xml:space="preserve">La sífilis congénita mostró un incremento temporal importante entre 2018 y</w:t>
      </w:r>
      <w:r>
        <w:t xml:space="preserve"> </w:t>
      </w:r>
      <w:r>
        <w:t xml:space="preserve">2021, con pico en 2021 y descenso posterior. Este patrón se acompañó de una</w:t>
      </w:r>
      <w:r>
        <w:t xml:space="preserve"> </w:t>
      </w:r>
      <w:r>
        <w:t xml:space="preserve">alta frecuencia de control prenatal subóptimo y de cambios en la composición</w:t>
      </w:r>
      <w:r>
        <w:t xml:space="preserve"> </w:t>
      </w:r>
      <w:r>
        <w:t xml:space="preserve">por nacionalidad materna, con una proporción creciente de casos en madres</w:t>
      </w:r>
      <w:r>
        <w:t xml:space="preserve"> </w:t>
      </w:r>
      <w:r>
        <w:t xml:space="preserve">extranjeras.</w:t>
      </w:r>
    </w:p>
    <w:p>
      <w:pPr>
        <w:pStyle w:val="BodyText"/>
      </w:pPr>
      <w:r>
        <w:t xml:space="preserve">El modelo bayesiano confirmatorio corrobora estos hallazgos con un marco</w:t>
      </w:r>
      <w:r>
        <w:t xml:space="preserve"> </w:t>
      </w:r>
      <w:r>
        <w:t xml:space="preserve">probabilístico: el origen materno extranjero se asoció con una incidencia</w:t>
      </w:r>
      <w:r>
        <w:t xml:space="preserve"> </w:t>
      </w:r>
      <w:r>
        <w:t xml:space="preserve">de sífilis congénita más de dos veces mayor que el origen nacional (IRR</w:t>
      </w:r>
      <w:r>
        <w:t xml:space="preserve"> </w:t>
      </w:r>
      <w:r>
        <w:t xml:space="preserve">2.30; ICr95%</w:t>
      </w:r>
      <w:r>
        <w:t xml:space="preserve"> </w:t>
      </w:r>
      <w:r>
        <w:t xml:space="preserve">1.48-3.39), y se</w:t>
      </w:r>
      <w:r>
        <w:t xml:space="preserve"> </w:t>
      </w:r>
      <w:r>
        <w:t xml:space="preserve">confirmó una tendencia anual creciente en la incidencia global, estable</w:t>
      </w:r>
      <w:r>
        <w:t xml:space="preserve"> </w:t>
      </w:r>
      <w:r>
        <w:t xml:space="preserve">frente al análisis de sensibilidad de priors y consistente con el modelo</w:t>
      </w:r>
      <w:r>
        <w:t xml:space="preserve"> </w:t>
      </w:r>
      <w:r>
        <w:t xml:space="preserve">frecuentista equivalente. No hay evidencia concluyente de que la</w:t>
      </w:r>
      <w:r>
        <w:t xml:space="preserve"> </w:t>
      </w:r>
      <w:r>
        <w:t xml:space="preserve">tendencia temporal difiera entre madres nacionales y extranjeras, ni de</w:t>
      </w:r>
      <w:r>
        <w:t xml:space="preserve"> </w:t>
      </w:r>
      <w:r>
        <w:t xml:space="preserve">diferencias entre casos en control prenatal subóptimo o en la proporción</w:t>
      </w:r>
      <w:r>
        <w:t xml:space="preserve"> </w:t>
      </w:r>
      <w:r>
        <w:t xml:space="preserve">de recién nacidos PEG según origen materno; estas últimas comparaciones</w:t>
      </w:r>
      <w:r>
        <w:t xml:space="preserve"> </w:t>
      </w:r>
      <w:r>
        <w:t xml:space="preserve">tienen poder limitado por el bajo número de casos en madres extranjeras.</w:t>
      </w:r>
      <w:r>
        <w:t xml:space="preserve"> </w:t>
      </w:r>
      <w:r>
        <w:t xml:space="preserve">El modelo primario, pese a su buen ajuste global, no captura plenamente</w:t>
      </w:r>
      <w:r>
        <w:t xml:space="preserve"> </w:t>
      </w:r>
      <w:r>
        <w:t xml:space="preserve">el pico observado en 2021 (estrato identificado como influyente en el</w:t>
      </w:r>
      <w:r>
        <w:t xml:space="preserve"> </w:t>
      </w:r>
      <w:r>
        <w:t xml:space="preserve">diagnóstico previo), lo cual debe considerarse al interpretar la</w:t>
      </w:r>
      <w:r>
        <w:t xml:space="preserve"> </w:t>
      </w:r>
      <w:r>
        <w:t xml:space="preserve">magnitud exacta de la tendencia temporal.</w:t>
      </w:r>
    </w:p>
    <w:p>
      <w:pPr>
        <w:pStyle w:val="BodyText"/>
      </w:pPr>
      <w:r>
        <w:t xml:space="preserve">Estos hallazgos son preliminares y están sujetos a la interpretación</w:t>
      </w:r>
      <w:r>
        <w:t xml:space="preserve"> </w:t>
      </w:r>
      <w:r>
        <w:t xml:space="preserve">clínica del investigador principal.</w:t>
      </w:r>
    </w:p>
    <w:p>
      <w:r>
        <w:br w:type="page"/>
      </w:r>
    </w:p>
    <w:bookmarkEnd w:id="51"/>
    <w:bookmarkStart w:id="52" w:name="anexo.-tabla-completa-de-tasas-anuales"/>
    <w:p>
      <w:pPr>
        <w:pStyle w:val="Heading1"/>
      </w:pPr>
      <w:r>
        <w:t xml:space="preserve">Anexo. Tabla completa de tasas anuales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A1. Tasa anual de sífilis congénita por 1000 nacidos vivos, con IC95% exacto de Poisson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63"/>
        <w:gridCol w:w="829"/>
        <w:gridCol w:w="1486"/>
        <w:gridCol w:w="1954"/>
      </w:tblGrid>
      <w:tr>
        <w:trPr>
          <w:trHeight w:val="536" w:hRule="auto"/>
          <w:tblHeader/>
        </w:trPr>
        header 1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Año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Casos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Nacidos vivos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Tasa x1000 (IC95%)</w:t>
            </w:r>
          </w:p>
        </w:tc>
      </w:tr>
      <w:tr>
        <w:trPr>
          <w:trHeight w:val="531" w:hRule="auto"/>
        </w:trPr>
        body 1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11.472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2.00 (1.27-3.01)</w:t>
            </w:r>
          </w:p>
        </w:tc>
      </w:tr>
      <w:tr>
        <w:trPr>
          <w:trHeight w:val="53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2.32 (1.53-3.38)</w:t>
            </w:r>
          </w:p>
        </w:tc>
      </w:tr>
      <w:tr>
        <w:trPr>
          <w:trHeight w:val="53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 (0.63-2.01)</w:t>
            </w:r>
          </w:p>
        </w:tc>
      </w:tr>
      <w:tr>
        <w:trPr>
          <w:trHeight w:val="53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9.742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2.57 (1.66-3.79)</w:t>
            </w:r>
          </w:p>
        </w:tc>
      </w:tr>
      <w:tr>
        <w:trPr>
          <w:trHeight w:val="53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9.980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1.10 (0.55-1.97)</w:t>
            </w:r>
          </w:p>
        </w:tc>
      </w:tr>
      <w:tr>
        <w:trPr>
          <w:trHeight w:val="53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8.923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1.79 (1.02-2.91)</w:t>
            </w:r>
          </w:p>
        </w:tc>
      </w:tr>
      <w:tr>
        <w:trPr>
          <w:trHeight w:val="53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7.699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1.43 (0.71-2.56)</w:t>
            </w:r>
          </w:p>
        </w:tc>
      </w:tr>
      <w:tr>
        <w:trPr>
          <w:trHeight w:val="53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6.008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1.83 (0.91-3.28)</w:t>
            </w:r>
          </w:p>
        </w:tc>
      </w:tr>
      <w:tr>
        <w:trPr>
          <w:trHeight w:val="53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5.683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1.94 (0.97-3.46)</w:t>
            </w:r>
          </w:p>
        </w:tc>
      </w:tr>
      <w:tr>
        <w:trPr>
          <w:trHeight w:val="53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5.131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2.73 (1.49-4.58)</w:t>
            </w:r>
          </w:p>
        </w:tc>
      </w:tr>
      <w:tr>
        <w:trPr>
          <w:trHeight w:val="53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4.212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4.75 (2.90-7.33)</w:t>
            </w:r>
          </w:p>
        </w:tc>
      </w:tr>
      <w:tr>
        <w:trPr>
          <w:trHeight w:val="53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5.236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3.06 (1.75-4.96)</w:t>
            </w:r>
          </w:p>
        </w:tc>
      </w:tr>
      <w:tr>
        <w:trPr>
          <w:trHeight w:val="53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4.218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6.64 (4.41-9.59)</w:t>
            </w:r>
          </w:p>
        </w:tc>
      </w:tr>
      <w:tr>
        <w:trPr>
          <w:trHeight w:val="53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4.305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3.25 (1.78-5.46)</w:t>
            </w:r>
          </w:p>
        </w:tc>
      </w:tr>
      <w:tr>
        <w:trPr>
          <w:trHeight w:val="53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4.108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2.68 (1.34-4.79)</w:t>
            </w:r>
          </w:p>
        </w:tc>
      </w:tr>
      <w:tr>
        <w:trPr>
          <w:trHeight w:val="531" w:hRule="auto"/>
        </w:trPr>
        body16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2.358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1.70 (0.46-4.34)</w:t>
            </w:r>
          </w:p>
        </w:tc>
      </w:tr>
    </w:tbl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Tendencia temporal de la sífilis congénita y cambios en la nacionalidad materna en un hospital de referencia de Ecuador, 2009–2024</dc:title>
  <dc:creator/>
  <cp:keywords/>
  <dcterms:created xsi:type="dcterms:W3CDTF">2026-08-10T21:35:15Z</dcterms:created>
  <dcterms:modified xsi:type="dcterms:W3CDTF">2026-08-10T21:35:15Z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 de agosto de 2026</vt:lpwstr>
  </property>
  <property fmtid="{D5CDD505-2E9C-101B-9397-08002B2CF9AE}" pid="3" name="output">
    <vt:lpwstr/>
  </property>
  <property fmtid="{D5CDD505-2E9C-101B-9397-08002B2CF9AE}" pid="4" name="subtitle">
    <vt:lpwstr>Metodología, tablas y figuras</vt:lpwstr>
  </property>
</Properties>
</file>