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2"/>
          <w:szCs w:val="22"/>
        </w:rPr>
        <w:t xml:space="preserve">TABLE 3</w:t>
      </w:r>
    </w:p>
    <w:p>
      <w:pPr>
        <w:spacing w:after="200"/>
      </w:pPr>
      <w:r>
        <w:rPr>
          <w:i/>
          <w:iCs/>
          <w:sz w:val="20"/>
          <w:szCs w:val="20"/>
        </w:rPr>
        <w:t xml:space="preserve">Associations between recorded gestational violence and neonatal outcomes across statistical methods, adjusted for baseline sociodemographic and obstetric covariates</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100"/>
        <w:gridCol w:w="2600"/>
        <w:gridCol w:w="2600"/>
        <w:gridCol w:w="2600"/>
      </w:tblGrid>
      <w:tr>
        <w:trPr>
          <w:tblHeader/>
        </w:trPr>
        <w:tc>
          <w:tcPr>
            <w:tcW w:type="dxa" w:w="1900"/>
            <w:shd w:fill="D9D9D9" w:val="clear"/>
          </w:tcPr>
          <w:p>
            <w:pPr>
              <w:jc w:val="center"/>
            </w:pPr>
            <w:r>
              <w:rPr>
                <w:b/>
                <w:bCs/>
                <w:sz w:val="20"/>
                <w:szCs w:val="20"/>
              </w:rPr>
              <w:t xml:space="preserve">Outcome</w:t>
            </w:r>
          </w:p>
        </w:tc>
        <w:tc>
          <w:tcPr>
            <w:tcW w:type="dxa" w:w="1200"/>
            <w:shd w:fill="D9D9D9" w:val="clear"/>
          </w:tcPr>
          <w:p>
            <w:pPr>
              <w:jc w:val="center"/>
            </w:pPr>
            <w:r>
              <w:rPr>
                <w:b/>
                <w:bCs/>
                <w:sz w:val="20"/>
                <w:szCs w:val="20"/>
              </w:rPr>
              <w:t xml:space="preserve">Trimester</w:t>
            </w:r>
          </w:p>
        </w:tc>
        <w:tc>
          <w:tcPr>
            <w:tcW w:type="dxa" w:w="1100"/>
            <w:shd w:fill="D9D9D9" w:val="clear"/>
          </w:tcPr>
          <w:p>
            <w:pPr>
              <w:jc w:val="center"/>
            </w:pPr>
            <w:r>
              <w:rPr>
                <w:b/>
                <w:bCs/>
                <w:sz w:val="20"/>
                <w:szCs w:val="20"/>
              </w:rPr>
              <w:t xml:space="preserve">n</w:t>
            </w:r>
          </w:p>
        </w:tc>
        <w:tc>
          <w:tcPr>
            <w:tcW w:type="dxa" w:w="2600"/>
            <w:shd w:fill="D9D9D9" w:val="clear"/>
          </w:tcPr>
          <w:p>
            <w:pPr>
              <w:jc w:val="center"/>
            </w:pPr>
            <w:r>
              <w:rPr>
                <w:b/>
                <w:bCs/>
                <w:sz w:val="20"/>
                <w:szCs w:val="20"/>
              </w:rPr>
              <w:t xml:space="preserve">OR (GLM, 95% CI)</w:t>
            </w:r>
          </w:p>
        </w:tc>
        <w:tc>
          <w:tcPr>
            <w:tcW w:type="dxa" w:w="2600"/>
            <w:shd w:fill="D9D9D9" w:val="clear"/>
          </w:tcPr>
          <w:p>
            <w:pPr>
              <w:jc w:val="center"/>
            </w:pPr>
            <w:r>
              <w:rPr>
                <w:b/>
                <w:bCs/>
                <w:sz w:val="20"/>
                <w:szCs w:val="20"/>
              </w:rPr>
              <w:t xml:space="preserve">OR (Firth, 95% CI)</w:t>
            </w:r>
          </w:p>
        </w:tc>
        <w:tc>
          <w:tcPr>
            <w:tcW w:type="dxa" w:w="2600"/>
            <w:shd w:fill="D9D9D9" w:val="clear"/>
          </w:tcPr>
          <w:p>
            <w:pPr>
              <w:jc w:val="center"/>
            </w:pPr>
            <w:r>
              <w:rPr>
                <w:b/>
                <w:bCs/>
                <w:sz w:val="20"/>
                <w:szCs w:val="20"/>
              </w:rPr>
              <w:t xml:space="preserve">OR (Bayes, 95% CrI)</w:t>
            </w:r>
          </w:p>
        </w:tc>
      </w:tr>
      <w:tr>
        <w:tc>
          <w:tcPr>
            <w:tcW w:type="dxa" w:w="1900"/>
          </w:tcPr>
          <w:p>
            <w:pPr>
              <w:jc w:val="left"/>
            </w:pPr>
            <w:r>
              <w:rPr>
                <w:sz w:val="20"/>
                <w:szCs w:val="20"/>
              </w:rPr>
              <w:t xml:space="preserve">Preterm birth</w:t>
            </w:r>
          </w:p>
        </w:tc>
        <w:tc>
          <w:tcPr>
            <w:tcW w:type="dxa" w:w="1200"/>
          </w:tcPr>
          <w:p>
            <w:pPr>
              <w:jc w:val="left"/>
            </w:pPr>
            <w:r>
              <w:rPr>
                <w:sz w:val="20"/>
                <w:szCs w:val="20"/>
              </w:rPr>
              <w:t xml:space="preserve">T1</w:t>
            </w:r>
          </w:p>
        </w:tc>
        <w:tc>
          <w:tcPr>
            <w:tcW w:type="dxa" w:w="1100"/>
          </w:tcPr>
          <w:p>
            <w:pPr>
              <w:jc w:val="center"/>
            </w:pPr>
            <w:r>
              <w:rPr>
                <w:sz w:val="20"/>
                <w:szCs w:val="20"/>
              </w:rPr>
              <w:t xml:space="preserve">25,733</w:t>
            </w:r>
          </w:p>
        </w:tc>
        <w:tc>
          <w:tcPr>
            <w:tcW w:type="dxa" w:w="2600"/>
          </w:tcPr>
          <w:p>
            <w:pPr>
              <w:jc w:val="center"/>
            </w:pPr>
            <w:r>
              <w:rPr>
                <w:sz w:val="20"/>
                <w:szCs w:val="20"/>
              </w:rPr>
              <w:t xml:space="preserve">0.884 (0.669–1.168)</w:t>
            </w:r>
          </w:p>
        </w:tc>
        <w:tc>
          <w:tcPr>
            <w:tcW w:type="dxa" w:w="2600"/>
          </w:tcPr>
          <w:p>
            <w:pPr>
              <w:jc w:val="center"/>
            </w:pPr>
            <w:r>
              <w:rPr>
                <w:sz w:val="20"/>
                <w:szCs w:val="20"/>
              </w:rPr>
              <w:t xml:space="preserve">0.886 (0.668–1.167)</w:t>
            </w:r>
          </w:p>
        </w:tc>
        <w:tc>
          <w:tcPr>
            <w:tcW w:type="dxa" w:w="2600"/>
          </w:tcPr>
          <w:p>
            <w:pPr>
              <w:jc w:val="center"/>
            </w:pPr>
            <w:r>
              <w:rPr>
                <w:sz w:val="20"/>
                <w:szCs w:val="20"/>
              </w:rPr>
              <w:t xml:space="preserve">0.881 (0.664–1.160)</w:t>
            </w:r>
          </w:p>
        </w:tc>
      </w:tr>
      <w:tr>
        <w:tc>
          <w:tcPr>
            <w:tcW w:type="dxa" w:w="1900"/>
          </w:tcPr>
          <w:p>
            <w:pPr>
              <w:jc w:val="left"/>
            </w:pPr>
            <w:r>
              <w:rPr>
                <w:sz w:val="20"/>
                <w:szCs w:val="20"/>
              </w:rPr>
              <w:t xml:space="preserve">Preterm birth</w:t>
            </w:r>
          </w:p>
        </w:tc>
        <w:tc>
          <w:tcPr>
            <w:tcW w:type="dxa" w:w="1200"/>
          </w:tcPr>
          <w:p>
            <w:pPr>
              <w:jc w:val="left"/>
            </w:pPr>
            <w:r>
              <w:rPr>
                <w:sz w:val="20"/>
                <w:szCs w:val="20"/>
              </w:rPr>
              <w:t xml:space="preserve">T2</w:t>
            </w:r>
          </w:p>
        </w:tc>
        <w:tc>
          <w:tcPr>
            <w:tcW w:type="dxa" w:w="1100"/>
          </w:tcPr>
          <w:p>
            <w:pPr>
              <w:jc w:val="center"/>
            </w:pPr>
            <w:r>
              <w:rPr>
                <w:sz w:val="20"/>
                <w:szCs w:val="20"/>
              </w:rPr>
              <w:t xml:space="preserve">25,733</w:t>
            </w:r>
          </w:p>
        </w:tc>
        <w:tc>
          <w:tcPr>
            <w:tcW w:type="dxa" w:w="2600"/>
          </w:tcPr>
          <w:p>
            <w:pPr>
              <w:jc w:val="center"/>
            </w:pPr>
            <w:r>
              <w:rPr>
                <w:sz w:val="20"/>
                <w:szCs w:val="20"/>
              </w:rPr>
              <w:t xml:space="preserve">1.148 (0.839–1.570)</w:t>
            </w:r>
          </w:p>
        </w:tc>
        <w:tc>
          <w:tcPr>
            <w:tcW w:type="dxa" w:w="2600"/>
          </w:tcPr>
          <w:p>
            <w:pPr>
              <w:jc w:val="center"/>
            </w:pPr>
            <w:r>
              <w:rPr>
                <w:sz w:val="20"/>
                <w:szCs w:val="20"/>
              </w:rPr>
              <w:t xml:space="preserve">1.150 (0.839–1.568)</w:t>
            </w:r>
          </w:p>
        </w:tc>
        <w:tc>
          <w:tcPr>
            <w:tcW w:type="dxa" w:w="2600"/>
          </w:tcPr>
          <w:p>
            <w:pPr>
              <w:jc w:val="center"/>
            </w:pPr>
            <w:r>
              <w:rPr>
                <w:sz w:val="20"/>
                <w:szCs w:val="20"/>
              </w:rPr>
              <w:t xml:space="preserve">1.147 (0.835–1.559)</w:t>
            </w:r>
          </w:p>
        </w:tc>
      </w:tr>
      <w:tr>
        <w:tc>
          <w:tcPr>
            <w:tcW w:type="dxa" w:w="1900"/>
          </w:tcPr>
          <w:p>
            <w:pPr>
              <w:jc w:val="left"/>
            </w:pPr>
            <w:r>
              <w:rPr>
                <w:sz w:val="20"/>
                <w:szCs w:val="20"/>
              </w:rPr>
              <w:t xml:space="preserve">Preterm birth</w:t>
            </w:r>
          </w:p>
        </w:tc>
        <w:tc>
          <w:tcPr>
            <w:tcW w:type="dxa" w:w="1200"/>
          </w:tcPr>
          <w:p>
            <w:pPr>
              <w:jc w:val="left"/>
            </w:pPr>
            <w:r>
              <w:rPr>
                <w:sz w:val="20"/>
                <w:szCs w:val="20"/>
              </w:rPr>
              <w:t xml:space="preserve">T3</w:t>
            </w:r>
          </w:p>
        </w:tc>
        <w:tc>
          <w:tcPr>
            <w:tcW w:type="dxa" w:w="1100"/>
          </w:tcPr>
          <w:p>
            <w:pPr>
              <w:jc w:val="center"/>
            </w:pPr>
            <w:r>
              <w:rPr>
                <w:sz w:val="20"/>
                <w:szCs w:val="20"/>
              </w:rPr>
              <w:t xml:space="preserve">25,733</w:t>
            </w:r>
          </w:p>
        </w:tc>
        <w:tc>
          <w:tcPr>
            <w:tcW w:type="dxa" w:w="2600"/>
          </w:tcPr>
          <w:p>
            <w:pPr>
              <w:jc w:val="center"/>
            </w:pPr>
            <w:r>
              <w:rPr>
                <w:sz w:val="20"/>
                <w:szCs w:val="20"/>
              </w:rPr>
              <w:t xml:space="preserve">1.326 (0.958–1.836)</w:t>
            </w:r>
          </w:p>
        </w:tc>
        <w:tc>
          <w:tcPr>
            <w:tcW w:type="dxa" w:w="2600"/>
          </w:tcPr>
          <w:p>
            <w:pPr>
              <w:jc w:val="center"/>
            </w:pPr>
            <w:r>
              <w:rPr>
                <w:sz w:val="20"/>
                <w:szCs w:val="20"/>
              </w:rPr>
              <w:t xml:space="preserve">1.327 (0.958–1.835)</w:t>
            </w:r>
          </w:p>
        </w:tc>
        <w:tc>
          <w:tcPr>
            <w:tcW w:type="dxa" w:w="2600"/>
          </w:tcPr>
          <w:p>
            <w:pPr>
              <w:jc w:val="center"/>
            </w:pPr>
            <w:r>
              <w:rPr>
                <w:sz w:val="20"/>
                <w:szCs w:val="20"/>
              </w:rPr>
              <w:t xml:space="preserve">1.325 (0.956–1.822)</w:t>
            </w:r>
          </w:p>
        </w:tc>
      </w:tr>
      <w:tr>
        <w:tc>
          <w:tcPr>
            <w:tcW w:type="dxa" w:w="1900"/>
          </w:tcPr>
          <w:p>
            <w:pPr>
              <w:jc w:val="left"/>
            </w:pPr>
            <w:r>
              <w:rPr>
                <w:sz w:val="20"/>
                <w:szCs w:val="20"/>
              </w:rPr>
              <w:t xml:space="preserve">SGA/IUGR</w:t>
            </w:r>
          </w:p>
        </w:tc>
        <w:tc>
          <w:tcPr>
            <w:tcW w:type="dxa" w:w="1200"/>
          </w:tcPr>
          <w:p>
            <w:pPr>
              <w:jc w:val="left"/>
            </w:pPr>
            <w:r>
              <w:rPr>
                <w:sz w:val="20"/>
                <w:szCs w:val="20"/>
              </w:rPr>
              <w:t xml:space="preserve">T1</w:t>
            </w:r>
          </w:p>
        </w:tc>
        <w:tc>
          <w:tcPr>
            <w:tcW w:type="dxa" w:w="1100"/>
          </w:tcPr>
          <w:p>
            <w:pPr>
              <w:jc w:val="center"/>
            </w:pPr>
            <w:r>
              <w:rPr>
                <w:sz w:val="20"/>
                <w:szCs w:val="20"/>
              </w:rPr>
              <w:t xml:space="preserve">26,009</w:t>
            </w:r>
          </w:p>
        </w:tc>
        <w:tc>
          <w:tcPr>
            <w:tcW w:type="dxa" w:w="2600"/>
          </w:tcPr>
          <w:p>
            <w:pPr>
              <w:jc w:val="center"/>
            </w:pPr>
            <w:r>
              <w:rPr>
                <w:sz w:val="20"/>
                <w:szCs w:val="20"/>
              </w:rPr>
              <w:t xml:space="preserve">1.176 (0.885–1.564)</w:t>
            </w:r>
          </w:p>
        </w:tc>
        <w:tc>
          <w:tcPr>
            <w:tcW w:type="dxa" w:w="2600"/>
          </w:tcPr>
          <w:p>
            <w:pPr>
              <w:jc w:val="center"/>
            </w:pPr>
            <w:r>
              <w:rPr>
                <w:sz w:val="20"/>
                <w:szCs w:val="20"/>
              </w:rPr>
              <w:t xml:space="preserve">1.180 (0.884–1.562)</w:t>
            </w:r>
          </w:p>
        </w:tc>
        <w:tc>
          <w:tcPr>
            <w:tcW w:type="dxa" w:w="2600"/>
          </w:tcPr>
          <w:p>
            <w:pPr>
              <w:jc w:val="center"/>
            </w:pPr>
            <w:r>
              <w:rPr>
                <w:sz w:val="20"/>
                <w:szCs w:val="20"/>
              </w:rPr>
              <w:t xml:space="preserve">1.173 (0.881–1.551)</w:t>
            </w:r>
          </w:p>
        </w:tc>
      </w:tr>
      <w:tr>
        <w:tc>
          <w:tcPr>
            <w:tcW w:type="dxa" w:w="1900"/>
          </w:tcPr>
          <w:p>
            <w:pPr>
              <w:jc w:val="left"/>
            </w:pPr>
            <w:r>
              <w:rPr>
                <w:sz w:val="20"/>
                <w:szCs w:val="20"/>
              </w:rPr>
              <w:t xml:space="preserve">SGA/IUGR</w:t>
            </w:r>
          </w:p>
        </w:tc>
        <w:tc>
          <w:tcPr>
            <w:tcW w:type="dxa" w:w="1200"/>
          </w:tcPr>
          <w:p>
            <w:pPr>
              <w:jc w:val="left"/>
            </w:pPr>
            <w:r>
              <w:rPr>
                <w:sz w:val="20"/>
                <w:szCs w:val="20"/>
              </w:rPr>
              <w:t xml:space="preserve">T2</w:t>
            </w:r>
          </w:p>
        </w:tc>
        <w:tc>
          <w:tcPr>
            <w:tcW w:type="dxa" w:w="1100"/>
          </w:tcPr>
          <w:p>
            <w:pPr>
              <w:jc w:val="center"/>
            </w:pPr>
            <w:r>
              <w:rPr>
                <w:sz w:val="20"/>
                <w:szCs w:val="20"/>
              </w:rPr>
              <w:t xml:space="preserve">26,009</w:t>
            </w:r>
          </w:p>
        </w:tc>
        <w:tc>
          <w:tcPr>
            <w:tcW w:type="dxa" w:w="2600"/>
          </w:tcPr>
          <w:p>
            <w:pPr>
              <w:jc w:val="center"/>
            </w:pPr>
            <w:r>
              <w:rPr>
                <w:sz w:val="20"/>
                <w:szCs w:val="20"/>
              </w:rPr>
              <w:t xml:space="preserve">1.321 (0.956–1.825)</w:t>
            </w:r>
          </w:p>
        </w:tc>
        <w:tc>
          <w:tcPr>
            <w:tcW w:type="dxa" w:w="2600"/>
          </w:tcPr>
          <w:p>
            <w:pPr>
              <w:jc w:val="center"/>
            </w:pPr>
            <w:r>
              <w:rPr>
                <w:sz w:val="20"/>
                <w:szCs w:val="20"/>
              </w:rPr>
              <w:t xml:space="preserve">1.326 (0.955–1.821)</w:t>
            </w:r>
          </w:p>
        </w:tc>
        <w:tc>
          <w:tcPr>
            <w:tcW w:type="dxa" w:w="2600"/>
          </w:tcPr>
          <w:p>
            <w:pPr>
              <w:jc w:val="center"/>
            </w:pPr>
            <w:r>
              <w:rPr>
                <w:sz w:val="20"/>
                <w:szCs w:val="20"/>
              </w:rPr>
              <w:t xml:space="preserve">1.314 (0.953–1.805)</w:t>
            </w:r>
          </w:p>
        </w:tc>
      </w:tr>
      <w:tr>
        <w:tc>
          <w:tcPr>
            <w:tcW w:type="dxa" w:w="1900"/>
          </w:tcPr>
          <w:p>
            <w:pPr>
              <w:jc w:val="left"/>
            </w:pPr>
            <w:r>
              <w:rPr>
                <w:sz w:val="20"/>
                <w:szCs w:val="20"/>
              </w:rPr>
              <w:t xml:space="preserve">SGA/IUGR</w:t>
            </w:r>
          </w:p>
        </w:tc>
        <w:tc>
          <w:tcPr>
            <w:tcW w:type="dxa" w:w="1200"/>
          </w:tcPr>
          <w:p>
            <w:pPr>
              <w:jc w:val="left"/>
            </w:pPr>
            <w:r>
              <w:rPr>
                <w:sz w:val="20"/>
                <w:szCs w:val="20"/>
              </w:rPr>
              <w:t xml:space="preserve">T3</w:t>
            </w:r>
          </w:p>
        </w:tc>
        <w:tc>
          <w:tcPr>
            <w:tcW w:type="dxa" w:w="1100"/>
          </w:tcPr>
          <w:p>
            <w:pPr>
              <w:jc w:val="center"/>
            </w:pPr>
            <w:r>
              <w:rPr>
                <w:sz w:val="20"/>
                <w:szCs w:val="20"/>
              </w:rPr>
              <w:t xml:space="preserve">26,009</w:t>
            </w:r>
          </w:p>
        </w:tc>
        <w:tc>
          <w:tcPr>
            <w:tcW w:type="dxa" w:w="2600"/>
          </w:tcPr>
          <w:p>
            <w:pPr>
              <w:jc w:val="center"/>
            </w:pPr>
            <w:r>
              <w:rPr>
                <w:sz w:val="20"/>
                <w:szCs w:val="20"/>
              </w:rPr>
              <w:t xml:space="preserve">1.102 (0.777–1.563)</w:t>
            </w:r>
          </w:p>
        </w:tc>
        <w:tc>
          <w:tcPr>
            <w:tcW w:type="dxa" w:w="2600"/>
          </w:tcPr>
          <w:p>
            <w:pPr>
              <w:jc w:val="center"/>
            </w:pPr>
            <w:r>
              <w:rPr>
                <w:sz w:val="20"/>
                <w:szCs w:val="20"/>
              </w:rPr>
              <w:t xml:space="preserve">1.108 (0.776–1.560)</w:t>
            </w:r>
          </w:p>
        </w:tc>
        <w:tc>
          <w:tcPr>
            <w:tcW w:type="dxa" w:w="2600"/>
          </w:tcPr>
          <w:p>
            <w:pPr>
              <w:jc w:val="center"/>
            </w:pPr>
            <w:r>
              <w:rPr>
                <w:sz w:val="20"/>
                <w:szCs w:val="20"/>
              </w:rPr>
              <w:t xml:space="preserve">1.096 (0.769–1.554)</w:t>
            </w:r>
          </w:p>
        </w:tc>
      </w:tr>
      <w:tr>
        <w:tc>
          <w:tcPr>
            <w:tcW w:type="dxa" w:w="1900"/>
          </w:tcPr>
          <w:p>
            <w:pPr>
              <w:jc w:val="left"/>
            </w:pPr>
            <w:r>
              <w:rPr>
                <w:sz w:val="20"/>
                <w:szCs w:val="20"/>
              </w:rPr>
              <w:t xml:space="preserve">Apgar &lt;7 (1 min)</w:t>
            </w:r>
          </w:p>
        </w:tc>
        <w:tc>
          <w:tcPr>
            <w:tcW w:type="dxa" w:w="1200"/>
          </w:tcPr>
          <w:p>
            <w:pPr>
              <w:jc w:val="left"/>
            </w:pPr>
            <w:r>
              <w:rPr>
                <w:sz w:val="20"/>
                <w:szCs w:val="20"/>
              </w:rPr>
              <w:t xml:space="preserve">T1</w:t>
            </w:r>
          </w:p>
        </w:tc>
        <w:tc>
          <w:tcPr>
            <w:tcW w:type="dxa" w:w="1100"/>
          </w:tcPr>
          <w:p>
            <w:pPr>
              <w:jc w:val="center"/>
            </w:pPr>
            <w:r>
              <w:rPr>
                <w:sz w:val="20"/>
                <w:szCs w:val="20"/>
              </w:rPr>
              <w:t xml:space="preserve">25,599</w:t>
            </w:r>
          </w:p>
        </w:tc>
        <w:tc>
          <w:tcPr>
            <w:tcW w:type="dxa" w:w="2600"/>
          </w:tcPr>
          <w:p>
            <w:pPr>
              <w:jc w:val="center"/>
            </w:pPr>
            <w:r>
              <w:rPr>
                <w:sz w:val="20"/>
                <w:szCs w:val="20"/>
              </w:rPr>
              <w:t xml:space="preserve">1.107 (0.790–1.551)</w:t>
            </w:r>
          </w:p>
        </w:tc>
        <w:tc>
          <w:tcPr>
            <w:tcW w:type="dxa" w:w="2600"/>
          </w:tcPr>
          <w:p>
            <w:pPr>
              <w:jc w:val="center"/>
            </w:pPr>
            <w:r>
              <w:rPr>
                <w:sz w:val="20"/>
                <w:szCs w:val="20"/>
              </w:rPr>
              <w:t xml:space="preserve">1.116 (0.789–1.546)</w:t>
            </w:r>
          </w:p>
        </w:tc>
        <w:tc>
          <w:tcPr>
            <w:tcW w:type="dxa" w:w="2600"/>
          </w:tcPr>
          <w:p>
            <w:pPr>
              <w:jc w:val="center"/>
            </w:pPr>
            <w:r>
              <w:rPr>
                <w:sz w:val="20"/>
                <w:szCs w:val="20"/>
              </w:rPr>
              <w:t xml:space="preserve">1.100 (0.771–1.531)</w:t>
            </w:r>
          </w:p>
        </w:tc>
      </w:tr>
      <w:tr>
        <w:tc>
          <w:tcPr>
            <w:tcW w:type="dxa" w:w="1900"/>
          </w:tcPr>
          <w:p>
            <w:pPr>
              <w:jc w:val="left"/>
            </w:pPr>
            <w:r>
              <w:rPr>
                <w:sz w:val="20"/>
                <w:szCs w:val="20"/>
              </w:rPr>
              <w:t xml:space="preserve">Apgar &lt;7 (1 min)</w:t>
            </w:r>
          </w:p>
        </w:tc>
        <w:tc>
          <w:tcPr>
            <w:tcW w:type="dxa" w:w="1200"/>
          </w:tcPr>
          <w:p>
            <w:pPr>
              <w:jc w:val="left"/>
            </w:pPr>
            <w:r>
              <w:rPr>
                <w:sz w:val="20"/>
                <w:szCs w:val="20"/>
              </w:rPr>
              <w:t xml:space="preserve">T2</w:t>
            </w:r>
          </w:p>
        </w:tc>
        <w:tc>
          <w:tcPr>
            <w:tcW w:type="dxa" w:w="1100"/>
          </w:tcPr>
          <w:p>
            <w:pPr>
              <w:jc w:val="center"/>
            </w:pPr>
            <w:r>
              <w:rPr>
                <w:sz w:val="20"/>
                <w:szCs w:val="20"/>
              </w:rPr>
              <w:t xml:space="preserve">25,599</w:t>
            </w:r>
          </w:p>
        </w:tc>
        <w:tc>
          <w:tcPr>
            <w:tcW w:type="dxa" w:w="2600"/>
          </w:tcPr>
          <w:p>
            <w:pPr>
              <w:jc w:val="center"/>
            </w:pPr>
            <w:r>
              <w:rPr>
                <w:sz w:val="20"/>
                <w:szCs w:val="20"/>
              </w:rPr>
              <w:t xml:space="preserve">0.859 (0.562–1.312)</w:t>
            </w:r>
          </w:p>
        </w:tc>
        <w:tc>
          <w:tcPr>
            <w:tcW w:type="dxa" w:w="2600"/>
          </w:tcPr>
          <w:p>
            <w:pPr>
              <w:jc w:val="center"/>
            </w:pPr>
            <w:r>
              <w:rPr>
                <w:sz w:val="20"/>
                <w:szCs w:val="20"/>
              </w:rPr>
              <w:t xml:space="preserve">0.872 (0.561–1.305)</w:t>
            </w:r>
          </w:p>
        </w:tc>
        <w:tc>
          <w:tcPr>
            <w:tcW w:type="dxa" w:w="2600"/>
          </w:tcPr>
          <w:p>
            <w:pPr>
              <w:jc w:val="center"/>
            </w:pPr>
            <w:r>
              <w:rPr>
                <w:sz w:val="20"/>
                <w:szCs w:val="20"/>
              </w:rPr>
              <w:t xml:space="preserve">0.849 (0.547–1.276)</w:t>
            </w:r>
          </w:p>
        </w:tc>
      </w:tr>
      <w:tr>
        <w:tc>
          <w:tcPr>
            <w:tcW w:type="dxa" w:w="1900"/>
          </w:tcPr>
          <w:p>
            <w:pPr>
              <w:jc w:val="left"/>
            </w:pPr>
            <w:r>
              <w:rPr>
                <w:sz w:val="20"/>
                <w:szCs w:val="20"/>
              </w:rPr>
              <w:t xml:space="preserve">Apgar &lt;7 (1 min)</w:t>
            </w:r>
          </w:p>
        </w:tc>
        <w:tc>
          <w:tcPr>
            <w:tcW w:type="dxa" w:w="1200"/>
          </w:tcPr>
          <w:p>
            <w:pPr>
              <w:jc w:val="left"/>
            </w:pPr>
            <w:r>
              <w:rPr>
                <w:sz w:val="20"/>
                <w:szCs w:val="20"/>
              </w:rPr>
              <w:t xml:space="preserve">T3</w:t>
            </w:r>
          </w:p>
        </w:tc>
        <w:tc>
          <w:tcPr>
            <w:tcW w:type="dxa" w:w="1100"/>
          </w:tcPr>
          <w:p>
            <w:pPr>
              <w:jc w:val="center"/>
            </w:pPr>
            <w:r>
              <w:rPr>
                <w:sz w:val="20"/>
                <w:szCs w:val="20"/>
              </w:rPr>
              <w:t xml:space="preserve">25,599</w:t>
            </w:r>
          </w:p>
        </w:tc>
        <w:tc>
          <w:tcPr>
            <w:tcW w:type="dxa" w:w="2600"/>
          </w:tcPr>
          <w:p>
            <w:pPr>
              <w:jc w:val="center"/>
            </w:pPr>
            <w:r>
              <w:rPr>
                <w:sz w:val="20"/>
                <w:szCs w:val="20"/>
              </w:rPr>
              <w:t xml:space="preserve">1.061 (0.699–1.608)</w:t>
            </w:r>
          </w:p>
        </w:tc>
        <w:tc>
          <w:tcPr>
            <w:tcW w:type="dxa" w:w="2600"/>
          </w:tcPr>
          <w:p>
            <w:pPr>
              <w:jc w:val="center"/>
            </w:pPr>
            <w:r>
              <w:rPr>
                <w:sz w:val="20"/>
                <w:szCs w:val="20"/>
              </w:rPr>
              <w:t xml:space="preserve">1.075 (0.698–1.600)</w:t>
            </w:r>
          </w:p>
        </w:tc>
        <w:tc>
          <w:tcPr>
            <w:tcW w:type="dxa" w:w="2600"/>
          </w:tcPr>
          <w:p>
            <w:pPr>
              <w:jc w:val="center"/>
            </w:pPr>
            <w:r>
              <w:rPr>
                <w:sz w:val="20"/>
                <w:szCs w:val="20"/>
              </w:rPr>
              <w:t xml:space="preserve">1.047 (0.680–1.556)</w:t>
            </w:r>
          </w:p>
        </w:tc>
      </w:tr>
      <w:tr>
        <w:tc>
          <w:tcPr>
            <w:tcW w:type="dxa" w:w="1900"/>
          </w:tcPr>
          <w:p>
            <w:pPr>
              <w:jc w:val="left"/>
            </w:pPr>
            <w:r>
              <w:rPr>
                <w:sz w:val="20"/>
                <w:szCs w:val="20"/>
              </w:rPr>
              <w:t xml:space="preserve">Excl. breastfeeding</w:t>
            </w:r>
          </w:p>
        </w:tc>
        <w:tc>
          <w:tcPr>
            <w:tcW w:type="dxa" w:w="1200"/>
          </w:tcPr>
          <w:p>
            <w:pPr>
              <w:jc w:val="left"/>
            </w:pPr>
            <w:r>
              <w:rPr>
                <w:sz w:val="20"/>
                <w:szCs w:val="20"/>
              </w:rPr>
              <w:t xml:space="preserve">T1</w:t>
            </w:r>
          </w:p>
        </w:tc>
        <w:tc>
          <w:tcPr>
            <w:tcW w:type="dxa" w:w="1100"/>
          </w:tcPr>
          <w:p>
            <w:pPr>
              <w:jc w:val="center"/>
            </w:pPr>
            <w:r>
              <w:rPr>
                <w:sz w:val="20"/>
                <w:szCs w:val="20"/>
              </w:rPr>
              <w:t xml:space="preserve">26,012</w:t>
            </w:r>
          </w:p>
        </w:tc>
        <w:tc>
          <w:tcPr>
            <w:tcW w:type="dxa" w:w="2600"/>
          </w:tcPr>
          <w:p>
            <w:pPr>
              <w:jc w:val="center"/>
            </w:pPr>
            <w:r>
              <w:rPr>
                <w:sz w:val="20"/>
                <w:szCs w:val="20"/>
              </w:rPr>
              <w:t xml:space="preserve">0.924 (0.663–1.289)</w:t>
            </w:r>
          </w:p>
        </w:tc>
        <w:tc>
          <w:tcPr>
            <w:tcW w:type="dxa" w:w="2600"/>
          </w:tcPr>
          <w:p>
            <w:pPr>
              <w:jc w:val="center"/>
            </w:pPr>
            <w:r>
              <w:rPr>
                <w:sz w:val="20"/>
                <w:szCs w:val="20"/>
              </w:rPr>
              <w:t xml:space="preserve">0.916 (0.665–1.291)</w:t>
            </w:r>
          </w:p>
        </w:tc>
        <w:tc>
          <w:tcPr>
            <w:tcW w:type="dxa" w:w="2600"/>
          </w:tcPr>
          <w:p>
            <w:pPr>
              <w:jc w:val="center"/>
            </w:pPr>
            <w:r>
              <w:rPr>
                <w:sz w:val="20"/>
                <w:szCs w:val="20"/>
              </w:rPr>
              <w:t xml:space="preserve">0.927 (0.675–1.313)</w:t>
            </w:r>
          </w:p>
        </w:tc>
      </w:tr>
      <w:tr>
        <w:tc>
          <w:tcPr>
            <w:tcW w:type="dxa" w:w="1900"/>
          </w:tcPr>
          <w:p>
            <w:pPr>
              <w:jc w:val="left"/>
            </w:pPr>
            <w:r>
              <w:rPr>
                <w:sz w:val="20"/>
                <w:szCs w:val="20"/>
              </w:rPr>
              <w:t xml:space="preserve">Excl. breastfeeding</w:t>
            </w:r>
          </w:p>
        </w:tc>
        <w:tc>
          <w:tcPr>
            <w:tcW w:type="dxa" w:w="1200"/>
          </w:tcPr>
          <w:p>
            <w:pPr>
              <w:jc w:val="left"/>
            </w:pPr>
            <w:r>
              <w:rPr>
                <w:sz w:val="20"/>
                <w:szCs w:val="20"/>
              </w:rPr>
              <w:t xml:space="preserve">T2</w:t>
            </w:r>
          </w:p>
        </w:tc>
        <w:tc>
          <w:tcPr>
            <w:tcW w:type="dxa" w:w="1100"/>
          </w:tcPr>
          <w:p>
            <w:pPr>
              <w:jc w:val="center"/>
            </w:pPr>
            <w:r>
              <w:rPr>
                <w:sz w:val="20"/>
                <w:szCs w:val="20"/>
              </w:rPr>
              <w:t xml:space="preserve">26,012</w:t>
            </w:r>
          </w:p>
        </w:tc>
        <w:tc>
          <w:tcPr>
            <w:tcW w:type="dxa" w:w="2600"/>
          </w:tcPr>
          <w:p>
            <w:pPr>
              <w:jc w:val="center"/>
            </w:pPr>
            <w:r>
              <w:rPr>
                <w:sz w:val="20"/>
                <w:szCs w:val="20"/>
              </w:rPr>
              <w:t xml:space="preserve">1.059 (0.712–1.577)</w:t>
            </w:r>
          </w:p>
        </w:tc>
        <w:tc>
          <w:tcPr>
            <w:tcW w:type="dxa" w:w="2600"/>
          </w:tcPr>
          <w:p>
            <w:pPr>
              <w:jc w:val="center"/>
            </w:pPr>
            <w:r>
              <w:rPr>
                <w:sz w:val="20"/>
                <w:szCs w:val="20"/>
              </w:rPr>
              <w:t xml:space="preserve">1.046 (0.715–1.580)</w:t>
            </w:r>
          </w:p>
        </w:tc>
        <w:tc>
          <w:tcPr>
            <w:tcW w:type="dxa" w:w="2600"/>
          </w:tcPr>
          <w:p>
            <w:pPr>
              <w:jc w:val="center"/>
            </w:pPr>
            <w:r>
              <w:rPr>
                <w:sz w:val="20"/>
                <w:szCs w:val="20"/>
              </w:rPr>
              <w:t xml:space="preserve">1.065 (0.728–1.618)</w:t>
            </w:r>
          </w:p>
        </w:tc>
      </w:tr>
      <w:tr>
        <w:tc>
          <w:tcPr>
            <w:tcW w:type="dxa" w:w="1900"/>
          </w:tcPr>
          <w:p>
            <w:pPr>
              <w:jc w:val="left"/>
            </w:pPr>
            <w:r>
              <w:rPr>
                <w:sz w:val="20"/>
                <w:szCs w:val="20"/>
              </w:rPr>
              <w:t xml:space="preserve">Excl. breastfeeding</w:t>
            </w:r>
          </w:p>
        </w:tc>
        <w:tc>
          <w:tcPr>
            <w:tcW w:type="dxa" w:w="1200"/>
          </w:tcPr>
          <w:p>
            <w:pPr>
              <w:jc w:val="left"/>
            </w:pPr>
            <w:r>
              <w:rPr>
                <w:sz w:val="20"/>
                <w:szCs w:val="20"/>
              </w:rPr>
              <w:t xml:space="preserve">T3</w:t>
            </w:r>
          </w:p>
        </w:tc>
        <w:tc>
          <w:tcPr>
            <w:tcW w:type="dxa" w:w="1100"/>
          </w:tcPr>
          <w:p>
            <w:pPr>
              <w:jc w:val="center"/>
            </w:pPr>
            <w:r>
              <w:rPr>
                <w:sz w:val="20"/>
                <w:szCs w:val="20"/>
              </w:rPr>
              <w:t xml:space="preserve">26,012</w:t>
            </w:r>
          </w:p>
        </w:tc>
        <w:tc>
          <w:tcPr>
            <w:tcW w:type="dxa" w:w="2600"/>
          </w:tcPr>
          <w:p>
            <w:pPr>
              <w:jc w:val="center"/>
            </w:pPr>
            <w:r>
              <w:rPr>
                <w:sz w:val="20"/>
                <w:szCs w:val="20"/>
              </w:rPr>
              <w:t xml:space="preserve">1.130 (0.739–1.729)</w:t>
            </w:r>
          </w:p>
        </w:tc>
        <w:tc>
          <w:tcPr>
            <w:tcW w:type="dxa" w:w="2600"/>
          </w:tcPr>
          <w:p>
            <w:pPr>
              <w:jc w:val="center"/>
            </w:pPr>
            <w:r>
              <w:rPr>
                <w:sz w:val="20"/>
                <w:szCs w:val="20"/>
              </w:rPr>
              <w:t xml:space="preserve">1.114 (0.743–1.733)</w:t>
            </w:r>
          </w:p>
        </w:tc>
        <w:tc>
          <w:tcPr>
            <w:tcW w:type="dxa" w:w="2600"/>
          </w:tcPr>
          <w:p>
            <w:pPr>
              <w:jc w:val="center"/>
            </w:pPr>
            <w:r>
              <w:rPr>
                <w:sz w:val="20"/>
                <w:szCs w:val="20"/>
              </w:rPr>
              <w:t xml:space="preserve">1.141 (0.756–1.784)</w:t>
            </w:r>
          </w:p>
        </w:tc>
      </w:tr>
    </w:tbl>
    <w:p>
      <w:pPr>
        <w:spacing w:before="200"/>
      </w:pPr>
      <w:r>
        <w:rPr>
          <w:i/>
          <w:iCs/>
          <w:sz w:val="18"/>
          <w:szCs w:val="18"/>
        </w:rPr>
        <w:t xml:space="preserve">Models were adjusted for maternal age, low educational attainment, minority ethnic group, stable partnership, previous pregnancies, and number of prenatal care visits. Alcohol use, illicit drug use, and passive smoking were not included in these primary models because their role as confounders or mediators on the pathway between recorded violence and neonatal outcomes could not be established with the available data (see Supplementary Table S7 for models additionally adjusted for these behavioral markers). GLM, generalized linear model; CI, confidence interval; CrI, credible interval.</w:t>
      </w:r>
    </w:p>
    <w:sectPr>
      <w:pgSz w:w="15840" w:h="122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2026-07-30T15:05:55.726Z</dcterms:created>
  <dcterms:modified xsi:type="dcterms:W3CDTF">2026-07-30T15:05:55.744Z</dcterms:modified>
</cp:coreProperties>
</file>

<file path=docProps/custom.xml><?xml version="1.0" encoding="utf-8"?>
<Properties xmlns="http://schemas.openxmlformats.org/officeDocument/2006/custom-properties" xmlns:vt="http://schemas.openxmlformats.org/officeDocument/2006/docPropsVTypes"/>
</file>