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2"/>
          <w:szCs w:val="22"/>
        </w:rPr>
        <w:t xml:space="preserve">Supplementary Table S7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Sensitivity analysis: associations between recorded gestational violence and neonatal outcomes additionally adjusted for concomitant behavioral markers (alcohol use, illicit drug use, passive smoking)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100"/>
        <w:gridCol w:w="2600"/>
        <w:gridCol w:w="2600"/>
        <w:gridCol w:w="2600"/>
      </w:tblGrid>
      <w:tr>
        <w:trPr>
          <w:tblHeader/>
        </w:trPr>
        <w:tc>
          <w:tcPr>
            <w:tcW w:type="dxa" w:w="19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12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Trimester</w:t>
            </w:r>
          </w:p>
        </w:tc>
        <w:tc>
          <w:tcPr>
            <w:tcW w:type="dxa" w:w="11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26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 (GLM, 95% CI)</w:t>
            </w:r>
          </w:p>
        </w:tc>
        <w:tc>
          <w:tcPr>
            <w:tcW w:type="dxa" w:w="26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 (Firth, 95% CI)</w:t>
            </w:r>
          </w:p>
        </w:tc>
        <w:tc>
          <w:tcPr>
            <w:tcW w:type="dxa" w:w="2600"/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 (Bayes, 95% CrI)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Preterm birth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T1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25,695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0.894 (0.671–1.191)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0.896 (0.671–1.189)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0.893 (0.667–1.189)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Preterm birth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T2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25,695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1.203 (0.872–1.659)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1.204 (0.872–1.656)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1.202 (0.871–1.653)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Preterm birth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T3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25,695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1.397 (1.001–1.949)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1.397 (1.001–1.946)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1.397 (1.006–1.939)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SGA/IUGR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T1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25,971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1.079 (0.804–1.448)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1.083 (0.804–1.446)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1.078 (0.797–1.446)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SGA/IUGR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T2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25,971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1.235 (0.886–1.722)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1.240 (0.885–1.718)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1.233 (0.875–1.709)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SGA/IUGR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T3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25,971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1.026 (0.717–1.467)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1.032 (0.717–1.463)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1.020 (0.714–1.442)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Apgar &lt;7 (1 min)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T1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25,561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1.150 (0.815–1.623)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1.160 (0.814–1.618)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1.142 (0.795–1.603)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Apgar &lt;7 (1 min)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T2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25,561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0.888 (0.577–1.367)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0.901 (0.576–1.359)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0.882 (0.559–1.334)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Apgar &lt;7 (1 min)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T3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25,561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1.103 (0.722–1.683)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1.116 (0.721–1.674)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1.090 (0.703–1.629)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Excl. breastfeeding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T1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25,974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1.038 (0.735–1.465)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1.029 (0.738–1.467)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1.043 (0.747–1.484)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Excl. breastfeeding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T2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25,974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1.226 (0.812–1.852)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1.211 (0.816–1.856)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1.233 (0.828–1.906)</w:t>
            </w:r>
          </w:p>
        </w:tc>
      </w:tr>
      <w:tr>
        <w:tc>
          <w:tcPr>
            <w:tcW w:type="dxa" w:w="19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Excl. breastfeeding</w:t>
            </w:r>
          </w:p>
        </w:tc>
        <w:tc>
          <w:tcPr>
            <w:tcW w:type="dxa" w:w="12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T3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25,974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1.300 (0.839–2.015)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1.281 (0.844–2.018)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1.310 (0.860–2.082)</w:t>
            </w:r>
          </w:p>
        </w:tc>
      </w:tr>
    </w:tbl>
    <w:p>
      <w:pPr>
        <w:spacing w:before="200"/>
      </w:pPr>
      <w:r>
        <w:rPr>
          <w:i/>
          <w:iCs/>
          <w:sz w:val="18"/>
          <w:szCs w:val="18"/>
        </w:rPr>
        <w:t xml:space="preserve">This sensitivity analysis reproduces the primary models in Table 3 with additional adjustment for alcohol use, illicit drug use, and passive smoking, which cannot be unambiguously classified as baseline confounders or as mediators. Differences relative to Table 3 should not be interpreted as evidence of mediation. GLM, generalized linear model; CI, confidence interval; CrI, credible interval.</w:t>
      </w:r>
    </w:p>
    <w:sectPr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2026-07-30T15:05:56.039Z</dcterms:created>
  <dcterms:modified xsi:type="dcterms:W3CDTF">2026-07-30T15:05:56.039Z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