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2"/>
          <w:szCs w:val="22"/>
        </w:rPr>
        <w:t xml:space="preserve">Supplementary Table S8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Annual distribution of recorded gestational violence and missing violence data, 2009–2024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800"/>
      </w:tblGrid>
      <w:tr>
        <w:trPr>
          <w:tblHeader/>
        </w:trPr>
        <w:tc>
          <w:tcPr>
            <w:tcW w:type="dxa" w:w="18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22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 total</w:t>
            </w:r>
          </w:p>
        </w:tc>
        <w:tc>
          <w:tcPr>
            <w:tcW w:type="dxa" w:w="28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 recorded violence</w:t>
            </w:r>
          </w:p>
        </w:tc>
        <w:tc>
          <w:tcPr>
            <w:tcW w:type="dxa" w:w="28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 missing data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2009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2,326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1.41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8.25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2010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2,375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1.35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6.69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2011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2,567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2.33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6.35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2012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2,229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1.89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2.51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2013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2,315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1.24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2.07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2014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2,213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1.16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2.62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2015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2,229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1.42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1.93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2016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2,069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1.13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1.84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2017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1,817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2.15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2018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1,476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1.06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3.86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2019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1,259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0.59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6.12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1,247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0.96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8.26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1,553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0.15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57.56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2022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1,293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1.23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62.34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2023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1,559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0.56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9.17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2024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930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0.81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6.67</w:t>
            </w:r>
          </w:p>
        </w:tc>
      </w:tr>
    </w:tbl>
    <w:p>
      <w:pPr>
        <w:spacing w:before="200"/>
      </w:pPr>
      <w:r>
        <w:rPr>
          <w:i/>
          <w:iCs/>
          <w:sz w:val="18"/>
          <w:szCs w:val="18"/>
        </w:rPr>
        <w:t xml:space="preserve">Recorded violence frequency ranged from 0.15% to 2.33% without a consistent monotonic trend. Missingness of violence fields was low from 2009-2020 (1.8%-8.3%) but rose sharply in 2021-2022 (57.6% and 62.3%, respectively) before declining in 2023-2024 (9.2% and 6.7%). The specific cause of this period-limited increase could not be determined from the available data.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2026-07-31T03:38:05.756Z</dcterms:created>
  <dcterms:modified xsi:type="dcterms:W3CDTF">2026-07-31T03:38:05.771Z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