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Ingresos Totales (Cuadro de Resultados - Tabla `carrito`)</w:t>
      </w:r>
    </w:p>
    <w:p>
      <w:r>
        <w:rPr>
          <w:sz w:val="22"/>
        </w:rPr>
        <w:t>Conclusión: La cifra total de ingresos (SUMA(monto_total)) representa la salud financiera global del negocio. Si este número es alto y aumenta con el tiempo, indica una solidez comercial positiva. Es el KPI principal a monitorear.</w:t>
      </w:r>
    </w:p>
    <w:p>
      <w:pPr>
        <w:pStyle w:val="Heading1"/>
      </w:pPr>
      <w:r>
        <w:t>2. Tendencia de Pedidos (Series Temporales - Tabla `pedido`)</w:t>
      </w:r>
    </w:p>
    <w:p>
      <w:r>
        <w:rPr>
          <w:sz w:val="22"/>
        </w:rPr>
        <w:t>Conclusión: La forma de la curva refleja la evolución del volumen de pedidos (COUNT DISTINCT(id)). Una línea ascendente indica crecimiento en la demanda. Picos o valles revelan impacto de campañas o problemas operativos.</w:t>
      </w:r>
    </w:p>
    <w:p>
      <w:pPr>
        <w:pStyle w:val="Heading1"/>
      </w:pPr>
      <w:r>
        <w:t>3. Ingresos por Usuario (Gráfico de Barras - Tabla `carrito`)</w:t>
      </w:r>
    </w:p>
    <w:p>
      <w:r>
        <w:rPr>
          <w:sz w:val="22"/>
        </w:rPr>
        <w:t>Conclusión: Clasifica a los clientes por id_usuario según su gasto total. Identifica clientes de mayor valor, útil para análisis de Pareto y estrategias de fidelización y marketing dirigido.</w:t>
      </w:r>
    </w:p>
    <w:p>
      <w:pPr>
        <w:pStyle w:val="Heading1"/>
      </w:pPr>
      <w:r>
        <w:t>4. Estado de Adopciones (Gráfico Circular/Donut - Tabla `adopcion`)</w:t>
      </w:r>
    </w:p>
    <w:p>
      <w:r>
        <w:rPr>
          <w:sz w:val="22"/>
        </w:rPr>
        <w:t>Conclusión: La distribución porcentual de estados de adopción indica eficiencia operativa. Muchos rechazos sugieren desalineación con requisitos; muchos pendientes indican posibles cuellos de botella.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