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A024" w14:textId="5D4F5A19" w:rsidR="008B5707" w:rsidRPr="008B5707" w:rsidRDefault="008B5707" w:rsidP="008B5707">
      <w:pPr>
        <w:rPr>
          <w:lang w:val="en-GB"/>
        </w:rPr>
      </w:pPr>
      <w:r w:rsidRPr="008B5707">
        <w:rPr>
          <w:lang w:val="en-GB"/>
        </w:rPr>
        <w:t xml:space="preserve">Datos </w:t>
      </w:r>
      <w:proofErr w:type="spellStart"/>
      <w:r w:rsidRPr="008B5707">
        <w:rPr>
          <w:lang w:val="en-GB"/>
        </w:rPr>
        <w:t>sacados</w:t>
      </w:r>
      <w:proofErr w:type="spellEnd"/>
      <w:r w:rsidRPr="008B5707">
        <w:rPr>
          <w:lang w:val="en-GB"/>
        </w:rPr>
        <w:t xml:space="preserve"> de: </w:t>
      </w:r>
      <w:r w:rsidRPr="008B5707">
        <w:rPr>
          <w:lang w:val="en-GB"/>
        </w:rPr>
        <w:t xml:space="preserve">Towards greener city logistics: an application of agile routing algorithms to </w:t>
      </w:r>
      <w:proofErr w:type="gramStart"/>
      <w:r w:rsidRPr="008B5707">
        <w:rPr>
          <w:lang w:val="en-GB"/>
        </w:rPr>
        <w:t>op</w:t>
      </w:r>
      <w:r>
        <w:rPr>
          <w:lang w:val="en-GB"/>
        </w:rPr>
        <w:t>..</w:t>
      </w:r>
      <w:proofErr w:type="gramEnd"/>
      <w:r>
        <w:rPr>
          <w:lang w:val="en-GB"/>
        </w:rPr>
        <w:t xml:space="preserve"> </w:t>
      </w:r>
    </w:p>
    <w:p w14:paraId="050A7143" w14:textId="77777777" w:rsidR="008B5707" w:rsidRPr="008B5707" w:rsidRDefault="008B5707" w:rsidP="008B5707">
      <w:pPr>
        <w:rPr>
          <w:lang w:val="en-GB"/>
        </w:rPr>
      </w:pPr>
    </w:p>
    <w:p w14:paraId="52F59B2C" w14:textId="4754388E" w:rsidR="008B5707" w:rsidRPr="008B5707" w:rsidRDefault="008B5707" w:rsidP="008B5707">
      <w:r w:rsidRPr="008B5707">
        <w:rPr>
          <w:b/>
          <w:bCs/>
        </w:rPr>
        <w:t>Leyenda:</w:t>
      </w:r>
      <w:r w:rsidRPr="008B5707">
        <w:t xml:space="preserve"> </w:t>
      </w:r>
      <w:r w:rsidRPr="008B5707">
        <w:rPr>
          <w:rFonts w:ascii="Segoe UI Emoji" w:hAnsi="Segoe UI Emoji" w:cs="Segoe UI Emoji"/>
        </w:rPr>
        <w:t>✅</w:t>
      </w:r>
      <w:r w:rsidRPr="008B5707">
        <w:t xml:space="preserve"> fuente externa verificable </w:t>
      </w:r>
      <w:r w:rsidRPr="008B5707">
        <w:rPr>
          <w:rFonts w:ascii="Calibri" w:hAnsi="Calibri" w:cs="Calibri"/>
        </w:rPr>
        <w:t>·</w:t>
      </w:r>
      <w:r w:rsidRPr="008B5707">
        <w:t xml:space="preserve"> </w:t>
      </w:r>
      <w:r w:rsidRPr="008B5707">
        <w:rPr>
          <w:rFonts w:ascii="Segoe UI Emoji" w:hAnsi="Segoe UI Emoji" w:cs="Segoe UI Emoji"/>
        </w:rPr>
        <w:t>🟡</w:t>
      </w:r>
      <w:r w:rsidRPr="008B5707">
        <w:t xml:space="preserve"> juicio experto no verificable · </w:t>
      </w:r>
      <w:r w:rsidRPr="008B5707">
        <w:rPr>
          <w:rFonts w:ascii="Segoe UI Emoji" w:hAnsi="Segoe UI Emoji" w:cs="Segoe UI Emoji"/>
        </w:rPr>
        <w:t>❌</w:t>
      </w:r>
      <w:r w:rsidRPr="008B5707">
        <w:t xml:space="preserve"> sin fuente</w:t>
      </w:r>
    </w:p>
    <w:p w14:paraId="334EBC42" w14:textId="77777777" w:rsidR="008B5707" w:rsidRPr="008B5707" w:rsidRDefault="008B5707" w:rsidP="008B5707">
      <w:r w:rsidRPr="008B5707">
        <w:pict w14:anchorId="718038D3">
          <v:rect id="_x0000_i1055" style="width:0;height:1.5pt" o:hralign="center" o:hrstd="t" o:hr="t" fillcolor="#a0a0a0" stroked="f"/>
        </w:pict>
      </w:r>
    </w:p>
    <w:p w14:paraId="6E98EF37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A. Datos que alimentan el modelo</w:t>
      </w:r>
    </w:p>
    <w:p w14:paraId="7C1DF681" w14:textId="77777777" w:rsidR="008B5707" w:rsidRPr="008B5707" w:rsidRDefault="008B5707" w:rsidP="008B5707">
      <w:r w:rsidRPr="008B5707">
        <w:t>Son los que condicionan todos los resultados.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919"/>
        <w:gridCol w:w="3407"/>
        <w:gridCol w:w="2199"/>
        <w:gridCol w:w="680"/>
      </w:tblGrid>
      <w:tr w:rsidR="008B5707" w:rsidRPr="008B5707" w14:paraId="4052A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B7DD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485CA5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76170B17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D1179CC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Procedencia</w:t>
            </w:r>
          </w:p>
        </w:tc>
        <w:tc>
          <w:tcPr>
            <w:tcW w:w="0" w:type="auto"/>
            <w:vAlign w:val="center"/>
            <w:hideMark/>
          </w:tcPr>
          <w:p w14:paraId="527A7E78" w14:textId="77777777" w:rsidR="008B5707" w:rsidRPr="008B5707" w:rsidRDefault="008B5707" w:rsidP="008B5707">
            <w:pPr>
              <w:rPr>
                <w:b/>
                <w:bCs/>
              </w:rPr>
            </w:pPr>
          </w:p>
        </w:tc>
      </w:tr>
      <w:tr w:rsidR="008B5707" w:rsidRPr="008B5707" w14:paraId="479A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EB76" w14:textId="77777777" w:rsidR="008B5707" w:rsidRPr="008B5707" w:rsidRDefault="008B5707" w:rsidP="008B5707">
            <w:r w:rsidRPr="008B5707">
              <w:t>1</w:t>
            </w:r>
          </w:p>
        </w:tc>
        <w:tc>
          <w:tcPr>
            <w:tcW w:w="0" w:type="auto"/>
            <w:vAlign w:val="center"/>
            <w:hideMark/>
          </w:tcPr>
          <w:p w14:paraId="5C51D220" w14:textId="77777777" w:rsidR="008B5707" w:rsidRPr="008B5707" w:rsidRDefault="008B5707" w:rsidP="008B5707">
            <w:r w:rsidRPr="008B5707">
              <w:t>Emplazamientos candidatos</w:t>
            </w:r>
          </w:p>
        </w:tc>
        <w:tc>
          <w:tcPr>
            <w:tcW w:w="0" w:type="auto"/>
            <w:vAlign w:val="center"/>
            <w:hideMark/>
          </w:tcPr>
          <w:p w14:paraId="49F701AC" w14:textId="77777777" w:rsidR="008B5707" w:rsidRPr="008B5707" w:rsidRDefault="008B5707" w:rsidP="008B5707">
            <w:r w:rsidRPr="008B5707">
              <w:t>1.057</w:t>
            </w:r>
          </w:p>
        </w:tc>
        <w:tc>
          <w:tcPr>
            <w:tcW w:w="0" w:type="auto"/>
            <w:vAlign w:val="center"/>
            <w:hideMark/>
          </w:tcPr>
          <w:p w14:paraId="2407FA7A" w14:textId="77777777" w:rsidR="008B5707" w:rsidRPr="008B5707" w:rsidRDefault="008B5707" w:rsidP="008B5707">
            <w:r w:rsidRPr="008B5707">
              <w:t>Open Data BCN [72] y Barcelona Regional [73]</w:t>
            </w:r>
          </w:p>
        </w:tc>
        <w:tc>
          <w:tcPr>
            <w:tcW w:w="0" w:type="auto"/>
            <w:vAlign w:val="center"/>
            <w:hideMark/>
          </w:tcPr>
          <w:p w14:paraId="6120EFB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592C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1E83" w14:textId="77777777" w:rsidR="008B5707" w:rsidRPr="008B5707" w:rsidRDefault="008B5707" w:rsidP="008B5707">
            <w:r w:rsidRPr="008B5707">
              <w:t>2</w:t>
            </w:r>
          </w:p>
        </w:tc>
        <w:tc>
          <w:tcPr>
            <w:tcW w:w="0" w:type="auto"/>
            <w:vAlign w:val="center"/>
            <w:hideMark/>
          </w:tcPr>
          <w:p w14:paraId="61C68C70" w14:textId="77777777" w:rsidR="008B5707" w:rsidRPr="008B5707" w:rsidRDefault="008B5707" w:rsidP="008B5707">
            <w:r w:rsidRPr="008B5707">
              <w:t>Desglose por categoría (Tabla 1)</w:t>
            </w:r>
          </w:p>
        </w:tc>
        <w:tc>
          <w:tcPr>
            <w:tcW w:w="0" w:type="auto"/>
            <w:vAlign w:val="center"/>
            <w:hideMark/>
          </w:tcPr>
          <w:p w14:paraId="1906807A" w14:textId="77777777" w:rsidR="008B5707" w:rsidRPr="008B5707" w:rsidRDefault="008B5707" w:rsidP="008B5707">
            <w:r w:rsidRPr="008B5707">
              <w:t>619 aparcamientos, 202 puntos de recogida, 97 metro, 39 mercados, 29 correos, 29 edificios de distrito, 18 centros comerciales, 14 vía estrecha, 10 tren</w:t>
            </w:r>
          </w:p>
        </w:tc>
        <w:tc>
          <w:tcPr>
            <w:tcW w:w="0" w:type="auto"/>
            <w:vAlign w:val="center"/>
            <w:hideMark/>
          </w:tcPr>
          <w:p w14:paraId="297B8F5B" w14:textId="77777777" w:rsidR="008B5707" w:rsidRPr="008B5707" w:rsidRDefault="008B5707" w:rsidP="008B5707">
            <w:r w:rsidRPr="008B5707">
              <w:t>Los mismos repositorios</w:t>
            </w:r>
          </w:p>
        </w:tc>
        <w:tc>
          <w:tcPr>
            <w:tcW w:w="0" w:type="auto"/>
            <w:vAlign w:val="center"/>
            <w:hideMark/>
          </w:tcPr>
          <w:p w14:paraId="04375108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3810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CB82" w14:textId="77777777" w:rsidR="008B5707" w:rsidRPr="008B5707" w:rsidRDefault="008B5707" w:rsidP="008B5707">
            <w:r w:rsidRPr="008B5707">
              <w:t>3</w:t>
            </w:r>
          </w:p>
        </w:tc>
        <w:tc>
          <w:tcPr>
            <w:tcW w:w="0" w:type="auto"/>
            <w:vAlign w:val="center"/>
            <w:hideMark/>
          </w:tcPr>
          <w:p w14:paraId="6E6F078D" w14:textId="77777777" w:rsidR="008B5707" w:rsidRPr="008B5707" w:rsidRDefault="008B5707" w:rsidP="008B5707">
            <w:r w:rsidRPr="008B5707">
              <w:t>Puntos de entrega</w:t>
            </w:r>
          </w:p>
        </w:tc>
        <w:tc>
          <w:tcPr>
            <w:tcW w:w="0" w:type="auto"/>
            <w:vAlign w:val="center"/>
            <w:hideMark/>
          </w:tcPr>
          <w:p w14:paraId="34819772" w14:textId="77777777" w:rsidR="008B5707" w:rsidRPr="008B5707" w:rsidRDefault="008B5707" w:rsidP="008B5707">
            <w:r w:rsidRPr="008B5707">
              <w:t>1.000</w:t>
            </w:r>
          </w:p>
        </w:tc>
        <w:tc>
          <w:tcPr>
            <w:tcW w:w="0" w:type="auto"/>
            <w:vAlign w:val="center"/>
            <w:hideMark/>
          </w:tcPr>
          <w:p w14:paraId="6A9BC78E" w14:textId="77777777" w:rsidR="008B5707" w:rsidRPr="008B5707" w:rsidRDefault="008B5707" w:rsidP="008B5707">
            <w:r w:rsidRPr="008B5707">
              <w:rPr>
                <w:b/>
                <w:bCs/>
              </w:rPr>
              <w:t>Generados aleatoriamente</w:t>
            </w:r>
            <w:r w:rsidRPr="008B5707">
              <w:t xml:space="preserve"> con códigos postales reales</w:t>
            </w:r>
          </w:p>
        </w:tc>
        <w:tc>
          <w:tcPr>
            <w:tcW w:w="0" w:type="auto"/>
            <w:vAlign w:val="center"/>
            <w:hideMark/>
          </w:tcPr>
          <w:p w14:paraId="754375F0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779A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AFA5" w14:textId="77777777" w:rsidR="008B5707" w:rsidRPr="008B5707" w:rsidRDefault="008B5707" w:rsidP="008B5707">
            <w:r w:rsidRPr="008B5707">
              <w:t>4</w:t>
            </w:r>
          </w:p>
        </w:tc>
        <w:tc>
          <w:tcPr>
            <w:tcW w:w="0" w:type="auto"/>
            <w:vAlign w:val="center"/>
            <w:hideMark/>
          </w:tcPr>
          <w:p w14:paraId="69E92B59" w14:textId="77777777" w:rsidR="008B5707" w:rsidRPr="008B5707" w:rsidRDefault="008B5707" w:rsidP="008B5707">
            <w:r w:rsidRPr="008B5707">
              <w:t xml:space="preserve">Superficie mínima del </w:t>
            </w:r>
            <w:proofErr w:type="spellStart"/>
            <w:proofErr w:type="gramStart"/>
            <w:r w:rsidRPr="008B5707">
              <w:t>hub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30F071" w14:textId="77777777" w:rsidR="008B5707" w:rsidRPr="008B5707" w:rsidRDefault="008B5707" w:rsidP="008B5707">
            <w:r w:rsidRPr="008B5707">
              <w:t>50 m²</w:t>
            </w:r>
          </w:p>
        </w:tc>
        <w:tc>
          <w:tcPr>
            <w:tcW w:w="0" w:type="auto"/>
            <w:vAlign w:val="center"/>
            <w:hideMark/>
          </w:tcPr>
          <w:p w14:paraId="3D84E33C" w14:textId="77777777" w:rsidR="008B5707" w:rsidRPr="008B5707" w:rsidRDefault="008B5707" w:rsidP="008B5707">
            <w:r w:rsidRPr="008B5707">
              <w:t>Consulta a operadores de última milla de la provincia de Barcelona</w:t>
            </w:r>
          </w:p>
        </w:tc>
        <w:tc>
          <w:tcPr>
            <w:tcW w:w="0" w:type="auto"/>
            <w:vAlign w:val="center"/>
            <w:hideMark/>
          </w:tcPr>
          <w:p w14:paraId="2E0E59E0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79B1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AD75" w14:textId="77777777" w:rsidR="008B5707" w:rsidRPr="008B5707" w:rsidRDefault="008B5707" w:rsidP="008B5707">
            <w:r w:rsidRPr="008B5707">
              <w:t>5</w:t>
            </w:r>
          </w:p>
        </w:tc>
        <w:tc>
          <w:tcPr>
            <w:tcW w:w="0" w:type="auto"/>
            <w:vAlign w:val="center"/>
            <w:hideMark/>
          </w:tcPr>
          <w:p w14:paraId="4CF41B46" w14:textId="77777777" w:rsidR="008B5707" w:rsidRPr="008B5707" w:rsidRDefault="008B5707" w:rsidP="008B5707">
            <w:r w:rsidRPr="008B5707">
              <w:t xml:space="preserve">Capacidad del </w:t>
            </w:r>
            <w:proofErr w:type="spellStart"/>
            <w:proofErr w:type="gramStart"/>
            <w:r w:rsidRPr="008B5707">
              <w:t>hub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C727FE" w14:textId="77777777" w:rsidR="008B5707" w:rsidRPr="008B5707" w:rsidRDefault="008B5707" w:rsidP="008B5707">
            <w:r w:rsidRPr="008B5707">
              <w:t>1.500 paquetes/día</w:t>
            </w:r>
          </w:p>
        </w:tc>
        <w:tc>
          <w:tcPr>
            <w:tcW w:w="0" w:type="auto"/>
            <w:vAlign w:val="center"/>
            <w:hideMark/>
          </w:tcPr>
          <w:p w14:paraId="325613C4" w14:textId="77777777" w:rsidR="008B5707" w:rsidRPr="008B5707" w:rsidRDefault="008B5707" w:rsidP="008B5707">
            <w:r w:rsidRPr="008B5707">
              <w:t>Derivada de los 50 m² por los mismos operadores</w:t>
            </w:r>
          </w:p>
        </w:tc>
        <w:tc>
          <w:tcPr>
            <w:tcW w:w="0" w:type="auto"/>
            <w:vAlign w:val="center"/>
            <w:hideMark/>
          </w:tcPr>
          <w:p w14:paraId="2B410D89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68CD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A985" w14:textId="77777777" w:rsidR="008B5707" w:rsidRPr="008B5707" w:rsidRDefault="008B5707" w:rsidP="008B5707">
            <w:r w:rsidRPr="008B5707">
              <w:t>6</w:t>
            </w:r>
          </w:p>
        </w:tc>
        <w:tc>
          <w:tcPr>
            <w:tcW w:w="0" w:type="auto"/>
            <w:vAlign w:val="center"/>
            <w:hideMark/>
          </w:tcPr>
          <w:p w14:paraId="4DEB11E2" w14:textId="77777777" w:rsidR="008B5707" w:rsidRPr="008B5707" w:rsidRDefault="008B5707" w:rsidP="008B5707">
            <w:r w:rsidRPr="008B5707">
              <w:t>Capacidad del vehículo</w:t>
            </w:r>
          </w:p>
        </w:tc>
        <w:tc>
          <w:tcPr>
            <w:tcW w:w="0" w:type="auto"/>
            <w:vAlign w:val="center"/>
            <w:hideMark/>
          </w:tcPr>
          <w:p w14:paraId="4E19D847" w14:textId="77777777" w:rsidR="008B5707" w:rsidRPr="008B5707" w:rsidRDefault="008B5707" w:rsidP="008B5707">
            <w:r w:rsidRPr="008B5707">
              <w:t>300 paquetes</w:t>
            </w:r>
          </w:p>
        </w:tc>
        <w:tc>
          <w:tcPr>
            <w:tcW w:w="0" w:type="auto"/>
            <w:vAlign w:val="center"/>
            <w:hideMark/>
          </w:tcPr>
          <w:p w14:paraId="508AF914" w14:textId="77777777" w:rsidR="008B5707" w:rsidRPr="008B5707" w:rsidRDefault="008B5707" w:rsidP="008B5707">
            <w:r w:rsidRPr="008B5707">
              <w:t xml:space="preserve">Operadores </w:t>
            </w:r>
            <w:r w:rsidRPr="008B5707">
              <w:rPr>
                <w:b/>
                <w:bCs/>
              </w:rPr>
              <w:t>+</w:t>
            </w:r>
            <w:r w:rsidRPr="008B5707">
              <w:t xml:space="preserve"> Arnold et al. 2018 [74] y Chen et al. 2018 [75]</w:t>
            </w:r>
          </w:p>
        </w:tc>
        <w:tc>
          <w:tcPr>
            <w:tcW w:w="0" w:type="auto"/>
            <w:vAlign w:val="center"/>
            <w:hideMark/>
          </w:tcPr>
          <w:p w14:paraId="7E825392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🟡✅</w:t>
            </w:r>
          </w:p>
        </w:tc>
      </w:tr>
      <w:tr w:rsidR="008B5707" w:rsidRPr="008B5707" w14:paraId="0119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012B" w14:textId="77777777" w:rsidR="008B5707" w:rsidRPr="008B5707" w:rsidRDefault="008B5707" w:rsidP="008B5707">
            <w:r w:rsidRPr="008B5707">
              <w:t>7</w:t>
            </w:r>
          </w:p>
        </w:tc>
        <w:tc>
          <w:tcPr>
            <w:tcW w:w="0" w:type="auto"/>
            <w:vAlign w:val="center"/>
            <w:hideMark/>
          </w:tcPr>
          <w:p w14:paraId="30C498CD" w14:textId="77777777" w:rsidR="008B5707" w:rsidRPr="008B5707" w:rsidRDefault="008B5707" w:rsidP="008B5707">
            <w:r w:rsidRPr="008B5707">
              <w:t>Costes operativos diarios</w:t>
            </w:r>
          </w:p>
        </w:tc>
        <w:tc>
          <w:tcPr>
            <w:tcW w:w="0" w:type="auto"/>
            <w:vAlign w:val="center"/>
            <w:hideMark/>
          </w:tcPr>
          <w:p w14:paraId="0126C393" w14:textId="77777777" w:rsidR="008B5707" w:rsidRPr="008B5707" w:rsidRDefault="008B5707" w:rsidP="008B5707">
            <w:r w:rsidRPr="008B5707">
              <w:t>Incluyen personal, infraestructura y equipamiento tecnológico</w:t>
            </w:r>
          </w:p>
        </w:tc>
        <w:tc>
          <w:tcPr>
            <w:tcW w:w="0" w:type="auto"/>
            <w:vAlign w:val="center"/>
            <w:hideMark/>
          </w:tcPr>
          <w:p w14:paraId="47297C60" w14:textId="77777777" w:rsidR="008B5707" w:rsidRPr="008B5707" w:rsidRDefault="008B5707" w:rsidP="008B5707">
            <w:r w:rsidRPr="008B5707">
              <w:t xml:space="preserve">Operadores. </w:t>
            </w:r>
            <w:r w:rsidRPr="008B5707">
              <w:rPr>
                <w:b/>
                <w:bCs/>
              </w:rPr>
              <w:t>El valor nunca se publica</w:t>
            </w:r>
          </w:p>
        </w:tc>
        <w:tc>
          <w:tcPr>
            <w:tcW w:w="0" w:type="auto"/>
            <w:vAlign w:val="center"/>
            <w:hideMark/>
          </w:tcPr>
          <w:p w14:paraId="1D953B88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705B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BF03" w14:textId="77777777" w:rsidR="008B5707" w:rsidRPr="008B5707" w:rsidRDefault="008B5707" w:rsidP="008B5707">
            <w:r w:rsidRPr="008B5707">
              <w:t>8</w:t>
            </w:r>
          </w:p>
        </w:tc>
        <w:tc>
          <w:tcPr>
            <w:tcW w:w="0" w:type="auto"/>
            <w:vAlign w:val="center"/>
            <w:hideMark/>
          </w:tcPr>
          <w:p w14:paraId="3159C4C3" w14:textId="77777777" w:rsidR="008B5707" w:rsidRPr="008B5707" w:rsidRDefault="008B5707" w:rsidP="008B5707">
            <w:r w:rsidRPr="008B5707">
              <w:t>Escenarios de demanda</w:t>
            </w:r>
          </w:p>
        </w:tc>
        <w:tc>
          <w:tcPr>
            <w:tcW w:w="0" w:type="auto"/>
            <w:vAlign w:val="center"/>
            <w:hideMark/>
          </w:tcPr>
          <w:p w14:paraId="5BDE36A5" w14:textId="77777777" w:rsidR="008B5707" w:rsidRPr="008B5707" w:rsidRDefault="008B5707" w:rsidP="008B5707">
            <w:r w:rsidRPr="008B5707">
              <w:t xml:space="preserve">5–25 / 50–100 / 100–200 </w:t>
            </w:r>
            <w:proofErr w:type="spellStart"/>
            <w:r w:rsidRPr="008B5707">
              <w:t>paq</w:t>
            </w:r>
            <w:proofErr w:type="spellEnd"/>
            <w:r w:rsidRPr="008B5707">
              <w:t>. por punto</w:t>
            </w:r>
          </w:p>
        </w:tc>
        <w:tc>
          <w:tcPr>
            <w:tcW w:w="0" w:type="auto"/>
            <w:vAlign w:val="center"/>
            <w:hideMark/>
          </w:tcPr>
          <w:p w14:paraId="76E32E8E" w14:textId="77777777" w:rsidR="008B5707" w:rsidRPr="008B5707" w:rsidRDefault="008B5707" w:rsidP="008B5707">
            <w:r w:rsidRPr="008B5707">
              <w:t>Ninguna</w:t>
            </w:r>
          </w:p>
        </w:tc>
        <w:tc>
          <w:tcPr>
            <w:tcW w:w="0" w:type="auto"/>
            <w:vAlign w:val="center"/>
            <w:hideMark/>
          </w:tcPr>
          <w:p w14:paraId="047DFCE5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4446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BAA" w14:textId="77777777" w:rsidR="008B5707" w:rsidRPr="008B5707" w:rsidRDefault="008B5707" w:rsidP="008B5707">
            <w:r w:rsidRPr="008B5707">
              <w:t>9</w:t>
            </w:r>
          </w:p>
        </w:tc>
        <w:tc>
          <w:tcPr>
            <w:tcW w:w="0" w:type="auto"/>
            <w:vAlign w:val="center"/>
            <w:hideMark/>
          </w:tcPr>
          <w:p w14:paraId="4719A827" w14:textId="77777777" w:rsidR="008B5707" w:rsidRPr="008B5707" w:rsidRDefault="008B5707" w:rsidP="008B5707">
            <w:r w:rsidRPr="008B5707">
              <w:t>Coste de arco Cₐ y coste fijo por vehículo VF</w:t>
            </w:r>
          </w:p>
        </w:tc>
        <w:tc>
          <w:tcPr>
            <w:tcW w:w="0" w:type="auto"/>
            <w:vAlign w:val="center"/>
            <w:hideMark/>
          </w:tcPr>
          <w:p w14:paraId="3E54BE21" w14:textId="77777777" w:rsidR="008B5707" w:rsidRPr="008B5707" w:rsidRDefault="008B5707" w:rsidP="008B5707">
            <w:r w:rsidRPr="008B5707">
              <w:t>—</w:t>
            </w:r>
          </w:p>
        </w:tc>
        <w:tc>
          <w:tcPr>
            <w:tcW w:w="0" w:type="auto"/>
            <w:vAlign w:val="center"/>
            <w:hideMark/>
          </w:tcPr>
          <w:p w14:paraId="540ED4C0" w14:textId="77777777" w:rsidR="008B5707" w:rsidRPr="008B5707" w:rsidRDefault="008B5707" w:rsidP="008B5707">
            <w:r w:rsidRPr="008B5707">
              <w:rPr>
                <w:b/>
                <w:bCs/>
              </w:rPr>
              <w:t>Nunca se especifican</w:t>
            </w:r>
            <w:r w:rsidRPr="008B5707">
              <w:t>, ni cómo se calculan las distancias</w:t>
            </w:r>
          </w:p>
        </w:tc>
        <w:tc>
          <w:tcPr>
            <w:tcW w:w="0" w:type="auto"/>
            <w:vAlign w:val="center"/>
            <w:hideMark/>
          </w:tcPr>
          <w:p w14:paraId="58049EA5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27DB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2CA5" w14:textId="77777777" w:rsidR="008B5707" w:rsidRPr="008B5707" w:rsidRDefault="008B5707" w:rsidP="008B5707">
            <w:r w:rsidRPr="008B5707">
              <w:t>10</w:t>
            </w:r>
          </w:p>
        </w:tc>
        <w:tc>
          <w:tcPr>
            <w:tcW w:w="0" w:type="auto"/>
            <w:vAlign w:val="center"/>
            <w:hideMark/>
          </w:tcPr>
          <w:p w14:paraId="3DDAB82B" w14:textId="77777777" w:rsidR="008B5707" w:rsidRPr="008B5707" w:rsidRDefault="008B5707" w:rsidP="008B5707">
            <w:r w:rsidRPr="008B5707">
              <w:t>Parámetro α</w:t>
            </w:r>
          </w:p>
        </w:tc>
        <w:tc>
          <w:tcPr>
            <w:tcW w:w="0" w:type="auto"/>
            <w:vAlign w:val="center"/>
            <w:hideMark/>
          </w:tcPr>
          <w:p w14:paraId="0AD817C6" w14:textId="77777777" w:rsidR="008B5707" w:rsidRPr="008B5707" w:rsidRDefault="008B5707" w:rsidP="008B5707">
            <w:r w:rsidRPr="008B5707">
              <w:t>0,3–0,4</w:t>
            </w:r>
          </w:p>
        </w:tc>
        <w:tc>
          <w:tcPr>
            <w:tcW w:w="0" w:type="auto"/>
            <w:vAlign w:val="center"/>
            <w:hideMark/>
          </w:tcPr>
          <w:p w14:paraId="1F14CBB7" w14:textId="77777777" w:rsidR="008B5707" w:rsidRPr="008B5707" w:rsidRDefault="008B5707" w:rsidP="008B5707">
            <w:r w:rsidRPr="008B5707">
              <w:t>Proceso de ajuste propio</w:t>
            </w:r>
          </w:p>
        </w:tc>
        <w:tc>
          <w:tcPr>
            <w:tcW w:w="0" w:type="auto"/>
            <w:vAlign w:val="center"/>
            <w:hideMark/>
          </w:tcPr>
          <w:p w14:paraId="7BD7FB93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5957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7E79" w14:textId="77777777" w:rsidR="008B5707" w:rsidRPr="008B5707" w:rsidRDefault="008B5707" w:rsidP="008B5707">
            <w:r w:rsidRPr="008B5707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362ABD8" w14:textId="77777777" w:rsidR="008B5707" w:rsidRPr="008B5707" w:rsidRDefault="008B5707" w:rsidP="008B5707">
            <w:r w:rsidRPr="008B5707">
              <w:t>Tope de iteraciones CWS</w:t>
            </w:r>
          </w:p>
        </w:tc>
        <w:tc>
          <w:tcPr>
            <w:tcW w:w="0" w:type="auto"/>
            <w:vAlign w:val="center"/>
            <w:hideMark/>
          </w:tcPr>
          <w:p w14:paraId="4B6746AC" w14:textId="77777777" w:rsidR="008B5707" w:rsidRPr="008B5707" w:rsidRDefault="008B5707" w:rsidP="008B5707">
            <w:r w:rsidRPr="008B5707">
              <w:t>5.000</w:t>
            </w:r>
          </w:p>
        </w:tc>
        <w:tc>
          <w:tcPr>
            <w:tcW w:w="0" w:type="auto"/>
            <w:vAlign w:val="center"/>
            <w:hideMark/>
          </w:tcPr>
          <w:p w14:paraId="540F2015" w14:textId="77777777" w:rsidR="008B5707" w:rsidRPr="008B5707" w:rsidRDefault="008B5707" w:rsidP="008B5707">
            <w:r w:rsidRPr="008B5707">
              <w:t>Ajuste propio sobre muestra aleatoria de instancias</w:t>
            </w:r>
          </w:p>
        </w:tc>
        <w:tc>
          <w:tcPr>
            <w:tcW w:w="0" w:type="auto"/>
            <w:vAlign w:val="center"/>
            <w:hideMark/>
          </w:tcPr>
          <w:p w14:paraId="634E992C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1574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9B46" w14:textId="77777777" w:rsidR="008B5707" w:rsidRPr="008B5707" w:rsidRDefault="008B5707" w:rsidP="008B5707">
            <w:r w:rsidRPr="008B5707">
              <w:t>12</w:t>
            </w:r>
          </w:p>
        </w:tc>
        <w:tc>
          <w:tcPr>
            <w:tcW w:w="0" w:type="auto"/>
            <w:vAlign w:val="center"/>
            <w:hideMark/>
          </w:tcPr>
          <w:p w14:paraId="2E29C7EA" w14:textId="77777777" w:rsidR="008B5707" w:rsidRPr="008B5707" w:rsidRDefault="008B5707" w:rsidP="008B5707">
            <w:r w:rsidRPr="008B5707">
              <w:t>Tope de tiempo, fase 1</w:t>
            </w:r>
          </w:p>
        </w:tc>
        <w:tc>
          <w:tcPr>
            <w:tcW w:w="0" w:type="auto"/>
            <w:vAlign w:val="center"/>
            <w:hideMark/>
          </w:tcPr>
          <w:p w14:paraId="13E71CAD" w14:textId="77777777" w:rsidR="008B5707" w:rsidRPr="008B5707" w:rsidRDefault="008B5707" w:rsidP="008B5707">
            <w:r w:rsidRPr="008B5707">
              <w:t>600 s</w:t>
            </w:r>
          </w:p>
        </w:tc>
        <w:tc>
          <w:tcPr>
            <w:tcW w:w="0" w:type="auto"/>
            <w:vAlign w:val="center"/>
            <w:hideMark/>
          </w:tcPr>
          <w:p w14:paraId="2443C2F6" w14:textId="77777777" w:rsidR="008B5707" w:rsidRPr="008B5707" w:rsidRDefault="008B5707" w:rsidP="008B5707">
            <w:r w:rsidRPr="008B5707">
              <w:t>Mismo ajuste</w:t>
            </w:r>
          </w:p>
        </w:tc>
        <w:tc>
          <w:tcPr>
            <w:tcW w:w="0" w:type="auto"/>
            <w:vAlign w:val="center"/>
            <w:hideMark/>
          </w:tcPr>
          <w:p w14:paraId="569B0DF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</w:tbl>
    <w:p w14:paraId="3346E7E0" w14:textId="77777777" w:rsidR="008B5707" w:rsidRPr="008B5707" w:rsidRDefault="008B5707" w:rsidP="008B5707">
      <w:r w:rsidRPr="008B5707">
        <w:rPr>
          <w:b/>
          <w:bCs/>
        </w:rPr>
        <w:t>Los puntos 3, 8 y 9 son los críticos:</w:t>
      </w:r>
      <w:r w:rsidRPr="008B5707">
        <w:t xml:space="preserve"> destinos, demanda y coste de transporte son los tres inputs que determinan el resultado, y ninguno tiene respaldo externo.</w:t>
      </w:r>
    </w:p>
    <w:p w14:paraId="423A5A56" w14:textId="77777777" w:rsidR="008B5707" w:rsidRPr="008B5707" w:rsidRDefault="008B5707" w:rsidP="008B5707">
      <w:r w:rsidRPr="008B5707">
        <w:pict w14:anchorId="5F10E8B1">
          <v:rect id="_x0000_i1056" style="width:0;height:1.5pt" o:hralign="center" o:hrstd="t" o:hr="t" fillcolor="#a0a0a0" stroked="f"/>
        </w:pict>
      </w:r>
    </w:p>
    <w:p w14:paraId="53A8668A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B. Datos de contexto (introducción y revisión)</w:t>
      </w:r>
    </w:p>
    <w:p w14:paraId="7E72990A" w14:textId="77777777" w:rsidR="008B5707" w:rsidRPr="008B5707" w:rsidRDefault="008B5707" w:rsidP="008B5707">
      <w:r w:rsidRPr="008B5707">
        <w:t>Aquí la calidad de citación es notablemente mejor.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477"/>
        <w:gridCol w:w="3992"/>
        <w:gridCol w:w="378"/>
      </w:tblGrid>
      <w:tr w:rsidR="008B5707" w:rsidRPr="008B5707" w14:paraId="577EA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61DD4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219317F9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30B69A6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7E0D602" w14:textId="77777777" w:rsidR="008B5707" w:rsidRPr="008B5707" w:rsidRDefault="008B5707" w:rsidP="008B5707">
            <w:pPr>
              <w:rPr>
                <w:b/>
                <w:bCs/>
              </w:rPr>
            </w:pPr>
          </w:p>
        </w:tc>
      </w:tr>
      <w:tr w:rsidR="008B5707" w:rsidRPr="008B5707" w14:paraId="686C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B44" w14:textId="77777777" w:rsidR="008B5707" w:rsidRPr="008B5707" w:rsidRDefault="008B5707" w:rsidP="008B5707">
            <w:r w:rsidRPr="008B5707">
              <w:t>Población urbana mundial</w:t>
            </w:r>
          </w:p>
        </w:tc>
        <w:tc>
          <w:tcPr>
            <w:tcW w:w="0" w:type="auto"/>
            <w:vAlign w:val="center"/>
            <w:hideMark/>
          </w:tcPr>
          <w:p w14:paraId="41074696" w14:textId="77777777" w:rsidR="008B5707" w:rsidRPr="008B5707" w:rsidRDefault="008B5707" w:rsidP="008B5707">
            <w:r w:rsidRPr="008B5707">
              <w:t>55% en 2017 → 68% en 2050</w:t>
            </w:r>
          </w:p>
        </w:tc>
        <w:tc>
          <w:tcPr>
            <w:tcW w:w="0" w:type="auto"/>
            <w:vAlign w:val="center"/>
            <w:hideMark/>
          </w:tcPr>
          <w:p w14:paraId="4F2BBBE3" w14:textId="77777777" w:rsidR="008B5707" w:rsidRPr="008B5707" w:rsidRDefault="008B5707" w:rsidP="008B5707">
            <w:pPr>
              <w:rPr>
                <w:lang w:val="en-GB"/>
              </w:rPr>
            </w:pPr>
            <w:r w:rsidRPr="008B5707">
              <w:rPr>
                <w:lang w:val="en-GB"/>
              </w:rPr>
              <w:t xml:space="preserve">[28] United Nations (2019), </w:t>
            </w:r>
            <w:r w:rsidRPr="008B5707">
              <w:rPr>
                <w:i/>
                <w:iCs/>
                <w:lang w:val="en-GB"/>
              </w:rPr>
              <w:t>World Urbanization Prospects: The 2018 Revision</w:t>
            </w:r>
          </w:p>
        </w:tc>
        <w:tc>
          <w:tcPr>
            <w:tcW w:w="0" w:type="auto"/>
            <w:vAlign w:val="center"/>
            <w:hideMark/>
          </w:tcPr>
          <w:p w14:paraId="5BD3D3AC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69BB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7DD3" w14:textId="77777777" w:rsidR="008B5707" w:rsidRPr="008B5707" w:rsidRDefault="008B5707" w:rsidP="008B5707">
            <w:r w:rsidRPr="008B5707">
              <w:t>Peso de la UFD en el tráfico</w:t>
            </w:r>
          </w:p>
        </w:tc>
        <w:tc>
          <w:tcPr>
            <w:tcW w:w="0" w:type="auto"/>
            <w:vAlign w:val="center"/>
            <w:hideMark/>
          </w:tcPr>
          <w:p w14:paraId="1155CF5D" w14:textId="77777777" w:rsidR="008B5707" w:rsidRPr="008B5707" w:rsidRDefault="008B5707" w:rsidP="008B5707">
            <w:r w:rsidRPr="008B5707">
              <w:t>10–20% de los vehículos</w:t>
            </w:r>
          </w:p>
        </w:tc>
        <w:tc>
          <w:tcPr>
            <w:tcW w:w="0" w:type="auto"/>
            <w:vAlign w:val="center"/>
            <w:hideMark/>
          </w:tcPr>
          <w:p w14:paraId="2400CFBF" w14:textId="77777777" w:rsidR="008B5707" w:rsidRPr="008B5707" w:rsidRDefault="008B5707" w:rsidP="008B5707">
            <w:r w:rsidRPr="008B5707">
              <w:rPr>
                <w:lang w:val="de-DE"/>
              </w:rPr>
              <w:t xml:space="preserve">[32] Kijewska &amp; Iwan (2019); [33] Schliwa et al. </w:t>
            </w:r>
            <w:r w:rsidRPr="008B5707">
              <w:t>(2015)</w:t>
            </w:r>
          </w:p>
        </w:tc>
        <w:tc>
          <w:tcPr>
            <w:tcW w:w="0" w:type="auto"/>
            <w:vAlign w:val="center"/>
            <w:hideMark/>
          </w:tcPr>
          <w:p w14:paraId="4E2E8543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6A4C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8144" w14:textId="77777777" w:rsidR="008B5707" w:rsidRPr="008B5707" w:rsidRDefault="008B5707" w:rsidP="008B5707">
            <w:r w:rsidRPr="008B5707">
              <w:t>Contribución a emisiones</w:t>
            </w:r>
          </w:p>
        </w:tc>
        <w:tc>
          <w:tcPr>
            <w:tcW w:w="0" w:type="auto"/>
            <w:vAlign w:val="center"/>
            <w:hideMark/>
          </w:tcPr>
          <w:p w14:paraId="4C6EFF4B" w14:textId="77777777" w:rsidR="008B5707" w:rsidRPr="008B5707" w:rsidRDefault="008B5707" w:rsidP="008B5707">
            <w:r w:rsidRPr="008B5707">
              <w:t>≈25% de las del transporte</w:t>
            </w:r>
          </w:p>
        </w:tc>
        <w:tc>
          <w:tcPr>
            <w:tcW w:w="0" w:type="auto"/>
            <w:vAlign w:val="center"/>
            <w:hideMark/>
          </w:tcPr>
          <w:p w14:paraId="5944C82C" w14:textId="77777777" w:rsidR="008B5707" w:rsidRPr="008B5707" w:rsidRDefault="008B5707" w:rsidP="008B5707">
            <w:pPr>
              <w:rPr>
                <w:lang w:val="en-GB"/>
              </w:rPr>
            </w:pPr>
            <w:r w:rsidRPr="008B5707">
              <w:rPr>
                <w:lang w:val="en-GB"/>
              </w:rPr>
              <w:t xml:space="preserve">[34] ALICE/ERTRAC Urban Mobility WG (2015), </w:t>
            </w:r>
            <w:r w:rsidRPr="008B5707">
              <w:rPr>
                <w:i/>
                <w:iCs/>
                <w:lang w:val="en-GB"/>
              </w:rPr>
              <w:t>Urban Freight Research Roadmap</w:t>
            </w:r>
          </w:p>
        </w:tc>
        <w:tc>
          <w:tcPr>
            <w:tcW w:w="0" w:type="auto"/>
            <w:vAlign w:val="center"/>
            <w:hideMark/>
          </w:tcPr>
          <w:p w14:paraId="3EC0175A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1283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F427" w14:textId="77777777" w:rsidR="008B5707" w:rsidRPr="008B5707" w:rsidRDefault="008B5707" w:rsidP="008B5707">
            <w:r w:rsidRPr="008B5707">
              <w:t>Contribución al ruido</w:t>
            </w:r>
          </w:p>
        </w:tc>
        <w:tc>
          <w:tcPr>
            <w:tcW w:w="0" w:type="auto"/>
            <w:vAlign w:val="center"/>
            <w:hideMark/>
          </w:tcPr>
          <w:p w14:paraId="642D3E07" w14:textId="77777777" w:rsidR="008B5707" w:rsidRPr="008B5707" w:rsidRDefault="008B5707" w:rsidP="008B5707">
            <w:r w:rsidRPr="008B5707">
              <w:t>30–50%</w:t>
            </w:r>
          </w:p>
        </w:tc>
        <w:tc>
          <w:tcPr>
            <w:tcW w:w="0" w:type="auto"/>
            <w:vAlign w:val="center"/>
            <w:hideMark/>
          </w:tcPr>
          <w:p w14:paraId="36B185C9" w14:textId="77777777" w:rsidR="008B5707" w:rsidRPr="008B5707" w:rsidRDefault="008B5707" w:rsidP="008B5707">
            <w:r w:rsidRPr="008B5707">
              <w:t>[34] mismo informe</w:t>
            </w:r>
          </w:p>
        </w:tc>
        <w:tc>
          <w:tcPr>
            <w:tcW w:w="0" w:type="auto"/>
            <w:vAlign w:val="center"/>
            <w:hideMark/>
          </w:tcPr>
          <w:p w14:paraId="5366316E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5FB24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1E40" w14:textId="77777777" w:rsidR="008B5707" w:rsidRPr="008B5707" w:rsidRDefault="008B5707" w:rsidP="008B5707">
            <w:r w:rsidRPr="008B5707">
              <w:t>Demanda diaria de Barcelona</w:t>
            </w:r>
          </w:p>
        </w:tc>
        <w:tc>
          <w:tcPr>
            <w:tcW w:w="0" w:type="auto"/>
            <w:vAlign w:val="center"/>
            <w:hideMark/>
          </w:tcPr>
          <w:p w14:paraId="5E066ACB" w14:textId="77777777" w:rsidR="008B5707" w:rsidRPr="008B5707" w:rsidRDefault="008B5707" w:rsidP="008B5707">
            <w:r w:rsidRPr="008B5707">
              <w:t>59.400 paquetes</w:t>
            </w:r>
          </w:p>
        </w:tc>
        <w:tc>
          <w:tcPr>
            <w:tcW w:w="0" w:type="auto"/>
            <w:vAlign w:val="center"/>
            <w:hideMark/>
          </w:tcPr>
          <w:p w14:paraId="373BDD04" w14:textId="77777777" w:rsidR="008B5707" w:rsidRPr="008B5707" w:rsidRDefault="008B5707" w:rsidP="008B5707">
            <w:r w:rsidRPr="008B5707">
              <w:t xml:space="preserve">Generalitat de Catalunya (5 </w:t>
            </w:r>
            <w:proofErr w:type="spellStart"/>
            <w:proofErr w:type="gramStart"/>
            <w:r w:rsidRPr="008B5707">
              <w:t>paq</w:t>
            </w:r>
            <w:proofErr w:type="spellEnd"/>
            <w:r w:rsidRPr="008B5707">
              <w:t>./</w:t>
            </w:r>
            <w:proofErr w:type="gramEnd"/>
            <w:r w:rsidRPr="008B5707">
              <w:t>segundo en Cataluña, enlazado como "</w:t>
            </w:r>
            <w:proofErr w:type="spellStart"/>
            <w:r w:rsidRPr="008B5707">
              <w:t>report</w:t>
            </w:r>
            <w:proofErr w:type="spellEnd"/>
            <w:r w:rsidRPr="008B5707">
              <w:t xml:space="preserve"> </w:t>
            </w:r>
            <w:proofErr w:type="spellStart"/>
            <w:r w:rsidRPr="008B5707">
              <w:t>here</w:t>
            </w:r>
            <w:proofErr w:type="spellEnd"/>
            <w:r w:rsidRPr="008B5707">
              <w:t xml:space="preserve">") </w:t>
            </w:r>
            <w:r w:rsidRPr="008B5707">
              <w:rPr>
                <w:b/>
                <w:bCs/>
              </w:rPr>
              <w:t>+</w:t>
            </w:r>
            <w:r w:rsidRPr="008B5707">
              <w:t xml:space="preserve"> IDESCAT 2023 (1.655.956 hab.)</w:t>
            </w:r>
          </w:p>
        </w:tc>
        <w:tc>
          <w:tcPr>
            <w:tcW w:w="0" w:type="auto"/>
            <w:vAlign w:val="center"/>
            <w:hideMark/>
          </w:tcPr>
          <w:p w14:paraId="0E9AB22E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00F2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EB85" w14:textId="77777777" w:rsidR="008B5707" w:rsidRPr="008B5707" w:rsidRDefault="008B5707" w:rsidP="008B5707">
            <w:r w:rsidRPr="008B5707">
              <w:t>Proyecciones de crecimiento del e-</w:t>
            </w:r>
            <w:proofErr w:type="spellStart"/>
            <w:r w:rsidRPr="008B5707">
              <w:t>commerce</w:t>
            </w:r>
            <w:proofErr w:type="spellEnd"/>
            <w:r w:rsidRPr="008B5707">
              <w:t xml:space="preserve"> en Barcelona y España</w:t>
            </w:r>
          </w:p>
        </w:tc>
        <w:tc>
          <w:tcPr>
            <w:tcW w:w="0" w:type="auto"/>
            <w:vAlign w:val="center"/>
            <w:hideMark/>
          </w:tcPr>
          <w:p w14:paraId="7AE035B0" w14:textId="77777777" w:rsidR="008B5707" w:rsidRPr="008B5707" w:rsidRDefault="008B5707" w:rsidP="008B5707">
            <w:r w:rsidRPr="008B5707">
              <w:t>—</w:t>
            </w:r>
          </w:p>
        </w:tc>
        <w:tc>
          <w:tcPr>
            <w:tcW w:w="0" w:type="auto"/>
            <w:vAlign w:val="center"/>
            <w:hideMark/>
          </w:tcPr>
          <w:p w14:paraId="0678A21E" w14:textId="77777777" w:rsidR="008B5707" w:rsidRPr="008B5707" w:rsidRDefault="008B5707" w:rsidP="008B5707">
            <w:r w:rsidRPr="008B5707">
              <w:t xml:space="preserve">Se invocan para justificar el escenario alto, </w:t>
            </w:r>
            <w:r w:rsidRPr="008B5707">
              <w:rPr>
                <w:b/>
                <w:bCs/>
              </w:rPr>
              <w:t>sin citar ninguna</w:t>
            </w:r>
          </w:p>
        </w:tc>
        <w:tc>
          <w:tcPr>
            <w:tcW w:w="0" w:type="auto"/>
            <w:vAlign w:val="center"/>
            <w:hideMark/>
          </w:tcPr>
          <w:p w14:paraId="5CF01211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</w:tbl>
    <w:p w14:paraId="5FF893F0" w14:textId="77777777" w:rsidR="008B5707" w:rsidRPr="008B5707" w:rsidRDefault="008B5707" w:rsidP="008B5707">
      <w:r w:rsidRPr="008B5707">
        <w:t xml:space="preserve">Sobre los 59.400 paquetes: es el único dato de demanda con procedencia, aparece en la </w:t>
      </w:r>
      <w:r w:rsidRPr="008B5707">
        <w:rPr>
          <w:b/>
          <w:bCs/>
        </w:rPr>
        <w:t>nota al pie 1 de la página 10</w:t>
      </w:r>
      <w:r w:rsidRPr="008B5707">
        <w:t xml:space="preserve">, y —como vimos— </w:t>
      </w:r>
      <w:r w:rsidRPr="008B5707">
        <w:rPr>
          <w:b/>
          <w:bCs/>
        </w:rPr>
        <w:t>no entra en la simulación</w:t>
      </w:r>
      <w:r w:rsidRPr="008B5707">
        <w:t>. La cita a la Generalitat es un hipervínculo, no una referencia formal del listado.</w:t>
      </w:r>
    </w:p>
    <w:p w14:paraId="5E5048E3" w14:textId="77777777" w:rsidR="008B5707" w:rsidRPr="008B5707" w:rsidRDefault="008B5707" w:rsidP="008B5707">
      <w:r w:rsidRPr="008B5707">
        <w:pict w14:anchorId="26BBB9D3">
          <v:rect id="_x0000_i1057" style="width:0;height:1.5pt" o:hralign="center" o:hrstd="t" o:hr="t" fillcolor="#a0a0a0" stroked="f"/>
        </w:pict>
      </w:r>
    </w:p>
    <w:p w14:paraId="49090495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C. Datos generados por el propio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665"/>
        <w:gridCol w:w="4359"/>
      </w:tblGrid>
      <w:tr w:rsidR="008B5707" w:rsidRPr="008B5707" w14:paraId="0A8E3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92FB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97092A2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5EB6169C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Observación</w:t>
            </w:r>
          </w:p>
        </w:tc>
      </w:tr>
      <w:tr w:rsidR="008B5707" w:rsidRPr="008B5707" w14:paraId="7D9B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E427" w14:textId="77777777" w:rsidR="008B5707" w:rsidRPr="008B5707" w:rsidRDefault="008B5707" w:rsidP="008B5707">
            <w:r w:rsidRPr="008B5707">
              <w:t>Tablas 2, 4, 5</w:t>
            </w:r>
          </w:p>
        </w:tc>
        <w:tc>
          <w:tcPr>
            <w:tcW w:w="0" w:type="auto"/>
            <w:vAlign w:val="center"/>
            <w:hideMark/>
          </w:tcPr>
          <w:p w14:paraId="091562B8" w14:textId="77777777" w:rsidR="008B5707" w:rsidRPr="008B5707" w:rsidRDefault="008B5707" w:rsidP="008B5707">
            <w:r w:rsidRPr="008B5707">
              <w:t>Resultados de simulación (híbrido, público, privado)</w:t>
            </w:r>
          </w:p>
        </w:tc>
        <w:tc>
          <w:tcPr>
            <w:tcW w:w="0" w:type="auto"/>
            <w:vAlign w:val="center"/>
            <w:hideMark/>
          </w:tcPr>
          <w:p w14:paraId="1478E950" w14:textId="77777777" w:rsidR="008B5707" w:rsidRPr="008B5707" w:rsidRDefault="008B5707" w:rsidP="008B5707">
            <w:r w:rsidRPr="008B5707">
              <w:t>Output propio</w:t>
            </w:r>
          </w:p>
        </w:tc>
      </w:tr>
      <w:tr w:rsidR="008B5707" w:rsidRPr="008B5707" w14:paraId="3DF1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DA23" w14:textId="77777777" w:rsidR="008B5707" w:rsidRPr="008B5707" w:rsidRDefault="008B5707" w:rsidP="008B5707">
            <w:r w:rsidRPr="008B5707">
              <w:lastRenderedPageBreak/>
              <w:t>Tabla 3</w:t>
            </w:r>
          </w:p>
        </w:tc>
        <w:tc>
          <w:tcPr>
            <w:tcW w:w="0" w:type="auto"/>
            <w:vAlign w:val="center"/>
            <w:hideMark/>
          </w:tcPr>
          <w:p w14:paraId="7325459B" w14:textId="77777777" w:rsidR="008B5707" w:rsidRPr="008B5707" w:rsidRDefault="008B5707" w:rsidP="008B5707">
            <w:r w:rsidRPr="008B5707">
              <w:t>Tiempos de cómputo, de 0,58 s a 2.674,88 s</w:t>
            </w:r>
          </w:p>
        </w:tc>
        <w:tc>
          <w:tcPr>
            <w:tcW w:w="0" w:type="auto"/>
            <w:vAlign w:val="center"/>
            <w:hideMark/>
          </w:tcPr>
          <w:p w14:paraId="77EC43CA" w14:textId="77777777" w:rsidR="008B5707" w:rsidRPr="008B5707" w:rsidRDefault="008B5707" w:rsidP="008B5707">
            <w:r w:rsidRPr="008B5707">
              <w:rPr>
                <w:b/>
                <w:bCs/>
              </w:rPr>
              <w:t>No se indica el hardware</w:t>
            </w:r>
            <w:r w:rsidRPr="008B5707">
              <w:t xml:space="preserve"> utilizado, lo que impide interpretar o replicar los tiempos</w:t>
            </w:r>
          </w:p>
        </w:tc>
      </w:tr>
      <w:tr w:rsidR="008B5707" w:rsidRPr="008B5707" w14:paraId="62C9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F310" w14:textId="77777777" w:rsidR="008B5707" w:rsidRPr="008B5707" w:rsidRDefault="008B5707" w:rsidP="008B5707">
            <w:r w:rsidRPr="008B5707">
              <w:t>Figuras 4 y 5</w:t>
            </w:r>
          </w:p>
        </w:tc>
        <w:tc>
          <w:tcPr>
            <w:tcW w:w="0" w:type="auto"/>
            <w:vAlign w:val="center"/>
            <w:hideMark/>
          </w:tcPr>
          <w:p w14:paraId="5610A825" w14:textId="77777777" w:rsidR="008B5707" w:rsidRPr="008B5707" w:rsidRDefault="008B5707" w:rsidP="008B5707">
            <w:proofErr w:type="spellStart"/>
            <w:r w:rsidRPr="008B5707">
              <w:t>Boxplots</w:t>
            </w:r>
            <w:proofErr w:type="spellEnd"/>
            <w:r w:rsidRPr="008B5707">
              <w:t xml:space="preserve"> de costes y evolución del número de </w:t>
            </w:r>
            <w:proofErr w:type="spellStart"/>
            <w:r w:rsidRPr="008B5707">
              <w:t>hubs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F6CAE" w14:textId="77777777" w:rsidR="008B5707" w:rsidRPr="008B5707" w:rsidRDefault="008B5707" w:rsidP="008B5707">
            <w:r w:rsidRPr="008B5707">
              <w:t>Derivadas de la Tabla 2</w:t>
            </w:r>
          </w:p>
        </w:tc>
      </w:tr>
      <w:tr w:rsidR="008B5707" w:rsidRPr="008B5707" w14:paraId="03A2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3347" w14:textId="77777777" w:rsidR="008B5707" w:rsidRPr="008B5707" w:rsidRDefault="008B5707" w:rsidP="008B5707">
            <w:r w:rsidRPr="008B5707">
              <w:t>Figuras 1 y 6</w:t>
            </w:r>
          </w:p>
        </w:tc>
        <w:tc>
          <w:tcPr>
            <w:tcW w:w="0" w:type="auto"/>
            <w:vAlign w:val="center"/>
            <w:hideMark/>
          </w:tcPr>
          <w:p w14:paraId="73D01C62" w14:textId="77777777" w:rsidR="008B5707" w:rsidRPr="008B5707" w:rsidRDefault="008B5707" w:rsidP="008B5707">
            <w:r w:rsidRPr="008B5707">
              <w:t>Mapas de emplazamientos y cuencas geográficas</w:t>
            </w:r>
          </w:p>
        </w:tc>
        <w:tc>
          <w:tcPr>
            <w:tcW w:w="0" w:type="auto"/>
            <w:vAlign w:val="center"/>
            <w:hideMark/>
          </w:tcPr>
          <w:p w14:paraId="11DDC388" w14:textId="77777777" w:rsidR="008B5707" w:rsidRPr="008B5707" w:rsidRDefault="008B5707" w:rsidP="008B5707">
            <w:r w:rsidRPr="008B5707">
              <w:t>Elaboración propia (según el apartado de contribuciones, los mapas los creó EA)</w:t>
            </w:r>
          </w:p>
        </w:tc>
      </w:tr>
      <w:tr w:rsidR="008B5707" w:rsidRPr="008B5707" w14:paraId="6E63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12EA" w14:textId="77777777" w:rsidR="008B5707" w:rsidRPr="008B5707" w:rsidRDefault="008B5707" w:rsidP="008B5707">
            <w:r w:rsidRPr="008B5707">
              <w:t>Figuras 2 y 3</w:t>
            </w:r>
          </w:p>
        </w:tc>
        <w:tc>
          <w:tcPr>
            <w:tcW w:w="0" w:type="auto"/>
            <w:vAlign w:val="center"/>
            <w:hideMark/>
          </w:tcPr>
          <w:p w14:paraId="17B65ED2" w14:textId="77777777" w:rsidR="008B5707" w:rsidRPr="008B5707" w:rsidRDefault="008B5707" w:rsidP="008B5707">
            <w:r w:rsidRPr="008B5707">
              <w:t>Pseudocódigo de las dos fases</w:t>
            </w:r>
          </w:p>
        </w:tc>
        <w:tc>
          <w:tcPr>
            <w:tcW w:w="0" w:type="auto"/>
            <w:vAlign w:val="center"/>
            <w:hideMark/>
          </w:tcPr>
          <w:p w14:paraId="4A606086" w14:textId="77777777" w:rsidR="008B5707" w:rsidRPr="008B5707" w:rsidRDefault="008B5707" w:rsidP="008B5707">
            <w:r w:rsidRPr="008B5707">
              <w:t>Elaboración propia</w:t>
            </w:r>
          </w:p>
        </w:tc>
      </w:tr>
      <w:tr w:rsidR="008B5707" w:rsidRPr="008B5707" w14:paraId="5F09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03B" w14:textId="77777777" w:rsidR="008B5707" w:rsidRPr="008B5707" w:rsidRDefault="008B5707" w:rsidP="008B5707">
            <w:r w:rsidRPr="008B5707">
              <w:t xml:space="preserve">"61 </w:t>
            </w:r>
            <w:proofErr w:type="spellStart"/>
            <w:r w:rsidRPr="008B5707">
              <w:t>hubs</w:t>
            </w:r>
            <w:proofErr w:type="spellEnd"/>
            <w:r w:rsidRPr="008B5707">
              <w:t>, menos del 6%"</w:t>
            </w:r>
          </w:p>
        </w:tc>
        <w:tc>
          <w:tcPr>
            <w:tcW w:w="0" w:type="auto"/>
            <w:vAlign w:val="center"/>
            <w:hideMark/>
          </w:tcPr>
          <w:p w14:paraId="2835AC86" w14:textId="77777777" w:rsidR="008B5707" w:rsidRPr="008B5707" w:rsidRDefault="008B5707" w:rsidP="008B5707">
            <w:r w:rsidRPr="008B5707">
              <w:t>Titular del artículo</w:t>
            </w:r>
          </w:p>
        </w:tc>
        <w:tc>
          <w:tcPr>
            <w:tcW w:w="0" w:type="auto"/>
            <w:vAlign w:val="center"/>
            <w:hideMark/>
          </w:tcPr>
          <w:p w14:paraId="2E286726" w14:textId="77777777" w:rsidR="008B5707" w:rsidRPr="008B5707" w:rsidRDefault="008B5707" w:rsidP="008B5707">
            <w:r w:rsidRPr="008B5707">
              <w:t>Derivado del escenario de demanda alta</w:t>
            </w:r>
          </w:p>
        </w:tc>
      </w:tr>
      <w:tr w:rsidR="008B5707" w:rsidRPr="008B5707" w14:paraId="386C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C339" w14:textId="77777777" w:rsidR="008B5707" w:rsidRPr="008B5707" w:rsidRDefault="008B5707" w:rsidP="008B5707">
            <w:r w:rsidRPr="008B5707">
              <w:rPr>
                <w:b/>
                <w:bCs/>
              </w:rPr>
              <w:t>311 €/</w:t>
            </w:r>
            <w:proofErr w:type="spellStart"/>
            <w:proofErr w:type="gramStart"/>
            <w:r w:rsidRPr="008B5707">
              <w:rPr>
                <w:b/>
                <w:bCs/>
              </w:rPr>
              <w:t>hub</w:t>
            </w:r>
            <w:proofErr w:type="spellEnd"/>
            <w:proofErr w:type="gramEnd"/>
            <w:r w:rsidRPr="008B5707">
              <w:rPr>
                <w:b/>
                <w:bCs/>
              </w:rPr>
              <w:t>/día</w:t>
            </w:r>
          </w:p>
        </w:tc>
        <w:tc>
          <w:tcPr>
            <w:tcW w:w="0" w:type="auto"/>
            <w:vAlign w:val="center"/>
            <w:hideMark/>
          </w:tcPr>
          <w:p w14:paraId="43641F13" w14:textId="77777777" w:rsidR="008B5707" w:rsidRPr="008B5707" w:rsidRDefault="008B5707" w:rsidP="008B5707">
            <w:r w:rsidRPr="008B5707">
              <w:t>Coste operativo unitario</w:t>
            </w:r>
          </w:p>
        </w:tc>
        <w:tc>
          <w:tcPr>
            <w:tcW w:w="0" w:type="auto"/>
            <w:vAlign w:val="center"/>
            <w:hideMark/>
          </w:tcPr>
          <w:p w14:paraId="7308ECAC" w14:textId="77777777" w:rsidR="008B5707" w:rsidRPr="008B5707" w:rsidRDefault="008B5707" w:rsidP="008B5707">
            <w:r w:rsidRPr="008B5707">
              <w:rPr>
                <w:b/>
                <w:bCs/>
              </w:rPr>
              <w:t>No aparece escrito</w:t>
            </w:r>
            <w:r w:rsidRPr="008B5707">
              <w:t xml:space="preserve">; solo se recupera dividiendo cualquier fila de coste operativo entre el número de </w:t>
            </w:r>
            <w:proofErr w:type="spellStart"/>
            <w:r w:rsidRPr="008B5707">
              <w:t>hubs</w:t>
            </w:r>
            <w:proofErr w:type="spellEnd"/>
          </w:p>
        </w:tc>
      </w:tr>
    </w:tbl>
    <w:p w14:paraId="34C4B85C" w14:textId="77777777" w:rsidR="008B5707" w:rsidRPr="008B5707" w:rsidRDefault="008B5707" w:rsidP="008B5707">
      <w:r w:rsidRPr="008B5707">
        <w:pict w14:anchorId="0AD4A03C">
          <v:rect id="_x0000_i1058" style="width:0;height:1.5pt" o:hralign="center" o:hrstd="t" o:hr="t" fillcolor="#a0a0a0" stroked="f"/>
        </w:pict>
      </w:r>
    </w:p>
    <w:p w14:paraId="79E16FA5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D. Metadatos del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6698"/>
      </w:tblGrid>
      <w:tr w:rsidR="008B5707" w:rsidRPr="008B5707" w14:paraId="1CE84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FF0E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139AE81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Detalle</w:t>
            </w:r>
          </w:p>
        </w:tc>
      </w:tr>
      <w:tr w:rsidR="008B5707" w:rsidRPr="008B5707" w14:paraId="3797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E919" w14:textId="77777777" w:rsidR="008B5707" w:rsidRPr="008B5707" w:rsidRDefault="008B5707" w:rsidP="008B5707">
            <w:r w:rsidRPr="008B5707">
              <w:rPr>
                <w:b/>
                <w:bCs/>
              </w:rPr>
              <w:t>Financiación</w:t>
            </w:r>
          </w:p>
        </w:tc>
        <w:tc>
          <w:tcPr>
            <w:tcW w:w="0" w:type="auto"/>
            <w:vAlign w:val="center"/>
            <w:hideMark/>
          </w:tcPr>
          <w:p w14:paraId="418C1F3D" w14:textId="77777777" w:rsidR="008B5707" w:rsidRPr="008B5707" w:rsidRDefault="008B5707" w:rsidP="008B5707">
            <w:r w:rsidRPr="008B5707">
              <w:t>Comisión Europea (101069782); Ministerio de Ciencia e Innovación (PID2019-111100RB-C21, PID2022-138860NB-I00, RED2022-134703-T); Ayuntamiento de Barcelona (22S02264-001)</w:t>
            </w:r>
          </w:p>
        </w:tc>
      </w:tr>
      <w:tr w:rsidR="008B5707" w:rsidRPr="008B5707" w14:paraId="0117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04FB" w14:textId="77777777" w:rsidR="008B5707" w:rsidRPr="008B5707" w:rsidRDefault="008B5707" w:rsidP="008B5707">
            <w:r w:rsidRPr="008B5707">
              <w:rPr>
                <w:b/>
                <w:bCs/>
              </w:rPr>
              <w:t>Conflictos declarados</w:t>
            </w:r>
          </w:p>
        </w:tc>
        <w:tc>
          <w:tcPr>
            <w:tcW w:w="0" w:type="auto"/>
            <w:vAlign w:val="center"/>
            <w:hideMark/>
          </w:tcPr>
          <w:p w14:paraId="413DF61D" w14:textId="77777777" w:rsidR="008B5707" w:rsidRPr="008B5707" w:rsidRDefault="008B5707" w:rsidP="008B5707">
            <w:r w:rsidRPr="008B5707">
              <w:t>EA con la Comisión Europea, AJ con el Ministerio, CC con el Ayuntamiento de Barcelona — los mismos organismos que financian</w:t>
            </w:r>
          </w:p>
        </w:tc>
      </w:tr>
      <w:tr w:rsidR="008B5707" w:rsidRPr="008B5707" w14:paraId="162D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A66" w14:textId="77777777" w:rsidR="008B5707" w:rsidRPr="008B5707" w:rsidRDefault="008B5707" w:rsidP="008B5707">
            <w:r w:rsidRPr="008B5707">
              <w:rPr>
                <w:b/>
                <w:bCs/>
              </w:rPr>
              <w:t>Disponibilidad de datos</w:t>
            </w:r>
          </w:p>
        </w:tc>
        <w:tc>
          <w:tcPr>
            <w:tcW w:w="0" w:type="auto"/>
            <w:vAlign w:val="center"/>
            <w:hideMark/>
          </w:tcPr>
          <w:p w14:paraId="620FE0BA" w14:textId="77777777" w:rsidR="008B5707" w:rsidRPr="008B5707" w:rsidRDefault="008B5707" w:rsidP="008B5707">
            <w:r w:rsidRPr="008B5707">
              <w:t>Bajo petición razonable al autor de correspondencia. No hay repositorio abierto ni código</w:t>
            </w:r>
          </w:p>
        </w:tc>
      </w:tr>
      <w:tr w:rsidR="008B5707" w:rsidRPr="008B5707" w14:paraId="2983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4BCB" w14:textId="77777777" w:rsidR="008B5707" w:rsidRPr="008B5707" w:rsidRDefault="008B5707" w:rsidP="008B5707">
            <w:r w:rsidRPr="008B5707">
              <w:rPr>
                <w:b/>
                <w:bCs/>
              </w:rPr>
              <w:t>Apoyo en recogida de datos</w:t>
            </w:r>
          </w:p>
        </w:tc>
        <w:tc>
          <w:tcPr>
            <w:tcW w:w="0" w:type="auto"/>
            <w:vAlign w:val="center"/>
            <w:hideMark/>
          </w:tcPr>
          <w:p w14:paraId="3A4CA5DB" w14:textId="77777777" w:rsidR="008B5707" w:rsidRPr="008B5707" w:rsidRDefault="008B5707" w:rsidP="008B5707">
            <w:r w:rsidRPr="008B5707">
              <w:t>Juan Miguel Calero, técnico de apoyo del grupo SUMAT</w:t>
            </w:r>
          </w:p>
        </w:tc>
      </w:tr>
      <w:tr w:rsidR="008B5707" w:rsidRPr="008B5707" w14:paraId="6EDA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0C1A" w14:textId="77777777" w:rsidR="008B5707" w:rsidRPr="008B5707" w:rsidRDefault="008B5707" w:rsidP="008B5707">
            <w:r w:rsidRPr="008B570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493E1C8F" w14:textId="77777777" w:rsidR="008B5707" w:rsidRPr="008B5707" w:rsidRDefault="008B5707" w:rsidP="008B5707">
            <w:r w:rsidRPr="008B5707">
              <w:t>Recibido 11 oct. 2023, aceptado 6 ago. 2024</w:t>
            </w:r>
          </w:p>
        </w:tc>
      </w:tr>
    </w:tbl>
    <w:p w14:paraId="4CE0E655" w14:textId="77777777" w:rsidR="008B5707" w:rsidRPr="008B5707" w:rsidRDefault="008B5707" w:rsidP="008B5707">
      <w:r w:rsidRPr="008B5707">
        <w:t>Merece señalarse que el estudio está financiado por el Ayuntamiento de Barcelona, que es a la vez el titular de buena parte de la infraestructura pública evaluada y el destinatario natural de las recomendaciones. Está correctamente declarado, pero conviene tenerlo presente.</w:t>
      </w:r>
    </w:p>
    <w:p w14:paraId="6AF11F9F" w14:textId="77777777" w:rsidR="008B5707" w:rsidRPr="008B5707" w:rsidRDefault="008B5707" w:rsidP="008B5707">
      <w:r w:rsidRPr="008B5707">
        <w:pict w14:anchorId="1A13C357">
          <v:rect id="_x0000_i1059" style="width:0;height:1.5pt" o:hralign="center" o:hrstd="t" o:hr="t" fillcolor="#a0a0a0" stroked="f"/>
        </w:pict>
      </w:r>
    </w:p>
    <w:p w14:paraId="3F57014F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5294"/>
      </w:tblGrid>
      <w:tr w:rsidR="008B5707" w:rsidRPr="008B5707" w14:paraId="41CCE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A18EE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4FB2525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Cantidad</w:t>
            </w:r>
          </w:p>
        </w:tc>
      </w:tr>
      <w:tr w:rsidR="008B5707" w:rsidRPr="008B5707" w14:paraId="7EAF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EE1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  <w:r w:rsidRPr="008B5707">
              <w:t xml:space="preserve"> Fuente externa verificable</w:t>
            </w:r>
          </w:p>
        </w:tc>
        <w:tc>
          <w:tcPr>
            <w:tcW w:w="0" w:type="auto"/>
            <w:vAlign w:val="center"/>
            <w:hideMark/>
          </w:tcPr>
          <w:p w14:paraId="1A8BC274" w14:textId="77777777" w:rsidR="008B5707" w:rsidRPr="008B5707" w:rsidRDefault="008B5707" w:rsidP="008B5707">
            <w:r w:rsidRPr="008B5707">
              <w:t>6 datos, todos de contexto o de emplazamientos</w:t>
            </w:r>
          </w:p>
        </w:tc>
      </w:tr>
      <w:tr w:rsidR="008B5707" w:rsidRPr="008B5707" w14:paraId="3F0E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7212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  <w:r w:rsidRPr="008B5707">
              <w:t xml:space="preserve"> Juicio experto sin protocolo documentado</w:t>
            </w:r>
          </w:p>
        </w:tc>
        <w:tc>
          <w:tcPr>
            <w:tcW w:w="0" w:type="auto"/>
            <w:vAlign w:val="center"/>
            <w:hideMark/>
          </w:tcPr>
          <w:p w14:paraId="2795F615" w14:textId="77777777" w:rsidR="008B5707" w:rsidRPr="008B5707" w:rsidRDefault="008B5707" w:rsidP="008B5707">
            <w:r w:rsidRPr="008B5707">
              <w:t>7 datos, todos parámetros operativos del modelo</w:t>
            </w:r>
          </w:p>
        </w:tc>
      </w:tr>
      <w:tr w:rsidR="008B5707" w:rsidRPr="008B5707" w14:paraId="4200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F479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  <w:r w:rsidRPr="008B5707">
              <w:t xml:space="preserve"> Sin fuente alguna</w:t>
            </w:r>
          </w:p>
        </w:tc>
        <w:tc>
          <w:tcPr>
            <w:tcW w:w="0" w:type="auto"/>
            <w:vAlign w:val="center"/>
            <w:hideMark/>
          </w:tcPr>
          <w:p w14:paraId="555892AF" w14:textId="77777777" w:rsidR="008B5707" w:rsidRPr="008B5707" w:rsidRDefault="008B5707" w:rsidP="008B5707">
            <w:r w:rsidRPr="008B5707">
              <w:t>4 datos: destinos, demanda, costes de transporte y proyecciones de crecimiento</w:t>
            </w:r>
          </w:p>
        </w:tc>
      </w:tr>
    </w:tbl>
    <w:p w14:paraId="19753D2F" w14:textId="77777777" w:rsidR="008B5707" w:rsidRPr="008B5707" w:rsidRDefault="008B5707" w:rsidP="008B5707">
      <w:r w:rsidRPr="008B5707">
        <w:t xml:space="preserve">El patrón es claro: </w:t>
      </w:r>
      <w:r w:rsidRPr="008B5707">
        <w:rPr>
          <w:b/>
          <w:bCs/>
        </w:rPr>
        <w:t>cuanto más cerca está un dato del núcleo del modelo, peor documentado está.</w:t>
      </w:r>
      <w:r w:rsidRPr="008B5707">
        <w:t xml:space="preserve"> Lo que se cita bien es el marco general y el inventario de edificios; lo que gobierna los resultados —demanda, destinos y coste de ruta— es supuesto propio.</w:t>
      </w:r>
    </w:p>
    <w:p w14:paraId="41B8E71A" w14:textId="77777777" w:rsidR="008B5707" w:rsidRPr="008B5707" w:rsidRDefault="008B5707" w:rsidP="008B5707">
      <w:r w:rsidRPr="008B5707">
        <w:t>Tres huecos concretos impiden la replicación exacta: el valor de los costes operativos, el método de cálculo de distancias y costes de arco, y el hardware de los tiempos de cómputo.</w:t>
      </w:r>
    </w:p>
    <w:p w14:paraId="6D869EAB" w14:textId="77777777" w:rsidR="008B5707" w:rsidRPr="008B5707" w:rsidRDefault="008B5707" w:rsidP="008B5707">
      <w:r w:rsidRPr="008B5707">
        <w:t>Si quieres, puedo redactar esto como una tabla de auditoría de datos en formato de anexo metodológico, del tipo que se usa para revisiones sistemáticas o para una crítica en un seminario.</w:t>
      </w:r>
    </w:p>
    <w:p w14:paraId="7DF16679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7"/>
    <w:rsid w:val="002772D0"/>
    <w:rsid w:val="00497D52"/>
    <w:rsid w:val="00674B44"/>
    <w:rsid w:val="008B5707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D8CF"/>
  <w15:chartTrackingRefBased/>
  <w15:docId w15:val="{6273527C-FDFE-401A-B049-D414BC94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2026-07-24T15:41:00Z</dcterms:created>
  <dcterms:modified xsi:type="dcterms:W3CDTF">2026-07-24T15:56:00Z</dcterms:modified>
</cp:coreProperties>
</file>